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April 28, 2010</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221" w:lineRule="exact"/>
        <w:rPr>
          <w:sz w:val="24"/>
          <w:szCs w:val="24"/>
          <w:color w:val="auto"/>
        </w:rPr>
      </w:pPr>
    </w:p>
    <w:tbl>
      <w:tblPr>
        <w:tblLayout w:type="fixed"/>
        <w:tblInd w:w="580" w:type="dxa"/>
        <w:tblCellMar>
          <w:top w:w="0" w:type="dxa"/>
          <w:left w:w="0" w:type="dxa"/>
          <w:bottom w:w="0" w:type="dxa"/>
          <w:right w:w="0" w:type="dxa"/>
        </w:tblCellMar>
      </w:tblPr>
      <w:tr>
        <w:trPr>
          <w:trHeight w:val="236"/>
        </w:trPr>
        <w:tc>
          <w:tcPr>
            <w:tcW w:w="3080" w:type="dxa"/>
            <w:vAlign w:val="bottom"/>
          </w:tcPr>
          <w:p>
            <w:pPr>
              <w:jc w:val="center"/>
              <w:ind w:right="341"/>
              <w:spacing w:after="0"/>
              <w:rPr>
                <w:sz w:val="20"/>
                <w:szCs w:val="20"/>
                <w:color w:val="auto"/>
              </w:rPr>
            </w:pPr>
            <w:r>
              <w:rPr>
                <w:rFonts w:ascii="Arial" w:cs="Arial" w:eastAsia="Arial" w:hAnsi="Arial"/>
                <w:sz w:val="20"/>
                <w:szCs w:val="20"/>
                <w:b w:val="1"/>
                <w:bCs w:val="1"/>
                <w:color w:val="auto"/>
                <w:w w:val="89"/>
              </w:rPr>
              <w:t>Nevada</w:t>
            </w:r>
          </w:p>
        </w:tc>
        <w:tc>
          <w:tcPr>
            <w:tcW w:w="4260" w:type="dxa"/>
            <w:vAlign w:val="bottom"/>
          </w:tcPr>
          <w:p>
            <w:pPr>
              <w:jc w:val="right"/>
              <w:ind w:right="1681"/>
              <w:spacing w:after="0"/>
              <w:rPr>
                <w:sz w:val="20"/>
                <w:szCs w:val="20"/>
                <w:color w:val="auto"/>
              </w:rPr>
            </w:pPr>
            <w:r>
              <w:rPr>
                <w:rFonts w:ascii="Arial" w:cs="Arial" w:eastAsia="Arial" w:hAnsi="Arial"/>
                <w:sz w:val="20"/>
                <w:szCs w:val="20"/>
                <w:b w:val="1"/>
                <w:bCs w:val="1"/>
                <w:color w:val="auto"/>
              </w:rPr>
              <w:t>000-50028</w:t>
            </w:r>
          </w:p>
        </w:tc>
        <w:tc>
          <w:tcPr>
            <w:tcW w:w="3040" w:type="dxa"/>
            <w:vAlign w:val="bottom"/>
          </w:tcPr>
          <w:p>
            <w:pPr>
              <w:jc w:val="center"/>
              <w:ind w:left="61"/>
              <w:spacing w:after="0"/>
              <w:rPr>
                <w:sz w:val="20"/>
                <w:szCs w:val="20"/>
                <w:color w:val="auto"/>
              </w:rPr>
            </w:pPr>
            <w:r>
              <w:rPr>
                <w:rFonts w:ascii="Arial" w:cs="Arial" w:eastAsia="Arial" w:hAnsi="Arial"/>
                <w:sz w:val="20"/>
                <w:szCs w:val="20"/>
                <w:b w:val="1"/>
                <w:bCs w:val="1"/>
                <w:color w:val="auto"/>
                <w:w w:val="89"/>
              </w:rPr>
              <w:t>46-0484987</w:t>
            </w:r>
          </w:p>
        </w:tc>
      </w:tr>
      <w:tr>
        <w:trPr>
          <w:trHeight w:val="230"/>
        </w:trPr>
        <w:tc>
          <w:tcPr>
            <w:tcW w:w="3080" w:type="dxa"/>
            <w:vAlign w:val="bottom"/>
          </w:tcPr>
          <w:p>
            <w:pPr>
              <w:jc w:val="center"/>
              <w:ind w:right="321"/>
              <w:spacing w:after="0"/>
              <w:rPr>
                <w:sz w:val="20"/>
                <w:szCs w:val="20"/>
                <w:color w:val="auto"/>
              </w:rPr>
            </w:pPr>
            <w:r>
              <w:rPr>
                <w:rFonts w:ascii="Arial" w:cs="Arial" w:eastAsia="Arial" w:hAnsi="Arial"/>
                <w:sz w:val="20"/>
                <w:szCs w:val="20"/>
                <w:color w:val="auto"/>
                <w:w w:val="91"/>
              </w:rPr>
              <w:t>(State or other jurisdiction of</w:t>
            </w:r>
          </w:p>
        </w:tc>
        <w:tc>
          <w:tcPr>
            <w:tcW w:w="4260" w:type="dxa"/>
            <w:vAlign w:val="bottom"/>
          </w:tcPr>
          <w:p>
            <w:pPr>
              <w:jc w:val="center"/>
              <w:ind w:right="61"/>
              <w:spacing w:after="0"/>
              <w:rPr>
                <w:sz w:val="20"/>
                <w:szCs w:val="20"/>
                <w:color w:val="auto"/>
              </w:rPr>
            </w:pPr>
            <w:r>
              <w:rPr>
                <w:rFonts w:ascii="Arial" w:cs="Arial" w:eastAsia="Arial" w:hAnsi="Arial"/>
                <w:sz w:val="20"/>
                <w:szCs w:val="20"/>
                <w:color w:val="auto"/>
                <w:w w:val="91"/>
              </w:rPr>
              <w:t>(Commission File Number)</w:t>
            </w:r>
          </w:p>
        </w:tc>
        <w:tc>
          <w:tcPr>
            <w:tcW w:w="3040" w:type="dxa"/>
            <w:vAlign w:val="bottom"/>
          </w:tcPr>
          <w:p>
            <w:pPr>
              <w:jc w:val="center"/>
              <w:ind w:left="6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3080" w:type="dxa"/>
            <w:vAlign w:val="bottom"/>
          </w:tcPr>
          <w:p>
            <w:pPr>
              <w:jc w:val="center"/>
              <w:ind w:right="321"/>
              <w:spacing w:after="0"/>
              <w:rPr>
                <w:sz w:val="20"/>
                <w:szCs w:val="20"/>
                <w:color w:val="auto"/>
              </w:rPr>
            </w:pPr>
            <w:r>
              <w:rPr>
                <w:rFonts w:ascii="Arial" w:cs="Arial" w:eastAsia="Arial" w:hAnsi="Arial"/>
                <w:sz w:val="20"/>
                <w:szCs w:val="20"/>
                <w:color w:val="auto"/>
                <w:w w:val="93"/>
              </w:rPr>
              <w:t>incorporation)</w:t>
            </w:r>
          </w:p>
        </w:tc>
        <w:tc>
          <w:tcPr>
            <w:tcW w:w="426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452"/>
        </w:trPr>
        <w:tc>
          <w:tcPr>
            <w:tcW w:w="3080" w:type="dxa"/>
            <w:vAlign w:val="bottom"/>
          </w:tcPr>
          <w:p>
            <w:pPr>
              <w:spacing w:after="0"/>
              <w:rPr>
                <w:sz w:val="24"/>
                <w:szCs w:val="24"/>
                <w:color w:val="auto"/>
              </w:rPr>
            </w:pPr>
          </w:p>
        </w:tc>
        <w:tc>
          <w:tcPr>
            <w:tcW w:w="4260" w:type="dxa"/>
            <w:vAlign w:val="bottom"/>
          </w:tcPr>
          <w:p>
            <w:pPr>
              <w:jc w:val="center"/>
              <w:ind w:right="61"/>
              <w:spacing w:after="0"/>
              <w:rPr>
                <w:sz w:val="20"/>
                <w:szCs w:val="20"/>
                <w:color w:val="auto"/>
              </w:rPr>
            </w:pPr>
            <w:r>
              <w:rPr>
                <w:rFonts w:ascii="Arial" w:cs="Arial" w:eastAsia="Arial" w:hAnsi="Arial"/>
                <w:sz w:val="20"/>
                <w:szCs w:val="20"/>
                <w:b w:val="1"/>
                <w:bCs w:val="1"/>
                <w:color w:val="auto"/>
                <w:w w:val="99"/>
              </w:rPr>
              <w:t>WYNN LAS VEGAS, LLC</w:t>
            </w:r>
          </w:p>
        </w:tc>
        <w:tc>
          <w:tcPr>
            <w:tcW w:w="3040" w:type="dxa"/>
            <w:vAlign w:val="bottom"/>
          </w:tcPr>
          <w:p>
            <w:pPr>
              <w:spacing w:after="0"/>
              <w:rPr>
                <w:sz w:val="24"/>
                <w:szCs w:val="24"/>
                <w:color w:val="auto"/>
              </w:rPr>
            </w:pPr>
          </w:p>
        </w:tc>
      </w:tr>
      <w:tr>
        <w:trPr>
          <w:trHeight w:val="250"/>
        </w:trPr>
        <w:tc>
          <w:tcPr>
            <w:tcW w:w="3080" w:type="dxa"/>
            <w:vAlign w:val="bottom"/>
          </w:tcPr>
          <w:p>
            <w:pPr>
              <w:spacing w:after="0"/>
              <w:rPr>
                <w:sz w:val="21"/>
                <w:szCs w:val="21"/>
                <w:color w:val="auto"/>
              </w:rPr>
            </w:pPr>
          </w:p>
        </w:tc>
        <w:tc>
          <w:tcPr>
            <w:tcW w:w="4260" w:type="dxa"/>
            <w:vAlign w:val="bottom"/>
          </w:tcPr>
          <w:p>
            <w:pPr>
              <w:jc w:val="center"/>
              <w:ind w:right="61"/>
              <w:spacing w:after="0"/>
              <w:rPr>
                <w:sz w:val="20"/>
                <w:szCs w:val="20"/>
                <w:color w:val="auto"/>
              </w:rPr>
            </w:pPr>
            <w:r>
              <w:rPr>
                <w:rFonts w:ascii="Arial" w:cs="Arial" w:eastAsia="Arial" w:hAnsi="Arial"/>
                <w:sz w:val="20"/>
                <w:szCs w:val="20"/>
                <w:color w:val="auto"/>
                <w:w w:val="89"/>
              </w:rPr>
              <w:t>(Exact name of registrant as specified in its charter)</w:t>
            </w:r>
          </w:p>
        </w:tc>
        <w:tc>
          <w:tcPr>
            <w:tcW w:w="3040" w:type="dxa"/>
            <w:vAlign w:val="bottom"/>
          </w:tcPr>
          <w:p>
            <w:pPr>
              <w:spacing w:after="0"/>
              <w:rPr>
                <w:sz w:val="21"/>
                <w:szCs w:val="21"/>
                <w:color w:val="auto"/>
              </w:rPr>
            </w:pPr>
          </w:p>
        </w:tc>
      </w:tr>
      <w:tr>
        <w:trPr>
          <w:trHeight w:val="452"/>
        </w:trPr>
        <w:tc>
          <w:tcPr>
            <w:tcW w:w="3080" w:type="dxa"/>
            <w:vAlign w:val="bottom"/>
          </w:tcPr>
          <w:p>
            <w:pPr>
              <w:jc w:val="center"/>
              <w:ind w:right="341"/>
              <w:spacing w:after="0"/>
              <w:rPr>
                <w:sz w:val="20"/>
                <w:szCs w:val="20"/>
                <w:color w:val="auto"/>
              </w:rPr>
            </w:pPr>
            <w:r>
              <w:rPr>
                <w:rFonts w:ascii="Arial" w:cs="Arial" w:eastAsia="Arial" w:hAnsi="Arial"/>
                <w:sz w:val="20"/>
                <w:szCs w:val="20"/>
                <w:b w:val="1"/>
                <w:bCs w:val="1"/>
                <w:color w:val="auto"/>
                <w:w w:val="89"/>
              </w:rPr>
              <w:t>Nevada</w:t>
            </w:r>
          </w:p>
        </w:tc>
        <w:tc>
          <w:tcPr>
            <w:tcW w:w="4260" w:type="dxa"/>
            <w:vAlign w:val="bottom"/>
          </w:tcPr>
          <w:p>
            <w:pPr>
              <w:jc w:val="right"/>
              <w:ind w:right="1641"/>
              <w:spacing w:after="0"/>
              <w:rPr>
                <w:sz w:val="20"/>
                <w:szCs w:val="20"/>
                <w:color w:val="auto"/>
              </w:rPr>
            </w:pPr>
            <w:r>
              <w:rPr>
                <w:rFonts w:ascii="Arial" w:cs="Arial" w:eastAsia="Arial" w:hAnsi="Arial"/>
                <w:sz w:val="20"/>
                <w:szCs w:val="20"/>
                <w:b w:val="1"/>
                <w:bCs w:val="1"/>
                <w:color w:val="auto"/>
              </w:rPr>
              <w:t>333-100768</w:t>
            </w:r>
          </w:p>
        </w:tc>
        <w:tc>
          <w:tcPr>
            <w:tcW w:w="3040" w:type="dxa"/>
            <w:vAlign w:val="bottom"/>
          </w:tcPr>
          <w:p>
            <w:pPr>
              <w:jc w:val="center"/>
              <w:ind w:left="61"/>
              <w:spacing w:after="0"/>
              <w:rPr>
                <w:sz w:val="20"/>
                <w:szCs w:val="20"/>
                <w:color w:val="auto"/>
              </w:rPr>
            </w:pPr>
            <w:r>
              <w:rPr>
                <w:rFonts w:ascii="Arial" w:cs="Arial" w:eastAsia="Arial" w:hAnsi="Arial"/>
                <w:sz w:val="20"/>
                <w:szCs w:val="20"/>
                <w:b w:val="1"/>
                <w:bCs w:val="1"/>
                <w:color w:val="auto"/>
                <w:w w:val="89"/>
              </w:rPr>
              <w:t>88-0494875</w:t>
            </w:r>
          </w:p>
        </w:tc>
      </w:tr>
      <w:tr>
        <w:trPr>
          <w:trHeight w:val="230"/>
        </w:trPr>
        <w:tc>
          <w:tcPr>
            <w:tcW w:w="3080" w:type="dxa"/>
            <w:vAlign w:val="bottom"/>
          </w:tcPr>
          <w:p>
            <w:pPr>
              <w:jc w:val="center"/>
              <w:ind w:right="321"/>
              <w:spacing w:after="0"/>
              <w:rPr>
                <w:sz w:val="20"/>
                <w:szCs w:val="20"/>
                <w:color w:val="auto"/>
              </w:rPr>
            </w:pPr>
            <w:r>
              <w:rPr>
                <w:rFonts w:ascii="Arial" w:cs="Arial" w:eastAsia="Arial" w:hAnsi="Arial"/>
                <w:sz w:val="20"/>
                <w:szCs w:val="20"/>
                <w:color w:val="auto"/>
                <w:w w:val="91"/>
              </w:rPr>
              <w:t>(State or other jurisdiction of</w:t>
            </w:r>
          </w:p>
        </w:tc>
        <w:tc>
          <w:tcPr>
            <w:tcW w:w="4260" w:type="dxa"/>
            <w:vAlign w:val="bottom"/>
          </w:tcPr>
          <w:p>
            <w:pPr>
              <w:jc w:val="center"/>
              <w:ind w:right="61"/>
              <w:spacing w:after="0"/>
              <w:rPr>
                <w:sz w:val="20"/>
                <w:szCs w:val="20"/>
                <w:color w:val="auto"/>
              </w:rPr>
            </w:pPr>
            <w:r>
              <w:rPr>
                <w:rFonts w:ascii="Arial" w:cs="Arial" w:eastAsia="Arial" w:hAnsi="Arial"/>
                <w:sz w:val="20"/>
                <w:szCs w:val="20"/>
                <w:color w:val="auto"/>
                <w:w w:val="91"/>
              </w:rPr>
              <w:t>(Commission File Number)</w:t>
            </w:r>
          </w:p>
        </w:tc>
        <w:tc>
          <w:tcPr>
            <w:tcW w:w="3040" w:type="dxa"/>
            <w:vAlign w:val="bottom"/>
          </w:tcPr>
          <w:p>
            <w:pPr>
              <w:jc w:val="center"/>
              <w:ind w:left="6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3080" w:type="dxa"/>
            <w:vAlign w:val="bottom"/>
          </w:tcPr>
          <w:p>
            <w:pPr>
              <w:jc w:val="center"/>
              <w:ind w:right="321"/>
              <w:spacing w:after="0"/>
              <w:rPr>
                <w:sz w:val="20"/>
                <w:szCs w:val="20"/>
                <w:color w:val="auto"/>
              </w:rPr>
            </w:pPr>
            <w:r>
              <w:rPr>
                <w:rFonts w:ascii="Arial" w:cs="Arial" w:eastAsia="Arial" w:hAnsi="Arial"/>
                <w:sz w:val="20"/>
                <w:szCs w:val="20"/>
                <w:color w:val="auto"/>
                <w:w w:val="93"/>
              </w:rPr>
              <w:t>incorporation)</w:t>
            </w:r>
          </w:p>
        </w:tc>
        <w:tc>
          <w:tcPr>
            <w:tcW w:w="426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689"/>
        </w:trPr>
        <w:tc>
          <w:tcPr>
            <w:tcW w:w="7340" w:type="dxa"/>
            <w:vAlign w:val="bottom"/>
            <w:gridSpan w:val="2"/>
          </w:tcPr>
          <w:p>
            <w:pPr>
              <w:jc w:val="center"/>
              <w:ind w:right="2681"/>
              <w:spacing w:after="0"/>
              <w:rPr>
                <w:sz w:val="20"/>
                <w:szCs w:val="20"/>
                <w:color w:val="auto"/>
              </w:rPr>
            </w:pPr>
            <w:r>
              <w:rPr>
                <w:rFonts w:ascii="Arial" w:cs="Arial" w:eastAsia="Arial" w:hAnsi="Arial"/>
                <w:sz w:val="20"/>
                <w:szCs w:val="20"/>
                <w:b w:val="1"/>
                <w:bCs w:val="1"/>
                <w:color w:val="auto"/>
                <w:w w:val="87"/>
              </w:rPr>
              <w:t>3131 Las Vegas Boulevard South</w:t>
            </w:r>
          </w:p>
        </w:tc>
        <w:tc>
          <w:tcPr>
            <w:tcW w:w="3040" w:type="dxa"/>
            <w:vAlign w:val="bottom"/>
          </w:tcPr>
          <w:p>
            <w:pPr>
              <w:spacing w:after="0"/>
              <w:rPr>
                <w:sz w:val="24"/>
                <w:szCs w:val="24"/>
                <w:color w:val="auto"/>
              </w:rPr>
            </w:pPr>
          </w:p>
        </w:tc>
      </w:tr>
      <w:tr>
        <w:trPr>
          <w:trHeight w:val="236"/>
        </w:trPr>
        <w:tc>
          <w:tcPr>
            <w:tcW w:w="3080" w:type="dxa"/>
            <w:vAlign w:val="bottom"/>
          </w:tcPr>
          <w:p>
            <w:pPr>
              <w:jc w:val="center"/>
              <w:ind w:left="1401"/>
              <w:spacing w:after="0"/>
              <w:rPr>
                <w:sz w:val="20"/>
                <w:szCs w:val="20"/>
                <w:color w:val="auto"/>
              </w:rPr>
            </w:pPr>
            <w:r>
              <w:rPr>
                <w:rFonts w:ascii="Arial" w:cs="Arial" w:eastAsia="Arial" w:hAnsi="Arial"/>
                <w:sz w:val="20"/>
                <w:szCs w:val="20"/>
                <w:b w:val="1"/>
                <w:bCs w:val="1"/>
                <w:color w:val="auto"/>
                <w:w w:val="87"/>
              </w:rPr>
              <w:t>Las Vegas, Nevada</w:t>
            </w:r>
          </w:p>
        </w:tc>
        <w:tc>
          <w:tcPr>
            <w:tcW w:w="4260" w:type="dxa"/>
            <w:vAlign w:val="bottom"/>
          </w:tcPr>
          <w:p>
            <w:pPr>
              <w:spacing w:after="0"/>
              <w:rPr>
                <w:sz w:val="20"/>
                <w:szCs w:val="20"/>
                <w:color w:val="auto"/>
              </w:rPr>
            </w:pPr>
          </w:p>
        </w:tc>
        <w:tc>
          <w:tcPr>
            <w:tcW w:w="3040" w:type="dxa"/>
            <w:vAlign w:val="bottom"/>
          </w:tcPr>
          <w:p>
            <w:pPr>
              <w:jc w:val="right"/>
              <w:ind w:right="2041"/>
              <w:spacing w:after="0"/>
              <w:rPr>
                <w:sz w:val="20"/>
                <w:szCs w:val="20"/>
                <w:color w:val="auto"/>
              </w:rPr>
            </w:pPr>
            <w:r>
              <w:rPr>
                <w:rFonts w:ascii="Arial" w:cs="Arial" w:eastAsia="Arial" w:hAnsi="Arial"/>
                <w:sz w:val="20"/>
                <w:szCs w:val="20"/>
                <w:b w:val="1"/>
                <w:bCs w:val="1"/>
                <w:color w:val="auto"/>
              </w:rPr>
              <w:t>89109</w:t>
            </w:r>
          </w:p>
        </w:tc>
      </w:tr>
      <w:tr>
        <w:trPr>
          <w:trHeight w:val="250"/>
        </w:trPr>
        <w:tc>
          <w:tcPr>
            <w:tcW w:w="7340" w:type="dxa"/>
            <w:vAlign w:val="bottom"/>
            <w:gridSpan w:val="2"/>
          </w:tcPr>
          <w:p>
            <w:pPr>
              <w:jc w:val="center"/>
              <w:ind w:right="2681"/>
              <w:spacing w:after="0"/>
              <w:rPr>
                <w:sz w:val="20"/>
                <w:szCs w:val="20"/>
                <w:color w:val="auto"/>
              </w:rPr>
            </w:pPr>
            <w:r>
              <w:rPr>
                <w:rFonts w:ascii="Arial" w:cs="Arial" w:eastAsia="Arial" w:hAnsi="Arial"/>
                <w:sz w:val="20"/>
                <w:szCs w:val="20"/>
                <w:color w:val="auto"/>
                <w:w w:val="90"/>
              </w:rPr>
              <w:t>(Address of principal executive offices of each registrant)</w:t>
            </w:r>
          </w:p>
        </w:tc>
        <w:tc>
          <w:tcPr>
            <w:tcW w:w="3040" w:type="dxa"/>
            <w:vAlign w:val="bottom"/>
          </w:tcPr>
          <w:p>
            <w:pPr>
              <w:jc w:val="center"/>
              <w:ind w:right="1641"/>
              <w:spacing w:after="0"/>
              <w:rPr>
                <w:sz w:val="20"/>
                <w:szCs w:val="20"/>
                <w:color w:val="auto"/>
              </w:rPr>
            </w:pPr>
            <w:r>
              <w:rPr>
                <w:rFonts w:ascii="Arial" w:cs="Arial" w:eastAsia="Arial" w:hAnsi="Arial"/>
                <w:sz w:val="20"/>
                <w:szCs w:val="20"/>
                <w:color w:val="auto"/>
                <w:w w:val="90"/>
              </w:rPr>
              <w:t>(Zip Code)</w:t>
            </w:r>
          </w:p>
        </w:tc>
      </w:tr>
    </w:tbl>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15" w:lineRule="exact"/>
        <w:rPr>
          <w:rFonts w:ascii="Arial" w:cs="Arial" w:eastAsia="Arial" w:hAnsi="Arial"/>
          <w:sz w:val="20"/>
          <w:szCs w:val="20"/>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15" w:lineRule="exact"/>
        <w:rPr>
          <w:rFonts w:ascii="Arial" w:cs="Arial" w:eastAsia="Arial" w:hAnsi="Arial"/>
          <w:sz w:val="20"/>
          <w:szCs w:val="20"/>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419735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1.01 Entry into a Material Definitive Agreement</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Indenture for 7⅞% First Mortgage Notes due 2020</w:t>
      </w:r>
    </w:p>
    <w:p>
      <w:pPr>
        <w:spacing w:after="0" w:line="233" w:lineRule="exact"/>
        <w:rPr>
          <w:sz w:val="20"/>
          <w:szCs w:val="20"/>
          <w:color w:val="auto"/>
        </w:rPr>
      </w:pPr>
    </w:p>
    <w:p>
      <w:pPr>
        <w:ind w:right="140"/>
        <w:spacing w:after="0" w:line="246" w:lineRule="auto"/>
        <w:rPr>
          <w:sz w:val="20"/>
          <w:szCs w:val="20"/>
          <w:color w:val="auto"/>
        </w:rPr>
      </w:pPr>
      <w:r>
        <w:rPr>
          <w:rFonts w:ascii="Arial" w:cs="Arial" w:eastAsia="Arial" w:hAnsi="Arial"/>
          <w:sz w:val="19"/>
          <w:szCs w:val="19"/>
          <w:color w:val="auto"/>
        </w:rPr>
        <w:t>On April 28, 2010, Wynn Las Vegas, LLC (“Wynn Las Vegas”) and Wynn Las Vegas Capital Corp. (“Capital Corp.” and, together with Wynn Las Vegas, the “Issuers”) completed their offer to exchange outstanding 6</w:t>
      </w:r>
      <w:r>
        <w:rPr>
          <w:rFonts w:ascii="Arial" w:cs="Arial" w:eastAsia="Arial" w:hAnsi="Arial"/>
          <w:sz w:val="26"/>
          <w:szCs w:val="26"/>
          <w:color w:val="auto"/>
          <w:vertAlign w:val="superscript"/>
        </w:rPr>
        <w:t>5</w:t>
      </w:r>
      <w:r>
        <w:rPr>
          <w:rFonts w:ascii="Arial" w:cs="Arial" w:eastAsia="Arial" w:hAnsi="Arial"/>
          <w:sz w:val="19"/>
          <w:szCs w:val="19"/>
          <w:color w:val="auto"/>
        </w:rPr>
        <w:t>/</w:t>
      </w:r>
      <w:r>
        <w:rPr>
          <w:rFonts w:ascii="Arial" w:cs="Arial" w:eastAsia="Arial" w:hAnsi="Arial"/>
          <w:sz w:val="26"/>
          <w:szCs w:val="26"/>
          <w:color w:val="auto"/>
          <w:vertAlign w:val="subscript"/>
        </w:rPr>
        <w:t>8</w:t>
      </w:r>
      <w:r>
        <w:rPr>
          <w:rFonts w:ascii="Arial" w:cs="Arial" w:eastAsia="Arial" w:hAnsi="Arial"/>
          <w:sz w:val="19"/>
          <w:szCs w:val="19"/>
          <w:color w:val="auto"/>
        </w:rPr>
        <w:t>% First Mortgage Notes due 2014 of the</w:t>
      </w:r>
    </w:p>
    <w:p>
      <w:pPr>
        <w:spacing w:after="0" w:line="1" w:lineRule="exact"/>
        <w:rPr>
          <w:sz w:val="20"/>
          <w:szCs w:val="20"/>
          <w:color w:val="auto"/>
        </w:rPr>
      </w:pPr>
    </w:p>
    <w:p>
      <w:pPr>
        <w:ind w:right="160"/>
        <w:spacing w:after="0" w:line="233" w:lineRule="auto"/>
        <w:rPr>
          <w:sz w:val="20"/>
          <w:szCs w:val="20"/>
          <w:color w:val="auto"/>
        </w:rPr>
      </w:pPr>
      <w:r>
        <w:rPr>
          <w:rFonts w:ascii="Arial" w:cs="Arial" w:eastAsia="Arial" w:hAnsi="Arial"/>
          <w:sz w:val="22"/>
          <w:szCs w:val="22"/>
          <w:color w:val="auto"/>
        </w:rPr>
        <w:t>Issuers (the “2014 Notes”) for 7⅞% First Mortgage Notes due 2020 of the Issuers (the “2020 Notes”). In connection with such offering, $382,010,000 principal amount of 2014 Notes were tendered for a like principal amount of 2020 Notes. The 2020 Notes were issued pursuant to an Indenture, dated as of April 28, 2010 (the “Indenture”), among the Issuers, the Guarantors (as defined below) and U.S. Bank National Association, as trustee (the “Trustee”).</w:t>
      </w:r>
    </w:p>
    <w:p>
      <w:pPr>
        <w:spacing w:after="0" w:line="215"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The 2020 Notes will mature on May 1, 2020 and bear interest at the rate of 7⅞% per annum. The Issuers may redeem all or a portion of the 2020 Notes at any time on or after May 1, 2015 at a premium decreasing ratably to zero, plus accrued and unpaid interest. In addition, prior to May 1, 2013 the Issuers may redeem up to 35% of the aggregate principal amount of the 2020 Notes at a premium with the net proceeds of one or more qualified equity contributions made to the Issuers by their parent, Wynn Resorts, Limited. If the Issuers undergo a change of control, they must offer to repurchase the 2020 Notes at 101% of the principal amount, plus accrued and unpaid interest. If the Issuers sell certain assets or suffer an event of loss, and the Issuers do not use the resu lting proceeds for specified purposes, they must offer to repurchase the 2020 Notes at 100% of the principal amount, plus accrued and unpaid interest. The 2020 Notes are also subject to mandatory redemption requirements imposed by gaming laws and regulations of gaming authorities in Nevada.</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The 2020 Notes are the Issuers’ senior secured obligations and rank pari passu in right of payment with borrowings under Wynn Las Vegas’ credit facilities and the Issuers’ 2014 Notes that remain outstanding following the completion of the exchange offer and the 7⅞% First Mortgage Notes due 2017 of the Issuers (together with the outstanding 2014 Notes, the “Existing Notes”). The 2020 Notes are secured on an equal and ratable basis (with certain exceptions) by a first priority lien on substantially all of the Issuers’ existing and future assets, and, subject to gaming approval, a first priority pledge of Wynn Las Vegas’ equity interests, all of which is the same collateral that secures borrowings under Wynn Las Vegas’ credit facilit ies and the Existing Notes. The first priority lien securing the 2020 Notes may be released in whole, or in part, under certain circumstances without the consent of the holders of the 2020 Notes. Pursuant to an intercreditor agreement, as long as any indebtedness is outstanding under Wynn Las Vegas’ credit facilities or any of the 2014 Notes remain outstanding, the holders of the 2020 Notes will not have any right to direct the collateral agent to enforce remedies against the collateral.</w:t>
      </w:r>
    </w:p>
    <w:p>
      <w:pPr>
        <w:spacing w:after="0" w:line="189" w:lineRule="exact"/>
        <w:rPr>
          <w:sz w:val="20"/>
          <w:szCs w:val="20"/>
          <w:color w:val="auto"/>
        </w:rPr>
      </w:pPr>
    </w:p>
    <w:p>
      <w:pPr>
        <w:ind w:right="280"/>
        <w:spacing w:after="0" w:line="328" w:lineRule="auto"/>
        <w:rPr>
          <w:sz w:val="20"/>
          <w:szCs w:val="20"/>
          <w:color w:val="auto"/>
        </w:rPr>
      </w:pPr>
      <w:r>
        <w:rPr>
          <w:rFonts w:ascii="Arial" w:cs="Arial" w:eastAsia="Arial" w:hAnsi="Arial"/>
          <w:sz w:val="19"/>
          <w:szCs w:val="19"/>
          <w:color w:val="auto"/>
        </w:rPr>
        <w:t>The 2020 Notes are jointly and severally guaranteed by all of the Issuers’ subsidiaries except Wynn Completion Guarantor, LLC (the “Guarantors”). The guarantees of the 2020 Notes are secured on an equal and ratable basis by a first priority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1" w:right="259" w:bottom="1440" w:gutter="0" w:footer="0" w:header="0"/>
        </w:sectPr>
      </w:pPr>
    </w:p>
    <w:bookmarkStart w:id="2" w:name="page3"/>
    <w:bookmarkEnd w:id="2"/>
    <w:p>
      <w:pPr>
        <w:ind w:right="420"/>
        <w:spacing w:after="0" w:line="251" w:lineRule="auto"/>
        <w:rPr>
          <w:sz w:val="20"/>
          <w:szCs w:val="20"/>
          <w:color w:val="auto"/>
        </w:rPr>
      </w:pPr>
      <w:r>
        <w:rPr>
          <w:rFonts w:ascii="Arial" w:cs="Arial" w:eastAsia="Arial" w:hAnsi="Arial"/>
          <w:sz w:val="22"/>
          <w:szCs w:val="22"/>
          <w:color w:val="auto"/>
        </w:rPr>
        <w:t>lien on substantially all of the Guarantors’ assets, the same collateral that secures the guarantees under Wynn Las Vegas’ credit facilities and the Existing Notes.</w:t>
      </w:r>
    </w:p>
    <w:p>
      <w:pPr>
        <w:spacing w:after="0" w:line="200"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The Indenture contains covenants limiting the Issuers’ and the Issuers’ restricted subsidiaries’ ability to: pay dividends or distributions or repurchase equity; incur additional debt; make investments; create liens on assets;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204"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Events of default under the Indenture include, among others, the following: default for 30 days in the payment when due of interest on the 2020 Notes, default in payment when due of the principal of, or premium, if any, on the 2020 Notes; failure to comply with certain covenants in the Indenture; and certain events of bankruptcy or insolvency. In the case of an event of default arising from certain events of bankruptcy or insolvency with respect to the Issuers, any significant restricted subsidiary or any group of restricted subsidiaries that, taken together, would constitute a significant restricted subsidiary, all 2020 Notes then outstanding will become due and payable immediately without further action or notice.</w:t>
      </w:r>
    </w:p>
    <w:p>
      <w:pPr>
        <w:spacing w:after="0" w:line="204"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 foregoing description is not complete and is qualified in its entirety by the Indenture, which is filed herewith as Exhibit 4.1 and incorporated herein by this reference.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Registration Rights Agreement for 7⅞% First Mortgage Notes due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On April 28, 2010, in connection with the issuance of the 2020 Notes, the Issuers entered into a Registration Rights Agreement (the “Registration Rights Agreement”), by and among the Issuers, the Guarantors, Deutsche Bank Securities Inc., Banc of America Securities LLC and J.P. Morgan Securities Inc.</w:t>
      </w:r>
    </w:p>
    <w:p>
      <w:pPr>
        <w:spacing w:after="0" w:line="213"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Pursuant to the Registration Rights Agreement, the Issuers and the Guarantors agreed to register with the Securities and Exchange Commission (the “SEC”) exchange notes (the “Exchange Notes”), having substantially identical terms as the 2020 Notes, as part of an offer to exchange freely tradable Exchange Notes for the 2020 Notes. Pursuant to the Registration Rights Agreement, the Issuers and the Guarantors agreed to file a registration statement with the SEC within 210 days after April 28, 2010 and to use all commercially reasonable efforts to cause the registration statement to be declared effective by the SEC within 300 days after April 28, 2010. The Issuers and the Guarantors agreed to file a shelf registration statement with the SEC for the resale of t he 2020 Notes if they cannot complete an exchange offer within the time periods listed in the preceding sentence and in certain other circumstances. The Issuers and the Guarantors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3" w:name="page4"/>
    <w:bookmarkEnd w:id="3"/>
    <w:p>
      <w:pPr>
        <w:ind w:right="260"/>
        <w:spacing w:after="0" w:line="251" w:lineRule="auto"/>
        <w:rPr>
          <w:sz w:val="20"/>
          <w:szCs w:val="20"/>
          <w:color w:val="auto"/>
        </w:rPr>
      </w:pPr>
      <w:r>
        <w:rPr>
          <w:rFonts w:ascii="Arial" w:cs="Arial" w:eastAsia="Arial" w:hAnsi="Arial"/>
          <w:sz w:val="22"/>
          <w:szCs w:val="22"/>
          <w:color w:val="auto"/>
        </w:rPr>
        <w:t>may be required to pay liquidated damages if they fail to comply with the registration and exchange requirements set forth in the Registration Rights Agreement.</w:t>
      </w:r>
    </w:p>
    <w:p>
      <w:pPr>
        <w:spacing w:after="0" w:line="200"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The foregoing description is not complete and is qualified in its entirety by the Registration Rights Agreement, which is filed herewith as Exhibit 10.1 and incorporated herein by this reference.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Fourth Amendment to Amended and Restated Master Disbursement Agreement</w:t>
      </w:r>
    </w:p>
    <w:p>
      <w:pPr>
        <w:spacing w:after="0" w:line="233"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On April 28, 2010 in connection with the issuance of the 2020 Notes, Wynn Las Vegas entered into a fourth amendment (the “Fourth Amendment”) to its Amended and Restated Master Disbursement Agreement, dated as of October 25, 2007, as amended by a First Amendment thereto, dated as of October 31, 2007, a Second Amendment thereto, dated as of November 6, 2007, section 7(a) of that certain Fourth Amendment to Amended and Restated Credit Agreement, dated as of April 17, 2009, and a Third Amendment thereto, dated as of October 19, 2009 (as so amended, the “Disbursement Agreement”), by and among Wynn Las Vegas, Deutsche Bank Trust Company Americas, as bank agent, and Deutsche Bank Trust Company Americas, as disbursement agent. The Fourth Amendment makes certain t echnical changes to the Disbursement Agreement in connection with the issuance of the 2020 Notes.</w:t>
      </w:r>
    </w:p>
    <w:p>
      <w:pPr>
        <w:spacing w:after="0" w:line="208"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The foregoing description is not complete and is qualified in its entirety by the Fourth Amendment, which is filed herewith as Exhibit 10.2 and incorporated herein by this reference.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Sixth Amendment to Amended and Restated Credit Agreement</w:t>
      </w:r>
    </w:p>
    <w:p>
      <w:pPr>
        <w:spacing w:after="0" w:line="23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On April 28, 2010, Wynn Las Vegas entered into a sixth amendment (“Amendment No. 6”) to its Amended and Restated Credit Agreement, dated as of August 15, 2006 (as amended by a First Amendment to Amended and Restated Credit Agreement, dated as of April 9, 2007, a Second Amendment to Amended and Restated Credit Agreement, dated as of October 31, 2007, a Third Amendment to Amended and Restated Credit Agreement, dated as of September 17, 2008, a Fourth Amendment to Amended and Restated Credit Agreement, dated as of April 17, 2009, and a Fifth Amendment to Amended and Restated Credit Agreement, dated as of September 10, 2010, the “Credit Agreement”), among Wynn Las Vegas, Deutsche Bank Trust Company Americas, as Administrative Agent, issuing lender and swing line l ender, Deutsche Bank Securities Inc., as lead arranger and joint book running manager, Banc of America Securities LLC, as lead arranger and joint book running manager, Bank of America, N.A., as syndication agent, J.P. Morgan Securities Inc., as arranger and joint book running manager, JPMorgan Chase Bank, N.A., as joint documentation agent, SG Americas Securities, LLC, as arranger and joint book running manager, Société Générale, as joint documentation agent, Bank of Scotland, as managing agent, HSH Nordbank AG, as managing agent, the Royal Bank of Scotland PLC, as managing agent, Wachovia Bank, as managing agent, and the several banks and other financial institutions or entities from time to time parties thereto as lenders. Amendment No. 6 makes certain technical changes to the Credit Agreement in connection with the issuance of the 2020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4" w:name="page5"/>
    <w:bookmarkEnd w:id="4"/>
    <w:p>
      <w:pPr>
        <w:ind w:right="260"/>
        <w:spacing w:after="0" w:line="251" w:lineRule="auto"/>
        <w:rPr>
          <w:sz w:val="20"/>
          <w:szCs w:val="20"/>
          <w:color w:val="auto"/>
        </w:rPr>
      </w:pPr>
      <w:r>
        <w:rPr>
          <w:rFonts w:ascii="Arial" w:cs="Arial" w:eastAsia="Arial" w:hAnsi="Arial"/>
          <w:sz w:val="22"/>
          <w:szCs w:val="22"/>
          <w:color w:val="auto"/>
        </w:rPr>
        <w:t>The foregoing description is not complete and is qualified in its entirety by Amendment No. 6, which is filed herewith as Exhibit 10.3 and incorporated herein by this reference.</w:t>
      </w:r>
    </w:p>
    <w:p>
      <w:pPr>
        <w:spacing w:after="0" w:line="194" w:lineRule="exact"/>
        <w:rPr>
          <w:sz w:val="20"/>
          <w:szCs w:val="20"/>
          <w:color w:val="auto"/>
        </w:rPr>
      </w:pPr>
    </w:p>
    <w:p>
      <w:pPr>
        <w:ind w:right="920"/>
        <w:spacing w:after="0" w:line="256" w:lineRule="auto"/>
        <w:rPr>
          <w:sz w:val="20"/>
          <w:szCs w:val="20"/>
          <w:color w:val="auto"/>
        </w:rPr>
      </w:pPr>
      <w:r>
        <w:rPr>
          <w:rFonts w:ascii="Arial" w:cs="Arial" w:eastAsia="Arial" w:hAnsi="Arial"/>
          <w:sz w:val="22"/>
          <w:szCs w:val="22"/>
          <w:b w:val="1"/>
          <w:bCs w:val="1"/>
          <w:color w:val="auto"/>
        </w:rPr>
        <w:t>Item Creation of a Direct Financial Obligation or an Obligation under an Off-Balance Sheet Arrangement of a 2.03 Registrant.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information set forth in Item 1.01 is incorporated herein by reference.</w:t>
      </w:r>
    </w:p>
    <w:p>
      <w:pPr>
        <w:sectPr>
          <w:pgSz w:w="11900" w:h="16838" w:orient="portrait"/>
          <w:cols w:equalWidth="0" w:num="1">
            <w:col w:w="11420"/>
          </w:cols>
          <w:pgMar w:left="240" w:top="510" w:right="239" w:bottom="1440" w:gutter="0" w:footer="0" w:header="0"/>
        </w:sectPr>
      </w:pPr>
    </w:p>
    <w:p>
      <w:pPr>
        <w:spacing w:after="0" w:line="232" w:lineRule="exact"/>
        <w:rPr>
          <w:sz w:val="20"/>
          <w:szCs w:val="20"/>
          <w:color w:val="auto"/>
        </w:rPr>
      </w:pPr>
    </w:p>
    <w:p>
      <w:pPr>
        <w:spacing w:after="0" w:line="280" w:lineRule="auto"/>
        <w:rPr>
          <w:sz w:val="20"/>
          <w:szCs w:val="20"/>
          <w:color w:val="auto"/>
        </w:rPr>
      </w:pPr>
      <w:r>
        <w:rPr>
          <w:rFonts w:ascii="Arial" w:cs="Arial" w:eastAsia="Arial" w:hAnsi="Arial"/>
          <w:sz w:val="21"/>
          <w:szCs w:val="21"/>
          <w:b w:val="1"/>
          <w:bCs w:val="1"/>
          <w:color w:val="auto"/>
        </w:rPr>
        <w:t>Item 9.01</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164"/>
        <w:spacing w:after="0"/>
        <w:rPr>
          <w:sz w:val="20"/>
          <w:szCs w:val="20"/>
          <w:color w:val="auto"/>
        </w:rPr>
      </w:pPr>
      <w:r>
        <w:rPr>
          <w:rFonts w:ascii="Arial" w:cs="Arial" w:eastAsia="Arial" w:hAnsi="Arial"/>
          <w:sz w:val="22"/>
          <w:szCs w:val="22"/>
          <w:b w:val="1"/>
          <w:bCs w:val="1"/>
          <w:color w:val="auto"/>
        </w:rPr>
        <w:t>Financial Statements and Exhibits.</w:t>
      </w:r>
    </w:p>
    <w:p>
      <w:pPr>
        <w:spacing w:after="0" w:line="376" w:lineRule="exact"/>
        <w:rPr>
          <w:sz w:val="20"/>
          <w:szCs w:val="20"/>
          <w:color w:val="auto"/>
        </w:rPr>
      </w:pPr>
    </w:p>
    <w:p>
      <w:pPr>
        <w:ind w:left="524" w:hanging="524"/>
        <w:spacing w:after="0"/>
        <w:tabs>
          <w:tab w:leader="none" w:pos="524" w:val="left"/>
        </w:tabs>
        <w:numPr>
          <w:ilvl w:val="0"/>
          <w:numId w:val="2"/>
        </w:numPr>
        <w:rPr>
          <w:rFonts w:ascii="Arial" w:cs="Arial" w:eastAsia="Arial" w:hAnsi="Arial"/>
          <w:sz w:val="22"/>
          <w:szCs w:val="22"/>
          <w:color w:val="auto"/>
        </w:rPr>
      </w:pPr>
      <w:r>
        <w:rPr>
          <w:rFonts w:ascii="Arial" w:cs="Arial" w:eastAsia="Arial" w:hAnsi="Arial"/>
          <w:sz w:val="20"/>
          <w:szCs w:val="20"/>
          <w:color w:val="auto"/>
        </w:rPr>
        <w:t>Exhibits:</w:t>
      </w:r>
    </w:p>
    <w:p>
      <w:pPr>
        <w:spacing w:after="0" w:line="222" w:lineRule="exact"/>
        <w:rPr>
          <w:sz w:val="20"/>
          <w:szCs w:val="20"/>
          <w:color w:val="auto"/>
        </w:rPr>
      </w:pPr>
    </w:p>
    <w:p>
      <w:pPr>
        <w:ind w:left="384"/>
        <w:spacing w:after="0"/>
        <w:rPr>
          <w:sz w:val="20"/>
          <w:szCs w:val="20"/>
          <w:color w:val="auto"/>
        </w:rPr>
      </w:pPr>
      <w:r>
        <w:rPr>
          <w:rFonts w:ascii="Arial" w:cs="Arial" w:eastAsia="Arial" w:hAnsi="Arial"/>
          <w:sz w:val="20"/>
          <w:szCs w:val="20"/>
          <w:color w:val="auto"/>
        </w:rPr>
        <w:t>Exhibit</w:t>
      </w:r>
    </w:p>
    <w:p>
      <w:pPr>
        <w:spacing w:after="0" w:line="16" w:lineRule="exact"/>
        <w:rPr>
          <w:sz w:val="20"/>
          <w:szCs w:val="20"/>
          <w:color w:val="auto"/>
        </w:rPr>
      </w:pPr>
    </w:p>
    <w:p>
      <w:pPr>
        <w:ind w:left="344"/>
        <w:spacing w:after="0"/>
        <w:tabs>
          <w:tab w:leader="none" w:pos="1403" w:val="left"/>
        </w:tabs>
        <w:rPr>
          <w:sz w:val="20"/>
          <w:szCs w:val="20"/>
          <w:color w:val="auto"/>
        </w:rPr>
      </w:pPr>
      <w:r>
        <w:rPr>
          <w:rFonts w:ascii="Arial" w:cs="Arial" w:eastAsia="Arial" w:hAnsi="Arial"/>
          <w:sz w:val="20"/>
          <w:szCs w:val="20"/>
          <w:u w:val="single" w:color="auto"/>
          <w:color w:val="auto"/>
        </w:rPr>
        <w:t>Number</w:t>
      </w:r>
      <w:r>
        <w:rPr>
          <w:sz w:val="20"/>
          <w:szCs w:val="20"/>
          <w:color w:val="auto"/>
        </w:rPr>
        <w:tab/>
      </w:r>
      <w:r>
        <w:rPr>
          <w:rFonts w:ascii="Arial" w:cs="Arial" w:eastAsia="Arial" w:hAnsi="Arial"/>
          <w:sz w:val="20"/>
          <w:szCs w:val="20"/>
          <w:u w:val="single" w:color="auto"/>
          <w:color w:val="auto"/>
        </w:rPr>
        <w:t>Description</w:t>
      </w:r>
    </w:p>
    <w:p>
      <w:pPr>
        <w:spacing w:after="0" w:line="200" w:lineRule="exact"/>
        <w:rPr>
          <w:sz w:val="20"/>
          <w:szCs w:val="20"/>
          <w:color w:val="auto"/>
        </w:rPr>
      </w:pPr>
    </w:p>
    <w:p>
      <w:pPr>
        <w:ind w:left="1424" w:hanging="866"/>
        <w:spacing w:after="0" w:line="260" w:lineRule="auto"/>
        <w:tabs>
          <w:tab w:leader="none" w:pos="1403"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Indenture, dated as of April 28, 2010, by and among Wynn Las Vegas, LLC, Wynn Las Vegas Capital Corp., the Guarantors set forth therein and U.S. Bank National Association, as trustee.</w:t>
      </w:r>
    </w:p>
    <w:p>
      <w:pPr>
        <w:spacing w:after="0" w:line="190" w:lineRule="exact"/>
        <w:rPr>
          <w:sz w:val="20"/>
          <w:szCs w:val="20"/>
          <w:color w:val="auto"/>
        </w:rPr>
      </w:pPr>
    </w:p>
    <w:p>
      <w:pPr>
        <w:jc w:val="both"/>
        <w:ind w:left="1424" w:hanging="915"/>
        <w:spacing w:after="0" w:line="255" w:lineRule="auto"/>
        <w:tabs>
          <w:tab w:leader="none" w:pos="1403"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20"/>
          <w:szCs w:val="20"/>
          <w:color w:val="auto"/>
        </w:rPr>
        <w:t xml:space="preserve">Registration Rights Agreement, dated as of April 28, 2010, by and among Wynn Las Vegas, LLC, Wynn Las Vegas Capital Corp., the Guarantors set forth therein, </w:t>
      </w:r>
      <w:r>
        <w:rPr>
          <w:rFonts w:ascii="Arial" w:cs="Arial" w:eastAsia="Arial" w:hAnsi="Arial"/>
          <w:sz w:val="21"/>
          <w:szCs w:val="21"/>
          <w:color w:val="auto"/>
        </w:rPr>
        <w:t>Deutsche Bank Securities Inc., Banc of America Securities LLC</w:t>
      </w:r>
      <w:r>
        <w:rPr>
          <w:rFonts w:ascii="Arial" w:cs="Arial" w:eastAsia="Arial" w:hAnsi="Arial"/>
          <w:sz w:val="20"/>
          <w:szCs w:val="20"/>
          <w:color w:val="auto"/>
        </w:rPr>
        <w:t xml:space="preserve"> </w:t>
      </w:r>
      <w:r>
        <w:rPr>
          <w:rFonts w:ascii="Arial" w:cs="Arial" w:eastAsia="Arial" w:hAnsi="Arial"/>
          <w:sz w:val="21"/>
          <w:szCs w:val="21"/>
          <w:color w:val="auto"/>
        </w:rPr>
        <w:t>and J.P. Morgan Securities Inc.</w:t>
      </w:r>
    </w:p>
    <w:p>
      <w:pPr>
        <w:spacing w:after="0" w:line="188" w:lineRule="exact"/>
        <w:rPr>
          <w:sz w:val="20"/>
          <w:szCs w:val="20"/>
          <w:color w:val="auto"/>
        </w:rPr>
      </w:pPr>
    </w:p>
    <w:p>
      <w:pPr>
        <w:jc w:val="both"/>
        <w:ind w:left="1424" w:hanging="915"/>
        <w:spacing w:after="0" w:line="250" w:lineRule="auto"/>
        <w:tabs>
          <w:tab w:leader="none" w:pos="1403"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20"/>
          <w:szCs w:val="20"/>
          <w:color w:val="auto"/>
        </w:rPr>
        <w:t>Fourth Amendment to Amended and Restated Master Disbursement Agreement, dated April 28,2010, by and among Wynn Las Vegas, LLC, Deutsche Bank Trust Company Americas, as the Bank Agent, and Deutsche Bank Trust Company Americas, as the Disbursement Agent.</w:t>
      </w:r>
    </w:p>
    <w:p>
      <w:pPr>
        <w:spacing w:after="0" w:line="200" w:lineRule="exact"/>
        <w:rPr>
          <w:sz w:val="20"/>
          <w:szCs w:val="20"/>
          <w:color w:val="auto"/>
        </w:rPr>
      </w:pPr>
    </w:p>
    <w:p>
      <w:pPr>
        <w:jc w:val="both"/>
        <w:ind w:left="1424" w:hanging="915"/>
        <w:spacing w:after="0" w:line="246" w:lineRule="auto"/>
        <w:tabs>
          <w:tab w:leader="none" w:pos="1403"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20"/>
          <w:szCs w:val="20"/>
          <w:color w:val="auto"/>
        </w:rPr>
        <w:t>Sixth Amendment to Amended and Restated Credit Agreement dated as of April 28, 2010 among Wynn Las Vegas, LLC, Wynn Las Vegas Capital Corp., Wynn Show Performers, LLC, Wynn Golf, LLC, Wynn Sunrise, LLC, World Travel, LLC, Kevyn, LLC, Las Vegas Jet, LLC, Wynn Resorts Holdings, LLC, Wynn Completion Guarantor, LLC and Deutsche Bank Trust Company Americas, as Administrative Agent.</w:t>
      </w:r>
    </w:p>
    <w:p>
      <w:pPr>
        <w:spacing w:after="0" w:line="200" w:lineRule="exact"/>
        <w:rPr>
          <w:sz w:val="20"/>
          <w:szCs w:val="20"/>
          <w:color w:val="auto"/>
        </w:rPr>
      </w:pPr>
    </w:p>
    <w:p>
      <w:pPr>
        <w:sectPr>
          <w:pgSz w:w="11900" w:h="16838" w:orient="portrait"/>
          <w:cols w:equalWidth="0" w:num="2">
            <w:col w:w="440" w:space="216"/>
            <w:col w:w="10764"/>
          </w:cols>
          <w:pgMar w:left="240" w:top="510" w:right="2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April 28, 2010</w:t>
      </w: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6660"/>
        <w:spacing w:after="0"/>
        <w:tabs>
          <w:tab w:leader="none" w:pos="74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10160</wp:posOffset>
            </wp:positionV>
            <wp:extent cx="23241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7" w:lineRule="exact"/>
        <w:rPr>
          <w:sz w:val="20"/>
          <w:szCs w:val="20"/>
          <w:color w:val="auto"/>
        </w:rPr>
      </w:pPr>
    </w:p>
    <w:p>
      <w:pPr>
        <w:ind w:left="7440"/>
        <w:spacing w:after="0"/>
        <w:rPr>
          <w:sz w:val="20"/>
          <w:szCs w:val="20"/>
          <w:color w:val="auto"/>
        </w:rPr>
      </w:pPr>
      <w:r>
        <w:rPr>
          <w:rFonts w:ascii="Arial" w:cs="Arial" w:eastAsia="Arial" w:hAnsi="Arial"/>
          <w:sz w:val="20"/>
          <w:szCs w:val="20"/>
          <w:color w:val="auto"/>
        </w:rPr>
        <w:t>Matt Maddox</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20"/>
          <w:szCs w:val="20"/>
          <w:color w:val="auto"/>
        </w:rPr>
        <w:t>Chief Financial Officer and</w:t>
      </w:r>
    </w:p>
    <w:p>
      <w:pPr>
        <w:ind w:left="7440"/>
        <w:spacing w:after="0"/>
        <w:rPr>
          <w:sz w:val="20"/>
          <w:szCs w:val="20"/>
          <w:color w:val="auto"/>
        </w:rPr>
      </w:pPr>
      <w:r>
        <w:rPr>
          <w:rFonts w:ascii="Arial" w:cs="Arial" w:eastAsia="Arial" w:hAnsi="Arial"/>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April 28, 2010</w:t>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20"/>
          <w:szCs w:val="20"/>
          <w:color w:val="auto"/>
        </w:rPr>
        <w:t>WYNN LAS VEGAS, LLC</w:t>
      </w:r>
    </w:p>
    <w:p>
      <w:pPr>
        <w:spacing w:after="0" w:line="200" w:lineRule="exact"/>
        <w:rPr>
          <w:sz w:val="20"/>
          <w:szCs w:val="20"/>
          <w:color w:val="auto"/>
        </w:rPr>
      </w:pPr>
    </w:p>
    <w:p>
      <w:pPr>
        <w:jc w:val="center"/>
        <w:ind w:left="6820"/>
        <w:spacing w:after="0"/>
        <w:tabs>
          <w:tab w:leader="none" w:pos="3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Wynn Resorts Holdings, LLC,</w:t>
      </w:r>
    </w:p>
    <w:p>
      <w:pPr>
        <w:spacing w:after="0" w:line="16" w:lineRule="exact"/>
        <w:rPr>
          <w:sz w:val="20"/>
          <w:szCs w:val="20"/>
          <w:color w:val="auto"/>
        </w:rPr>
      </w:pPr>
    </w:p>
    <w:p>
      <w:pPr>
        <w:jc w:val="center"/>
        <w:ind w:left="52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6820"/>
        <w:spacing w:after="0"/>
        <w:tabs>
          <w:tab w:leader="none" w:pos="74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Wynn Resorts, Limited,</w:t>
      </w:r>
    </w:p>
    <w:p>
      <w:pPr>
        <w:spacing w:after="0" w:line="16" w:lineRule="exact"/>
        <w:rPr>
          <w:sz w:val="20"/>
          <w:szCs w:val="20"/>
          <w:color w:val="auto"/>
        </w:rPr>
      </w:pPr>
    </w:p>
    <w:p>
      <w:pPr>
        <w:ind w:left="77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6820"/>
        <w:spacing w:after="0"/>
        <w:tabs>
          <w:tab w:leader="none" w:pos="74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10160</wp:posOffset>
            </wp:positionV>
            <wp:extent cx="23241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7" w:lineRule="exact"/>
        <w:rPr>
          <w:sz w:val="20"/>
          <w:szCs w:val="20"/>
          <w:color w:val="auto"/>
        </w:rPr>
      </w:pPr>
    </w:p>
    <w:p>
      <w:pPr>
        <w:ind w:left="7440"/>
        <w:spacing w:after="0"/>
        <w:rPr>
          <w:sz w:val="20"/>
          <w:szCs w:val="20"/>
          <w:color w:val="auto"/>
        </w:rPr>
      </w:pPr>
      <w:r>
        <w:rPr>
          <w:rFonts w:ascii="Arial" w:cs="Arial" w:eastAsia="Arial" w:hAnsi="Arial"/>
          <w:sz w:val="20"/>
          <w:szCs w:val="20"/>
          <w:color w:val="auto"/>
        </w:rPr>
        <w:t>Matt Maddox</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20"/>
          <w:szCs w:val="20"/>
          <w:color w:val="auto"/>
        </w:rPr>
        <w:t>Chief Financial Officer and</w:t>
      </w:r>
    </w:p>
    <w:p>
      <w:pPr>
        <w:ind w:left="7440"/>
        <w:spacing w:after="0"/>
        <w:rPr>
          <w:sz w:val="20"/>
          <w:szCs w:val="20"/>
          <w:color w:val="auto"/>
        </w:rPr>
      </w:pPr>
      <w:r>
        <w:rPr>
          <w:rFonts w:ascii="Arial" w:cs="Arial" w:eastAsia="Arial" w:hAnsi="Arial"/>
          <w:sz w:val="20"/>
          <w:szCs w:val="20"/>
          <w:color w:val="auto"/>
        </w:rPr>
        <w:t>Treasurer</w:t>
      </w:r>
    </w:p>
    <w:p>
      <w:pPr>
        <w:sectPr>
          <w:pgSz w:w="11900" w:h="16838" w:orient="portrait"/>
          <w:cols w:equalWidth="0" w:num="1">
            <w:col w:w="11420"/>
          </w:cols>
          <w:pgMar w:left="240" w:top="50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WYNN LAS VEGAS, LLC</w:t>
      </w:r>
    </w:p>
    <w:p>
      <w:pPr>
        <w:jc w:val="center"/>
        <w:ind w:right="1200"/>
        <w:spacing w:after="0" w:line="238" w:lineRule="auto"/>
        <w:rPr>
          <w:sz w:val="20"/>
          <w:szCs w:val="20"/>
          <w:color w:val="auto"/>
        </w:rPr>
      </w:pPr>
      <w:r>
        <w:rPr>
          <w:rFonts w:ascii="Arial" w:cs="Arial" w:eastAsia="Arial" w:hAnsi="Arial"/>
          <w:sz w:val="22"/>
          <w:szCs w:val="22"/>
          <w:color w:val="auto"/>
        </w:rPr>
        <w:t>and</w:t>
      </w:r>
    </w:p>
    <w:p>
      <w:pPr>
        <w:jc w:val="center"/>
        <w:ind w:right="1200"/>
        <w:spacing w:after="0" w:line="230" w:lineRule="auto"/>
        <w:rPr>
          <w:sz w:val="20"/>
          <w:szCs w:val="20"/>
          <w:color w:val="auto"/>
        </w:rPr>
      </w:pPr>
      <w:r>
        <w:rPr>
          <w:rFonts w:ascii="Arial" w:cs="Arial" w:eastAsia="Arial" w:hAnsi="Arial"/>
          <w:sz w:val="22"/>
          <w:szCs w:val="22"/>
          <w:color w:val="auto"/>
        </w:rPr>
        <w:t>WYNN LAS VEGAS CAPITAL CORP.,</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joint and several obligors</w:t>
      </w:r>
    </w:p>
    <w:p>
      <w:pPr>
        <w:spacing w:after="0" w:line="21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KEVYN, LLC</w:t>
      </w:r>
    </w:p>
    <w:p>
      <w:pPr>
        <w:jc w:val="center"/>
        <w:ind w:right="1200"/>
        <w:spacing w:after="0" w:line="238" w:lineRule="auto"/>
        <w:rPr>
          <w:sz w:val="20"/>
          <w:szCs w:val="20"/>
          <w:color w:val="auto"/>
        </w:rPr>
      </w:pPr>
      <w:r>
        <w:rPr>
          <w:rFonts w:ascii="Arial" w:cs="Arial" w:eastAsia="Arial" w:hAnsi="Arial"/>
          <w:sz w:val="22"/>
          <w:szCs w:val="22"/>
          <w:color w:val="auto"/>
        </w:rPr>
        <w:t>LAS VEGAS JET, LLC</w:t>
      </w:r>
    </w:p>
    <w:p>
      <w:pPr>
        <w:jc w:val="center"/>
        <w:ind w:right="1200"/>
        <w:spacing w:after="0" w:line="230" w:lineRule="auto"/>
        <w:rPr>
          <w:sz w:val="20"/>
          <w:szCs w:val="20"/>
          <w:color w:val="auto"/>
        </w:rPr>
      </w:pPr>
      <w:r>
        <w:rPr>
          <w:rFonts w:ascii="Arial" w:cs="Arial" w:eastAsia="Arial" w:hAnsi="Arial"/>
          <w:sz w:val="22"/>
          <w:szCs w:val="22"/>
          <w:color w:val="auto"/>
        </w:rPr>
        <w:t>WORLD TRAVEL, LLC</w:t>
      </w:r>
    </w:p>
    <w:p>
      <w:pPr>
        <w:jc w:val="center"/>
        <w:ind w:right="1200"/>
        <w:spacing w:after="0" w:line="231" w:lineRule="auto"/>
        <w:rPr>
          <w:sz w:val="20"/>
          <w:szCs w:val="20"/>
          <w:color w:val="auto"/>
        </w:rPr>
      </w:pPr>
      <w:r>
        <w:rPr>
          <w:rFonts w:ascii="Arial" w:cs="Arial" w:eastAsia="Arial" w:hAnsi="Arial"/>
          <w:sz w:val="22"/>
          <w:szCs w:val="22"/>
          <w:color w:val="auto"/>
        </w:rPr>
        <w:t>WYNN GOLF, LLC</w:t>
      </w:r>
    </w:p>
    <w:p>
      <w:pPr>
        <w:jc w:val="center"/>
        <w:ind w:right="1200"/>
        <w:spacing w:after="0" w:line="231" w:lineRule="auto"/>
        <w:rPr>
          <w:sz w:val="20"/>
          <w:szCs w:val="20"/>
          <w:color w:val="auto"/>
        </w:rPr>
      </w:pPr>
      <w:r>
        <w:rPr>
          <w:rFonts w:ascii="Arial" w:cs="Arial" w:eastAsia="Arial" w:hAnsi="Arial"/>
          <w:sz w:val="22"/>
          <w:szCs w:val="22"/>
          <w:color w:val="auto"/>
        </w:rPr>
        <w:t>WYNN SHOW PERFORMERS, LLC</w:t>
      </w:r>
    </w:p>
    <w:p>
      <w:pPr>
        <w:jc w:val="center"/>
        <w:ind w:right="1200"/>
        <w:spacing w:after="0" w:line="230" w:lineRule="auto"/>
        <w:rPr>
          <w:sz w:val="20"/>
          <w:szCs w:val="20"/>
          <w:color w:val="auto"/>
        </w:rPr>
      </w:pPr>
      <w:r>
        <w:rPr>
          <w:rFonts w:ascii="Arial" w:cs="Arial" w:eastAsia="Arial" w:hAnsi="Arial"/>
          <w:sz w:val="22"/>
          <w:szCs w:val="22"/>
          <w:color w:val="auto"/>
        </w:rPr>
        <w:t>and</w:t>
      </w:r>
    </w:p>
    <w:p>
      <w:pPr>
        <w:jc w:val="center"/>
        <w:ind w:right="1200"/>
        <w:spacing w:after="0" w:line="231" w:lineRule="auto"/>
        <w:rPr>
          <w:sz w:val="20"/>
          <w:szCs w:val="20"/>
          <w:color w:val="auto"/>
        </w:rPr>
      </w:pPr>
      <w:r>
        <w:rPr>
          <w:rFonts w:ascii="Arial" w:cs="Arial" w:eastAsia="Arial" w:hAnsi="Arial"/>
          <w:sz w:val="22"/>
          <w:szCs w:val="22"/>
          <w:color w:val="auto"/>
        </w:rPr>
        <w:t>WYNN SUNRISE, LLC,</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guarantors</w:t>
      </w:r>
    </w:p>
    <w:p>
      <w:pPr>
        <w:spacing w:after="0" w:line="21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SERIES A AND SERIES B</w:t>
      </w:r>
    </w:p>
    <w:p>
      <w:pPr>
        <w:spacing w:after="0" w:line="233"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7⅞% FIRST MORTGAGE NOTES DUE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365760</wp:posOffset>
            </wp:positionV>
            <wp:extent cx="219075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9075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INDENTURE</w:t>
      </w:r>
    </w:p>
    <w:p>
      <w:pPr>
        <w:spacing w:after="0" w:line="233"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Dated as of April 28,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210820</wp:posOffset>
            </wp:positionV>
            <wp:extent cx="219075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90750" cy="3873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982980</wp:posOffset>
            </wp:positionV>
            <wp:extent cx="219075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9075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U.S. BANK NATIONAL ASSOCIATION</w:t>
      </w:r>
    </w:p>
    <w:p>
      <w:pPr>
        <w:spacing w:after="0" w:line="23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210820</wp:posOffset>
            </wp:positionV>
            <wp:extent cx="219075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90750" cy="3873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854075</wp:posOffset>
            </wp:positionV>
            <wp:extent cx="7250430" cy="45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1677670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5"/>
        </w:trPr>
        <w:tc>
          <w:tcPr>
            <w:tcW w:w="3080" w:type="dxa"/>
            <w:vAlign w:val="bottom"/>
          </w:tcPr>
          <w:p>
            <w:pPr>
              <w:spacing w:after="0"/>
              <w:rPr>
                <w:sz w:val="23"/>
                <w:szCs w:val="23"/>
                <w:color w:val="auto"/>
              </w:rPr>
            </w:pPr>
          </w:p>
        </w:tc>
        <w:tc>
          <w:tcPr>
            <w:tcW w:w="8340" w:type="dxa"/>
            <w:vAlign w:val="bottom"/>
          </w:tcPr>
          <w:p>
            <w:pPr>
              <w:ind w:left="1220"/>
              <w:spacing w:after="0"/>
              <w:rPr>
                <w:sz w:val="20"/>
                <w:szCs w:val="20"/>
                <w:color w:val="auto"/>
              </w:rPr>
            </w:pPr>
            <w:r>
              <w:rPr>
                <w:rFonts w:ascii="Arial" w:cs="Arial" w:eastAsia="Arial" w:hAnsi="Arial"/>
                <w:sz w:val="22"/>
                <w:szCs w:val="22"/>
                <w:color w:val="auto"/>
              </w:rPr>
              <w:t>CROSS-REFERENCE TABLE*</w:t>
            </w:r>
          </w:p>
        </w:tc>
      </w:tr>
      <w:tr>
        <w:trPr>
          <w:trHeight w:val="455"/>
        </w:trPr>
        <w:tc>
          <w:tcPr>
            <w:tcW w:w="3080" w:type="dxa"/>
            <w:vAlign w:val="bottom"/>
          </w:tcPr>
          <w:p>
            <w:pPr>
              <w:spacing w:after="0"/>
              <w:rPr>
                <w:sz w:val="20"/>
                <w:szCs w:val="20"/>
                <w:color w:val="auto"/>
              </w:rPr>
            </w:pPr>
            <w:r>
              <w:rPr>
                <w:rFonts w:ascii="Arial" w:cs="Arial" w:eastAsia="Arial" w:hAnsi="Arial"/>
                <w:sz w:val="22"/>
                <w:szCs w:val="22"/>
                <w:i w:val="1"/>
                <w:iCs w:val="1"/>
                <w:color w:val="auto"/>
              </w:rPr>
              <w:t>Trust Indenture</w:t>
            </w:r>
          </w:p>
        </w:tc>
        <w:tc>
          <w:tcPr>
            <w:tcW w:w="8340" w:type="dxa"/>
            <w:vAlign w:val="bottom"/>
          </w:tcPr>
          <w:p>
            <w:pPr>
              <w:jc w:val="center"/>
              <w:ind w:left="5352"/>
              <w:spacing w:after="0"/>
              <w:rPr>
                <w:sz w:val="20"/>
                <w:szCs w:val="20"/>
                <w:color w:val="auto"/>
              </w:rPr>
            </w:pPr>
            <w:r>
              <w:rPr>
                <w:rFonts w:ascii="Arial" w:cs="Arial" w:eastAsia="Arial" w:hAnsi="Arial"/>
                <w:sz w:val="22"/>
                <w:szCs w:val="22"/>
                <w:i w:val="1"/>
                <w:iCs w:val="1"/>
                <w:color w:val="auto"/>
                <w:w w:val="88"/>
              </w:rPr>
              <w:t>Indenture Section</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i w:val="1"/>
                <w:iCs w:val="1"/>
                <w:color w:val="auto"/>
              </w:rPr>
              <w:t>Act Section</w:t>
            </w:r>
          </w:p>
        </w:tc>
        <w:tc>
          <w:tcPr>
            <w:tcW w:w="8340" w:type="dxa"/>
            <w:vAlign w:val="bottom"/>
          </w:tcPr>
          <w:p>
            <w:pPr>
              <w:spacing w:after="0"/>
              <w:rPr>
                <w:sz w:val="21"/>
                <w:szCs w:val="21"/>
                <w:color w:val="auto"/>
              </w:rPr>
            </w:pP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310(a)(1)</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7.10</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(a)(2)</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7.10</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(a)(3)</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8"/>
              </w:rPr>
              <w:t>N.A.</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(a)(4)</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8"/>
              </w:rPr>
              <w:t>N.A.</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(a)(5)</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7.10</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7.10</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(c)</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8"/>
              </w:rPr>
              <w:t>N.A.</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311(a)</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7.11</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7.11</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(c)</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8"/>
              </w:rPr>
              <w:t>N.A.</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312(a)</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2.05</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0"/>
              </w:rPr>
              <w:t>14.03</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(c)</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0"/>
              </w:rPr>
              <w:t>14.03</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313(a)</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7.06</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0"/>
              </w:rPr>
              <w:t>10.03</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(b)(2)</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7"/>
              </w:rPr>
              <w:t>7.06; 7.07</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(c)</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7.06; 14.02</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(d)</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7.06</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314(a)</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9"/>
              </w:rPr>
              <w:t>4.03;14.02; 14.05</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0"/>
              </w:rPr>
              <w:t>10.02</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(c)(1)</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0"/>
              </w:rPr>
              <w:t>14.04</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(c)(2)</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0"/>
              </w:rPr>
              <w:t>14.04</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(c)(3)</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8"/>
              </w:rPr>
              <w:t>N.A.</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(d)</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7"/>
              </w:rPr>
              <w:t>10.03, 10.04, 10.05</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(e)</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0"/>
              </w:rPr>
              <w:t>14.05</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(f)</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8"/>
              </w:rPr>
              <w:t>N.A.</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315(a)</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7.01</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w:t>
            </w:r>
          </w:p>
        </w:tc>
        <w:tc>
          <w:tcPr>
            <w:tcW w:w="8340" w:type="dxa"/>
            <w:vAlign w:val="bottom"/>
          </w:tcPr>
          <w:p>
            <w:pPr>
              <w:jc w:val="center"/>
              <w:ind w:left="5352"/>
              <w:spacing w:after="0" w:line="243" w:lineRule="exact"/>
              <w:rPr>
                <w:sz w:val="20"/>
                <w:szCs w:val="20"/>
                <w:color w:val="auto"/>
              </w:rPr>
            </w:pPr>
            <w:r>
              <w:rPr>
                <w:rFonts w:ascii="Arial" w:cs="Arial" w:eastAsia="Arial" w:hAnsi="Arial"/>
                <w:sz w:val="22"/>
                <w:szCs w:val="22"/>
                <w:color w:val="auto"/>
                <w:w w:val="88"/>
              </w:rPr>
              <w:t>7.05,14.02</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(c)</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7.01</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(d)</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7.01</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(e)</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6.11</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316(a) (last sentence)</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2.09</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(a)(1)(A)</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6.05</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(a)(1)(B)</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6.04</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(a)(2)</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8"/>
              </w:rPr>
              <w:t>N.A.</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6.07</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(c)</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2.12</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317(a)(1)</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6.08</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(a)(2)</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6.09</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88"/>
              </w:rPr>
              <w:t>2.04</w:t>
            </w:r>
          </w:p>
        </w:tc>
      </w:tr>
      <w:tr>
        <w:trPr>
          <w:trHeight w:val="243"/>
        </w:trPr>
        <w:tc>
          <w:tcPr>
            <w:tcW w:w="3080" w:type="dxa"/>
            <w:vAlign w:val="bottom"/>
          </w:tcPr>
          <w:p>
            <w:pPr>
              <w:spacing w:after="0" w:line="243" w:lineRule="exact"/>
              <w:rPr>
                <w:sz w:val="20"/>
                <w:szCs w:val="20"/>
                <w:color w:val="auto"/>
              </w:rPr>
            </w:pPr>
            <w:r>
              <w:rPr>
                <w:rFonts w:ascii="Arial" w:cs="Arial" w:eastAsia="Arial" w:hAnsi="Arial"/>
                <w:sz w:val="22"/>
                <w:szCs w:val="22"/>
                <w:color w:val="auto"/>
              </w:rPr>
              <w:t>318(a)</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8"/>
              </w:rPr>
              <w:t>N.A.</w:t>
            </w:r>
          </w:p>
        </w:tc>
      </w:tr>
      <w:tr>
        <w:trPr>
          <w:trHeight w:val="243"/>
        </w:trPr>
        <w:tc>
          <w:tcPr>
            <w:tcW w:w="3080" w:type="dxa"/>
            <w:vAlign w:val="bottom"/>
          </w:tcPr>
          <w:p>
            <w:pPr>
              <w:ind w:left="340"/>
              <w:spacing w:after="0" w:line="243" w:lineRule="exact"/>
              <w:rPr>
                <w:sz w:val="20"/>
                <w:szCs w:val="20"/>
                <w:color w:val="auto"/>
              </w:rPr>
            </w:pPr>
            <w:r>
              <w:rPr>
                <w:rFonts w:ascii="Arial" w:cs="Arial" w:eastAsia="Arial" w:hAnsi="Arial"/>
                <w:sz w:val="22"/>
                <w:szCs w:val="22"/>
                <w:color w:val="auto"/>
              </w:rPr>
              <w:t>(b)</w:t>
            </w:r>
          </w:p>
        </w:tc>
        <w:tc>
          <w:tcPr>
            <w:tcW w:w="8340" w:type="dxa"/>
            <w:vAlign w:val="bottom"/>
          </w:tcPr>
          <w:p>
            <w:pPr>
              <w:jc w:val="center"/>
              <w:ind w:left="5372"/>
              <w:spacing w:after="0" w:line="243" w:lineRule="exact"/>
              <w:rPr>
                <w:sz w:val="20"/>
                <w:szCs w:val="20"/>
                <w:color w:val="auto"/>
              </w:rPr>
            </w:pPr>
            <w:r>
              <w:rPr>
                <w:rFonts w:ascii="Arial" w:cs="Arial" w:eastAsia="Arial" w:hAnsi="Arial"/>
                <w:sz w:val="22"/>
                <w:szCs w:val="22"/>
                <w:color w:val="auto"/>
                <w:w w:val="98"/>
              </w:rPr>
              <w:t>N.A.</w:t>
            </w:r>
          </w:p>
        </w:tc>
      </w:tr>
      <w:tr>
        <w:trPr>
          <w:trHeight w:val="275"/>
        </w:trPr>
        <w:tc>
          <w:tcPr>
            <w:tcW w:w="3080" w:type="dxa"/>
            <w:vAlign w:val="bottom"/>
          </w:tcPr>
          <w:p>
            <w:pPr>
              <w:ind w:left="340"/>
              <w:spacing w:after="0"/>
              <w:rPr>
                <w:sz w:val="20"/>
                <w:szCs w:val="20"/>
                <w:color w:val="auto"/>
              </w:rPr>
            </w:pPr>
            <w:r>
              <w:rPr>
                <w:rFonts w:ascii="Arial" w:cs="Arial" w:eastAsia="Arial" w:hAnsi="Arial"/>
                <w:sz w:val="22"/>
                <w:szCs w:val="22"/>
                <w:color w:val="auto"/>
              </w:rPr>
              <w:t>(c)</w:t>
            </w:r>
          </w:p>
        </w:tc>
        <w:tc>
          <w:tcPr>
            <w:tcW w:w="8340" w:type="dxa"/>
            <w:vAlign w:val="bottom"/>
          </w:tcPr>
          <w:p>
            <w:pPr>
              <w:jc w:val="center"/>
              <w:ind w:left="5372"/>
              <w:spacing w:after="0"/>
              <w:rPr>
                <w:sz w:val="20"/>
                <w:szCs w:val="20"/>
                <w:color w:val="auto"/>
              </w:rPr>
            </w:pPr>
            <w:r>
              <w:rPr>
                <w:rFonts w:ascii="Arial" w:cs="Arial" w:eastAsia="Arial" w:hAnsi="Arial"/>
                <w:sz w:val="22"/>
                <w:szCs w:val="22"/>
                <w:color w:val="auto"/>
                <w:w w:val="90"/>
              </w:rPr>
              <w:t>14.01</w:t>
            </w:r>
          </w:p>
        </w:tc>
      </w:tr>
      <w:tr>
        <w:trPr>
          <w:trHeight w:val="892"/>
        </w:trPr>
        <w:tc>
          <w:tcPr>
            <w:tcW w:w="3080" w:type="dxa"/>
            <w:vAlign w:val="bottom"/>
            <w:tcBorders>
              <w:bottom w:val="single" w:sz="8" w:color="808080"/>
            </w:tcBorders>
          </w:tcPr>
          <w:p>
            <w:pPr>
              <w:spacing w:after="0"/>
              <w:rPr>
                <w:sz w:val="24"/>
                <w:szCs w:val="24"/>
                <w:color w:val="auto"/>
              </w:rPr>
            </w:pPr>
          </w:p>
        </w:tc>
        <w:tc>
          <w:tcPr>
            <w:tcW w:w="8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N.A. means not applicable.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This Cross Reference Table is not part of the Indenture.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5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75"/>
        </w:trPr>
        <w:tc>
          <w:tcPr>
            <w:tcW w:w="1180" w:type="dxa"/>
            <w:vAlign w:val="bottom"/>
          </w:tcPr>
          <w:p>
            <w:pPr>
              <w:spacing w:after="0"/>
              <w:rPr>
                <w:sz w:val="23"/>
                <w:szCs w:val="23"/>
                <w:color w:val="auto"/>
              </w:rPr>
            </w:pPr>
          </w:p>
        </w:tc>
        <w:tc>
          <w:tcPr>
            <w:tcW w:w="8500" w:type="dxa"/>
            <w:vAlign w:val="bottom"/>
          </w:tcPr>
          <w:p>
            <w:pPr>
              <w:jc w:val="center"/>
              <w:ind w:left="452"/>
              <w:spacing w:after="0"/>
              <w:rPr>
                <w:sz w:val="20"/>
                <w:szCs w:val="20"/>
                <w:color w:val="auto"/>
              </w:rPr>
            </w:pPr>
            <w:r>
              <w:rPr>
                <w:rFonts w:ascii="Arial" w:cs="Arial" w:eastAsia="Arial" w:hAnsi="Arial"/>
                <w:sz w:val="22"/>
                <w:szCs w:val="22"/>
                <w:color w:val="auto"/>
                <w:w w:val="93"/>
              </w:rPr>
              <w:t>TABLE OF CONTENTS</w:t>
            </w: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180" w:type="dxa"/>
            <w:vAlign w:val="bottom"/>
          </w:tcPr>
          <w:p>
            <w:pPr>
              <w:spacing w:after="0"/>
              <w:rPr>
                <w:sz w:val="24"/>
                <w:szCs w:val="24"/>
                <w:color w:val="auto"/>
              </w:rPr>
            </w:pPr>
          </w:p>
        </w:tc>
        <w:tc>
          <w:tcPr>
            <w:tcW w:w="8500" w:type="dxa"/>
            <w:vAlign w:val="bottom"/>
            <w:vMerge w:val="restart"/>
          </w:tcPr>
          <w:p>
            <w:pPr>
              <w:jc w:val="center"/>
              <w:ind w:left="472"/>
              <w:spacing w:after="0"/>
              <w:rPr>
                <w:sz w:val="20"/>
                <w:szCs w:val="20"/>
                <w:color w:val="auto"/>
              </w:rPr>
            </w:pPr>
            <w:r>
              <w:rPr>
                <w:rFonts w:ascii="Arial" w:cs="Arial" w:eastAsia="Arial" w:hAnsi="Arial"/>
                <w:sz w:val="22"/>
                <w:szCs w:val="22"/>
                <w:color w:val="auto"/>
                <w:w w:val="95"/>
              </w:rPr>
              <w:t>ARTICLE 1.</w:t>
            </w:r>
          </w:p>
        </w:tc>
        <w:tc>
          <w:tcPr>
            <w:tcW w:w="1740" w:type="dxa"/>
            <w:vAlign w:val="bottom"/>
          </w:tcPr>
          <w:p>
            <w:pPr>
              <w:jc w:val="right"/>
              <w:spacing w:after="0"/>
              <w:rPr>
                <w:sz w:val="20"/>
                <w:szCs w:val="20"/>
                <w:color w:val="auto"/>
              </w:rPr>
            </w:pPr>
            <w:r>
              <w:rPr>
                <w:rFonts w:ascii="Arial" w:cs="Arial" w:eastAsia="Arial" w:hAnsi="Arial"/>
                <w:sz w:val="22"/>
                <w:szCs w:val="22"/>
                <w:i w:val="1"/>
                <w:iCs w:val="1"/>
                <w:color w:val="auto"/>
              </w:rPr>
              <w:t>Page</w:t>
            </w:r>
          </w:p>
        </w:tc>
        <w:tc>
          <w:tcPr>
            <w:tcW w:w="0" w:type="dxa"/>
            <w:vAlign w:val="bottom"/>
          </w:tcPr>
          <w:p>
            <w:pPr>
              <w:spacing w:after="0"/>
              <w:rPr>
                <w:sz w:val="1"/>
                <w:szCs w:val="1"/>
                <w:color w:val="auto"/>
              </w:rPr>
            </w:pPr>
          </w:p>
        </w:tc>
      </w:tr>
      <w:tr>
        <w:trPr>
          <w:trHeight w:val="212"/>
        </w:trPr>
        <w:tc>
          <w:tcPr>
            <w:tcW w:w="1180" w:type="dxa"/>
            <w:vAlign w:val="bottom"/>
          </w:tcPr>
          <w:p>
            <w:pPr>
              <w:spacing w:after="0"/>
              <w:rPr>
                <w:sz w:val="18"/>
                <w:szCs w:val="18"/>
                <w:color w:val="auto"/>
              </w:rPr>
            </w:pPr>
          </w:p>
        </w:tc>
        <w:tc>
          <w:tcPr>
            <w:tcW w:w="850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180" w:type="dxa"/>
            <w:vAlign w:val="bottom"/>
          </w:tcPr>
          <w:p>
            <w:pPr>
              <w:spacing w:after="0"/>
              <w:rPr>
                <w:sz w:val="23"/>
                <w:szCs w:val="23"/>
                <w:color w:val="auto"/>
              </w:rPr>
            </w:pPr>
          </w:p>
        </w:tc>
        <w:tc>
          <w:tcPr>
            <w:tcW w:w="8500" w:type="dxa"/>
            <w:vAlign w:val="bottom"/>
          </w:tcPr>
          <w:p>
            <w:pPr>
              <w:jc w:val="center"/>
              <w:ind w:left="452"/>
              <w:spacing w:after="0"/>
              <w:rPr>
                <w:sz w:val="20"/>
                <w:szCs w:val="20"/>
                <w:color w:val="auto"/>
              </w:rPr>
            </w:pPr>
            <w:r>
              <w:rPr>
                <w:rFonts w:ascii="Arial" w:cs="Arial" w:eastAsia="Arial" w:hAnsi="Arial"/>
                <w:sz w:val="22"/>
                <w:szCs w:val="22"/>
                <w:color w:val="auto"/>
                <w:w w:val="94"/>
              </w:rPr>
              <w:t>DEFINITIONS AND INCORPORATION BY REFERENCE</w:t>
            </w: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1180" w:type="dxa"/>
            <w:vAlign w:val="bottom"/>
          </w:tcPr>
          <w:p>
            <w:pPr>
              <w:spacing w:after="0"/>
              <w:rPr>
                <w:sz w:val="20"/>
                <w:szCs w:val="20"/>
                <w:color w:val="auto"/>
              </w:rPr>
            </w:pPr>
            <w:r>
              <w:rPr>
                <w:rFonts w:ascii="Arial" w:cs="Arial" w:eastAsia="Arial" w:hAnsi="Arial"/>
                <w:sz w:val="22"/>
                <w:szCs w:val="22"/>
                <w:color w:val="auto"/>
                <w:w w:val="94"/>
              </w:rPr>
              <w:t>Section 1.01</w:t>
            </w:r>
          </w:p>
        </w:tc>
        <w:tc>
          <w:tcPr>
            <w:tcW w:w="8500" w:type="dxa"/>
            <w:vAlign w:val="bottom"/>
          </w:tcPr>
          <w:p>
            <w:pPr>
              <w:ind w:left="80"/>
              <w:spacing w:after="0"/>
              <w:rPr>
                <w:sz w:val="20"/>
                <w:szCs w:val="20"/>
                <w:color w:val="auto"/>
              </w:rPr>
            </w:pPr>
            <w:r>
              <w:rPr>
                <w:rFonts w:ascii="Arial" w:cs="Arial" w:eastAsia="Arial" w:hAnsi="Arial"/>
                <w:sz w:val="22"/>
                <w:szCs w:val="22"/>
                <w:color w:val="auto"/>
              </w:rPr>
              <w:t>Definitions.</w:t>
            </w:r>
          </w:p>
        </w:tc>
        <w:tc>
          <w:tcPr>
            <w:tcW w:w="1740" w:type="dxa"/>
            <w:vAlign w:val="bottom"/>
          </w:tcPr>
          <w:p>
            <w:pPr>
              <w:jc w:val="right"/>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1.02</w:t>
            </w:r>
          </w:p>
        </w:tc>
        <w:tc>
          <w:tcPr>
            <w:tcW w:w="8500" w:type="dxa"/>
            <w:vAlign w:val="bottom"/>
          </w:tcPr>
          <w:p>
            <w:pPr>
              <w:ind w:left="80"/>
              <w:spacing w:after="0" w:line="243" w:lineRule="exact"/>
              <w:rPr>
                <w:sz w:val="20"/>
                <w:szCs w:val="20"/>
                <w:color w:val="auto"/>
              </w:rPr>
            </w:pPr>
            <w:r>
              <w:rPr>
                <w:rFonts w:ascii="Arial" w:cs="Arial" w:eastAsia="Arial" w:hAnsi="Arial"/>
                <w:sz w:val="22"/>
                <w:szCs w:val="22"/>
                <w:color w:val="auto"/>
              </w:rPr>
              <w:t>Other Definitions.</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43"/>
        </w:trPr>
        <w:tc>
          <w:tcPr>
            <w:tcW w:w="9680" w:type="dxa"/>
            <w:vAlign w:val="bottom"/>
            <w:gridSpan w:val="2"/>
          </w:tcPr>
          <w:p>
            <w:pPr>
              <w:spacing w:after="0" w:line="243" w:lineRule="exact"/>
              <w:rPr>
                <w:sz w:val="20"/>
                <w:szCs w:val="20"/>
                <w:color w:val="auto"/>
              </w:rPr>
            </w:pPr>
            <w:r>
              <w:rPr>
                <w:rFonts w:ascii="Arial" w:cs="Arial" w:eastAsia="Arial" w:hAnsi="Arial"/>
                <w:sz w:val="22"/>
                <w:szCs w:val="22"/>
                <w:color w:val="auto"/>
              </w:rPr>
              <w:t>Section 1.03  Incorporation by Reference of Trust Indenture Act.</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c>
          <w:tcPr>
            <w:tcW w:w="0" w:type="dxa"/>
            <w:vAlign w:val="bottom"/>
          </w:tcPr>
          <w:p>
            <w:pPr>
              <w:spacing w:after="0"/>
              <w:rPr>
                <w:sz w:val="1"/>
                <w:szCs w:val="1"/>
                <w:color w:val="auto"/>
              </w:rPr>
            </w:pPr>
          </w:p>
        </w:tc>
      </w:tr>
      <w:tr>
        <w:trPr>
          <w:trHeight w:val="275"/>
        </w:trPr>
        <w:tc>
          <w:tcPr>
            <w:tcW w:w="9680" w:type="dxa"/>
            <w:vAlign w:val="bottom"/>
            <w:gridSpan w:val="2"/>
          </w:tcPr>
          <w:p>
            <w:pPr>
              <w:spacing w:after="0"/>
              <w:rPr>
                <w:sz w:val="20"/>
                <w:szCs w:val="20"/>
                <w:color w:val="auto"/>
              </w:rPr>
            </w:pPr>
            <w:r>
              <w:rPr>
                <w:rFonts w:ascii="Arial" w:cs="Arial" w:eastAsia="Arial" w:hAnsi="Arial"/>
                <w:sz w:val="22"/>
                <w:szCs w:val="22"/>
                <w:color w:val="auto"/>
              </w:rPr>
              <w:t>Section 1.04  Rules of Construction.</w:t>
            </w:r>
          </w:p>
        </w:tc>
        <w:tc>
          <w:tcPr>
            <w:tcW w:w="1740" w:type="dxa"/>
            <w:vAlign w:val="bottom"/>
          </w:tcPr>
          <w:p>
            <w:pPr>
              <w:jc w:val="right"/>
              <w:spacing w:after="0"/>
              <w:rPr>
                <w:sz w:val="20"/>
                <w:szCs w:val="20"/>
                <w:color w:val="auto"/>
              </w:rPr>
            </w:pPr>
            <w:r>
              <w:rPr>
                <w:rFonts w:ascii="Arial" w:cs="Arial" w:eastAsia="Arial" w:hAnsi="Arial"/>
                <w:sz w:val="22"/>
                <w:szCs w:val="22"/>
                <w:color w:val="auto"/>
              </w:rPr>
              <w:t>42</w:t>
            </w:r>
          </w:p>
        </w:tc>
        <w:tc>
          <w:tcPr>
            <w:tcW w:w="0" w:type="dxa"/>
            <w:vAlign w:val="bottom"/>
          </w:tcPr>
          <w:p>
            <w:pPr>
              <w:spacing w:after="0"/>
              <w:rPr>
                <w:sz w:val="1"/>
                <w:szCs w:val="1"/>
                <w:color w:val="auto"/>
              </w:rPr>
            </w:pPr>
          </w:p>
        </w:tc>
      </w:tr>
      <w:tr>
        <w:trPr>
          <w:trHeight w:val="428"/>
        </w:trPr>
        <w:tc>
          <w:tcPr>
            <w:tcW w:w="1180" w:type="dxa"/>
            <w:vAlign w:val="bottom"/>
          </w:tcPr>
          <w:p>
            <w:pPr>
              <w:spacing w:after="0"/>
              <w:rPr>
                <w:sz w:val="24"/>
                <w:szCs w:val="24"/>
                <w:color w:val="auto"/>
              </w:rPr>
            </w:pPr>
          </w:p>
        </w:tc>
        <w:tc>
          <w:tcPr>
            <w:tcW w:w="8500" w:type="dxa"/>
            <w:vAlign w:val="bottom"/>
          </w:tcPr>
          <w:p>
            <w:pPr>
              <w:jc w:val="center"/>
              <w:ind w:left="472"/>
              <w:spacing w:after="0"/>
              <w:rPr>
                <w:sz w:val="20"/>
                <w:szCs w:val="20"/>
                <w:color w:val="auto"/>
              </w:rPr>
            </w:pPr>
            <w:r>
              <w:rPr>
                <w:rFonts w:ascii="Arial" w:cs="Arial" w:eastAsia="Arial" w:hAnsi="Arial"/>
                <w:sz w:val="22"/>
                <w:szCs w:val="22"/>
                <w:color w:val="auto"/>
                <w:w w:val="95"/>
              </w:rPr>
              <w:t>ARTICLE 2.</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180" w:type="dxa"/>
            <w:vAlign w:val="bottom"/>
          </w:tcPr>
          <w:p>
            <w:pPr>
              <w:spacing w:after="0"/>
              <w:rPr>
                <w:sz w:val="23"/>
                <w:szCs w:val="23"/>
                <w:color w:val="auto"/>
              </w:rPr>
            </w:pPr>
          </w:p>
        </w:tc>
        <w:tc>
          <w:tcPr>
            <w:tcW w:w="8500" w:type="dxa"/>
            <w:vAlign w:val="bottom"/>
          </w:tcPr>
          <w:p>
            <w:pPr>
              <w:jc w:val="center"/>
              <w:ind w:left="452"/>
              <w:spacing w:after="0"/>
              <w:rPr>
                <w:sz w:val="20"/>
                <w:szCs w:val="20"/>
                <w:color w:val="auto"/>
              </w:rPr>
            </w:pPr>
            <w:r>
              <w:rPr>
                <w:rFonts w:ascii="Arial" w:cs="Arial" w:eastAsia="Arial" w:hAnsi="Arial"/>
                <w:sz w:val="22"/>
                <w:szCs w:val="22"/>
                <w:color w:val="auto"/>
                <w:w w:val="93"/>
              </w:rPr>
              <w:t>THE NOTES</w:t>
            </w: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9680" w:type="dxa"/>
            <w:vAlign w:val="bottom"/>
            <w:gridSpan w:val="2"/>
          </w:tcPr>
          <w:p>
            <w:pPr>
              <w:spacing w:after="0"/>
              <w:rPr>
                <w:sz w:val="20"/>
                <w:szCs w:val="20"/>
                <w:color w:val="auto"/>
              </w:rPr>
            </w:pPr>
            <w:r>
              <w:rPr>
                <w:rFonts w:ascii="Arial" w:cs="Arial" w:eastAsia="Arial" w:hAnsi="Arial"/>
                <w:sz w:val="22"/>
                <w:szCs w:val="22"/>
                <w:color w:val="auto"/>
              </w:rPr>
              <w:t>Section 2.01  Form and Dating.</w:t>
            </w:r>
          </w:p>
        </w:tc>
        <w:tc>
          <w:tcPr>
            <w:tcW w:w="1740" w:type="dxa"/>
            <w:vAlign w:val="bottom"/>
          </w:tcPr>
          <w:p>
            <w:pPr>
              <w:jc w:val="right"/>
              <w:spacing w:after="0"/>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43"/>
        </w:trPr>
        <w:tc>
          <w:tcPr>
            <w:tcW w:w="9680" w:type="dxa"/>
            <w:vAlign w:val="bottom"/>
            <w:gridSpan w:val="2"/>
          </w:tcPr>
          <w:p>
            <w:pPr>
              <w:spacing w:after="0" w:line="243" w:lineRule="exact"/>
              <w:rPr>
                <w:sz w:val="20"/>
                <w:szCs w:val="20"/>
                <w:color w:val="auto"/>
              </w:rPr>
            </w:pPr>
            <w:r>
              <w:rPr>
                <w:rFonts w:ascii="Arial" w:cs="Arial" w:eastAsia="Arial" w:hAnsi="Arial"/>
                <w:sz w:val="22"/>
                <w:szCs w:val="22"/>
                <w:color w:val="auto"/>
              </w:rPr>
              <w:t>Section 2.02  Execution and Authentication.</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43"/>
        </w:trPr>
        <w:tc>
          <w:tcPr>
            <w:tcW w:w="9680" w:type="dxa"/>
            <w:vAlign w:val="bottom"/>
            <w:gridSpan w:val="2"/>
          </w:tcPr>
          <w:p>
            <w:pPr>
              <w:spacing w:after="0" w:line="243" w:lineRule="exact"/>
              <w:rPr>
                <w:sz w:val="20"/>
                <w:szCs w:val="20"/>
                <w:color w:val="auto"/>
              </w:rPr>
            </w:pPr>
            <w:r>
              <w:rPr>
                <w:rFonts w:ascii="Arial" w:cs="Arial" w:eastAsia="Arial" w:hAnsi="Arial"/>
                <w:sz w:val="22"/>
                <w:szCs w:val="22"/>
                <w:color w:val="auto"/>
              </w:rPr>
              <w:t>Section 2.03  Registrar and Paying Agent.</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43"/>
        </w:trPr>
        <w:tc>
          <w:tcPr>
            <w:tcW w:w="9680" w:type="dxa"/>
            <w:vAlign w:val="bottom"/>
            <w:gridSpan w:val="2"/>
          </w:tcPr>
          <w:p>
            <w:pPr>
              <w:spacing w:after="0" w:line="243" w:lineRule="exact"/>
              <w:rPr>
                <w:sz w:val="20"/>
                <w:szCs w:val="20"/>
                <w:color w:val="auto"/>
              </w:rPr>
            </w:pPr>
            <w:r>
              <w:rPr>
                <w:rFonts w:ascii="Arial" w:cs="Arial" w:eastAsia="Arial" w:hAnsi="Arial"/>
                <w:sz w:val="22"/>
                <w:szCs w:val="22"/>
                <w:color w:val="auto"/>
              </w:rPr>
              <w:t>Section 2.04  Paying Agent to Hold Money in Trust.</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2.05</w:t>
            </w:r>
          </w:p>
        </w:tc>
        <w:tc>
          <w:tcPr>
            <w:tcW w:w="8500" w:type="dxa"/>
            <w:vAlign w:val="bottom"/>
          </w:tcPr>
          <w:p>
            <w:pPr>
              <w:ind w:left="80"/>
              <w:spacing w:after="0" w:line="243" w:lineRule="exact"/>
              <w:rPr>
                <w:sz w:val="20"/>
                <w:szCs w:val="20"/>
                <w:color w:val="auto"/>
              </w:rPr>
            </w:pPr>
            <w:r>
              <w:rPr>
                <w:rFonts w:ascii="Arial" w:cs="Arial" w:eastAsia="Arial" w:hAnsi="Arial"/>
                <w:sz w:val="22"/>
                <w:szCs w:val="22"/>
                <w:color w:val="auto"/>
              </w:rPr>
              <w:t>Holder Lists.</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43"/>
        </w:trPr>
        <w:tc>
          <w:tcPr>
            <w:tcW w:w="9680" w:type="dxa"/>
            <w:vAlign w:val="bottom"/>
            <w:gridSpan w:val="2"/>
          </w:tcPr>
          <w:p>
            <w:pPr>
              <w:spacing w:after="0" w:line="243" w:lineRule="exact"/>
              <w:rPr>
                <w:sz w:val="20"/>
                <w:szCs w:val="20"/>
                <w:color w:val="auto"/>
              </w:rPr>
            </w:pPr>
            <w:r>
              <w:rPr>
                <w:rFonts w:ascii="Arial" w:cs="Arial" w:eastAsia="Arial" w:hAnsi="Arial"/>
                <w:sz w:val="22"/>
                <w:szCs w:val="22"/>
                <w:color w:val="auto"/>
              </w:rPr>
              <w:t>Section 2.06  Transfer and Exchange.</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2.07</w:t>
            </w:r>
          </w:p>
        </w:tc>
        <w:tc>
          <w:tcPr>
            <w:tcW w:w="8500" w:type="dxa"/>
            <w:vAlign w:val="bottom"/>
          </w:tcPr>
          <w:p>
            <w:pPr>
              <w:ind w:left="80"/>
              <w:spacing w:after="0" w:line="243" w:lineRule="exact"/>
              <w:rPr>
                <w:sz w:val="20"/>
                <w:szCs w:val="20"/>
                <w:color w:val="auto"/>
              </w:rPr>
            </w:pPr>
            <w:r>
              <w:rPr>
                <w:rFonts w:ascii="Arial" w:cs="Arial" w:eastAsia="Arial" w:hAnsi="Arial"/>
                <w:sz w:val="22"/>
                <w:szCs w:val="22"/>
                <w:color w:val="auto"/>
              </w:rPr>
              <w:t>Replacement Notes.</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2.08</w:t>
            </w:r>
          </w:p>
        </w:tc>
        <w:tc>
          <w:tcPr>
            <w:tcW w:w="8500" w:type="dxa"/>
            <w:vAlign w:val="bottom"/>
          </w:tcPr>
          <w:p>
            <w:pPr>
              <w:ind w:left="80"/>
              <w:spacing w:after="0" w:line="243" w:lineRule="exact"/>
              <w:rPr>
                <w:sz w:val="20"/>
                <w:szCs w:val="20"/>
                <w:color w:val="auto"/>
              </w:rPr>
            </w:pPr>
            <w:r>
              <w:rPr>
                <w:rFonts w:ascii="Arial" w:cs="Arial" w:eastAsia="Arial" w:hAnsi="Arial"/>
                <w:sz w:val="22"/>
                <w:szCs w:val="22"/>
                <w:color w:val="auto"/>
              </w:rPr>
              <w:t>Outstanding Notes.</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2.09</w:t>
            </w:r>
          </w:p>
        </w:tc>
        <w:tc>
          <w:tcPr>
            <w:tcW w:w="8500" w:type="dxa"/>
            <w:vAlign w:val="bottom"/>
          </w:tcPr>
          <w:p>
            <w:pPr>
              <w:ind w:left="80"/>
              <w:spacing w:after="0" w:line="243" w:lineRule="exact"/>
              <w:rPr>
                <w:sz w:val="20"/>
                <w:szCs w:val="20"/>
                <w:color w:val="auto"/>
              </w:rPr>
            </w:pPr>
            <w:r>
              <w:rPr>
                <w:rFonts w:ascii="Arial" w:cs="Arial" w:eastAsia="Arial" w:hAnsi="Arial"/>
                <w:sz w:val="22"/>
                <w:szCs w:val="22"/>
                <w:color w:val="auto"/>
              </w:rPr>
              <w:t>Treasury Notes.</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2.10</w:t>
            </w:r>
          </w:p>
        </w:tc>
        <w:tc>
          <w:tcPr>
            <w:tcW w:w="8500" w:type="dxa"/>
            <w:vAlign w:val="bottom"/>
          </w:tcPr>
          <w:p>
            <w:pPr>
              <w:ind w:left="80"/>
              <w:spacing w:after="0" w:line="243" w:lineRule="exact"/>
              <w:rPr>
                <w:sz w:val="20"/>
                <w:szCs w:val="20"/>
                <w:color w:val="auto"/>
              </w:rPr>
            </w:pPr>
            <w:r>
              <w:rPr>
                <w:rFonts w:ascii="Arial" w:cs="Arial" w:eastAsia="Arial" w:hAnsi="Arial"/>
                <w:sz w:val="22"/>
                <w:szCs w:val="22"/>
                <w:color w:val="auto"/>
              </w:rPr>
              <w:t>Temporary Notes.</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2.11</w:t>
            </w:r>
          </w:p>
        </w:tc>
        <w:tc>
          <w:tcPr>
            <w:tcW w:w="8500" w:type="dxa"/>
            <w:vAlign w:val="bottom"/>
          </w:tcPr>
          <w:p>
            <w:pPr>
              <w:ind w:left="80"/>
              <w:spacing w:after="0" w:line="243" w:lineRule="exact"/>
              <w:rPr>
                <w:sz w:val="20"/>
                <w:szCs w:val="20"/>
                <w:color w:val="auto"/>
              </w:rPr>
            </w:pPr>
            <w:r>
              <w:rPr>
                <w:rFonts w:ascii="Arial" w:cs="Arial" w:eastAsia="Arial" w:hAnsi="Arial"/>
                <w:sz w:val="22"/>
                <w:szCs w:val="22"/>
                <w:color w:val="auto"/>
              </w:rPr>
              <w:t>Cancellation.</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2.12</w:t>
            </w:r>
          </w:p>
        </w:tc>
        <w:tc>
          <w:tcPr>
            <w:tcW w:w="8500" w:type="dxa"/>
            <w:vAlign w:val="bottom"/>
          </w:tcPr>
          <w:p>
            <w:pPr>
              <w:ind w:left="80"/>
              <w:spacing w:after="0" w:line="243" w:lineRule="exact"/>
              <w:rPr>
                <w:sz w:val="20"/>
                <w:szCs w:val="20"/>
                <w:color w:val="auto"/>
              </w:rPr>
            </w:pPr>
            <w:r>
              <w:rPr>
                <w:rFonts w:ascii="Arial" w:cs="Arial" w:eastAsia="Arial" w:hAnsi="Arial"/>
                <w:sz w:val="22"/>
                <w:szCs w:val="22"/>
                <w:color w:val="auto"/>
              </w:rPr>
              <w:t>Defaulted Interest.</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c>
          <w:tcPr>
            <w:tcW w:w="0" w:type="dxa"/>
            <w:vAlign w:val="bottom"/>
          </w:tcPr>
          <w:p>
            <w:pPr>
              <w:spacing w:after="0"/>
              <w:rPr>
                <w:sz w:val="1"/>
                <w:szCs w:val="1"/>
                <w:color w:val="auto"/>
              </w:rPr>
            </w:pPr>
          </w:p>
        </w:tc>
      </w:tr>
      <w:tr>
        <w:trPr>
          <w:trHeight w:val="275"/>
        </w:trPr>
        <w:tc>
          <w:tcPr>
            <w:tcW w:w="9680" w:type="dxa"/>
            <w:vAlign w:val="bottom"/>
            <w:gridSpan w:val="2"/>
          </w:tcPr>
          <w:p>
            <w:pPr>
              <w:spacing w:after="0"/>
              <w:rPr>
                <w:sz w:val="20"/>
                <w:szCs w:val="20"/>
                <w:color w:val="auto"/>
              </w:rPr>
            </w:pPr>
            <w:r>
              <w:rPr>
                <w:rFonts w:ascii="Arial" w:cs="Arial" w:eastAsia="Arial" w:hAnsi="Arial"/>
                <w:sz w:val="22"/>
                <w:szCs w:val="22"/>
                <w:color w:val="auto"/>
              </w:rPr>
              <w:t>Section 2.13  Issuance of Additional Notes.</w:t>
            </w:r>
          </w:p>
        </w:tc>
        <w:tc>
          <w:tcPr>
            <w:tcW w:w="1740" w:type="dxa"/>
            <w:vAlign w:val="bottom"/>
          </w:tcPr>
          <w:p>
            <w:pPr>
              <w:jc w:val="right"/>
              <w:spacing w:after="0"/>
              <w:rPr>
                <w:sz w:val="20"/>
                <w:szCs w:val="20"/>
                <w:color w:val="auto"/>
              </w:rPr>
            </w:pPr>
            <w:r>
              <w:rPr>
                <w:rFonts w:ascii="Arial" w:cs="Arial" w:eastAsia="Arial" w:hAnsi="Arial"/>
                <w:sz w:val="22"/>
                <w:szCs w:val="22"/>
                <w:color w:val="auto"/>
              </w:rPr>
              <w:t>62</w:t>
            </w:r>
          </w:p>
        </w:tc>
        <w:tc>
          <w:tcPr>
            <w:tcW w:w="0" w:type="dxa"/>
            <w:vAlign w:val="bottom"/>
          </w:tcPr>
          <w:p>
            <w:pPr>
              <w:spacing w:after="0"/>
              <w:rPr>
                <w:sz w:val="1"/>
                <w:szCs w:val="1"/>
                <w:color w:val="auto"/>
              </w:rPr>
            </w:pPr>
          </w:p>
        </w:tc>
      </w:tr>
      <w:tr>
        <w:trPr>
          <w:trHeight w:val="428"/>
        </w:trPr>
        <w:tc>
          <w:tcPr>
            <w:tcW w:w="1180" w:type="dxa"/>
            <w:vAlign w:val="bottom"/>
          </w:tcPr>
          <w:p>
            <w:pPr>
              <w:spacing w:after="0"/>
              <w:rPr>
                <w:sz w:val="24"/>
                <w:szCs w:val="24"/>
                <w:color w:val="auto"/>
              </w:rPr>
            </w:pPr>
          </w:p>
        </w:tc>
        <w:tc>
          <w:tcPr>
            <w:tcW w:w="8500" w:type="dxa"/>
            <w:vAlign w:val="bottom"/>
          </w:tcPr>
          <w:p>
            <w:pPr>
              <w:jc w:val="center"/>
              <w:ind w:left="472"/>
              <w:spacing w:after="0"/>
              <w:rPr>
                <w:sz w:val="20"/>
                <w:szCs w:val="20"/>
                <w:color w:val="auto"/>
              </w:rPr>
            </w:pPr>
            <w:r>
              <w:rPr>
                <w:rFonts w:ascii="Arial" w:cs="Arial" w:eastAsia="Arial" w:hAnsi="Arial"/>
                <w:sz w:val="22"/>
                <w:szCs w:val="22"/>
                <w:color w:val="auto"/>
                <w:w w:val="95"/>
              </w:rPr>
              <w:t>ARTICLE 3.</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180" w:type="dxa"/>
            <w:vAlign w:val="bottom"/>
          </w:tcPr>
          <w:p>
            <w:pPr>
              <w:spacing w:after="0"/>
              <w:rPr>
                <w:sz w:val="23"/>
                <w:szCs w:val="23"/>
                <w:color w:val="auto"/>
              </w:rPr>
            </w:pPr>
          </w:p>
        </w:tc>
        <w:tc>
          <w:tcPr>
            <w:tcW w:w="8500" w:type="dxa"/>
            <w:vAlign w:val="bottom"/>
          </w:tcPr>
          <w:p>
            <w:pPr>
              <w:jc w:val="center"/>
              <w:ind w:left="452"/>
              <w:spacing w:after="0"/>
              <w:rPr>
                <w:sz w:val="20"/>
                <w:szCs w:val="20"/>
                <w:color w:val="auto"/>
              </w:rPr>
            </w:pPr>
            <w:r>
              <w:rPr>
                <w:rFonts w:ascii="Arial" w:cs="Arial" w:eastAsia="Arial" w:hAnsi="Arial"/>
                <w:sz w:val="22"/>
                <w:szCs w:val="22"/>
                <w:color w:val="auto"/>
                <w:w w:val="94"/>
              </w:rPr>
              <w:t>REDEMPTION AND PREPAYMENT</w:t>
            </w: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9680" w:type="dxa"/>
            <w:vAlign w:val="bottom"/>
            <w:gridSpan w:val="2"/>
          </w:tcPr>
          <w:p>
            <w:pPr>
              <w:spacing w:after="0"/>
              <w:rPr>
                <w:sz w:val="20"/>
                <w:szCs w:val="20"/>
                <w:color w:val="auto"/>
              </w:rPr>
            </w:pPr>
            <w:r>
              <w:rPr>
                <w:rFonts w:ascii="Arial" w:cs="Arial" w:eastAsia="Arial" w:hAnsi="Arial"/>
                <w:sz w:val="22"/>
                <w:szCs w:val="22"/>
                <w:color w:val="auto"/>
              </w:rPr>
              <w:t>Section 3.01  Notices to Trustee.</w:t>
            </w:r>
          </w:p>
        </w:tc>
        <w:tc>
          <w:tcPr>
            <w:tcW w:w="1740" w:type="dxa"/>
            <w:vAlign w:val="bottom"/>
          </w:tcPr>
          <w:p>
            <w:pPr>
              <w:jc w:val="right"/>
              <w:spacing w:after="0"/>
              <w:rPr>
                <w:sz w:val="20"/>
                <w:szCs w:val="20"/>
                <w:color w:val="auto"/>
              </w:rPr>
            </w:pPr>
            <w:r>
              <w:rPr>
                <w:rFonts w:ascii="Arial" w:cs="Arial" w:eastAsia="Arial" w:hAnsi="Arial"/>
                <w:sz w:val="22"/>
                <w:szCs w:val="22"/>
                <w:color w:val="auto"/>
              </w:rPr>
              <w:t>62</w:t>
            </w:r>
          </w:p>
        </w:tc>
        <w:tc>
          <w:tcPr>
            <w:tcW w:w="0" w:type="dxa"/>
            <w:vAlign w:val="bottom"/>
          </w:tcPr>
          <w:p>
            <w:pPr>
              <w:spacing w:after="0"/>
              <w:rPr>
                <w:sz w:val="1"/>
                <w:szCs w:val="1"/>
                <w:color w:val="auto"/>
              </w:rPr>
            </w:pPr>
          </w:p>
        </w:tc>
      </w:tr>
      <w:tr>
        <w:trPr>
          <w:trHeight w:val="243"/>
        </w:trPr>
        <w:tc>
          <w:tcPr>
            <w:tcW w:w="9680" w:type="dxa"/>
            <w:vAlign w:val="bottom"/>
            <w:gridSpan w:val="2"/>
          </w:tcPr>
          <w:p>
            <w:pPr>
              <w:spacing w:after="0" w:line="243" w:lineRule="exact"/>
              <w:rPr>
                <w:sz w:val="20"/>
                <w:szCs w:val="20"/>
                <w:color w:val="auto"/>
              </w:rPr>
            </w:pPr>
            <w:r>
              <w:rPr>
                <w:rFonts w:ascii="Arial" w:cs="Arial" w:eastAsia="Arial" w:hAnsi="Arial"/>
                <w:sz w:val="22"/>
                <w:szCs w:val="22"/>
                <w:color w:val="auto"/>
              </w:rPr>
              <w:t>Section 3.02  Selection of Notes to Be Redeemed or Purchased.</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c>
          <w:tcPr>
            <w:tcW w:w="0" w:type="dxa"/>
            <w:vAlign w:val="bottom"/>
          </w:tcPr>
          <w:p>
            <w:pPr>
              <w:spacing w:after="0"/>
              <w:rPr>
                <w:sz w:val="1"/>
                <w:szCs w:val="1"/>
                <w:color w:val="auto"/>
              </w:rPr>
            </w:pPr>
          </w:p>
        </w:tc>
      </w:tr>
      <w:tr>
        <w:trPr>
          <w:trHeight w:val="243"/>
        </w:trPr>
        <w:tc>
          <w:tcPr>
            <w:tcW w:w="9680" w:type="dxa"/>
            <w:vAlign w:val="bottom"/>
            <w:gridSpan w:val="2"/>
          </w:tcPr>
          <w:p>
            <w:pPr>
              <w:spacing w:after="0" w:line="243" w:lineRule="exact"/>
              <w:rPr>
                <w:sz w:val="20"/>
                <w:szCs w:val="20"/>
                <w:color w:val="auto"/>
              </w:rPr>
            </w:pPr>
            <w:r>
              <w:rPr>
                <w:rFonts w:ascii="Arial" w:cs="Arial" w:eastAsia="Arial" w:hAnsi="Arial"/>
                <w:sz w:val="22"/>
                <w:szCs w:val="22"/>
                <w:color w:val="auto"/>
              </w:rPr>
              <w:t>Section 3.03  Notice of Redemption.</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243"/>
        </w:trPr>
        <w:tc>
          <w:tcPr>
            <w:tcW w:w="9680" w:type="dxa"/>
            <w:vAlign w:val="bottom"/>
            <w:gridSpan w:val="2"/>
          </w:tcPr>
          <w:p>
            <w:pPr>
              <w:spacing w:after="0" w:line="243" w:lineRule="exact"/>
              <w:rPr>
                <w:sz w:val="20"/>
                <w:szCs w:val="20"/>
                <w:color w:val="auto"/>
              </w:rPr>
            </w:pPr>
            <w:r>
              <w:rPr>
                <w:rFonts w:ascii="Arial" w:cs="Arial" w:eastAsia="Arial" w:hAnsi="Arial"/>
                <w:sz w:val="22"/>
                <w:szCs w:val="22"/>
                <w:color w:val="auto"/>
              </w:rPr>
              <w:t>Section 3.04  Effect of Notice of Redemption.</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43"/>
        </w:trPr>
        <w:tc>
          <w:tcPr>
            <w:tcW w:w="9680" w:type="dxa"/>
            <w:vAlign w:val="bottom"/>
            <w:gridSpan w:val="2"/>
          </w:tcPr>
          <w:p>
            <w:pPr>
              <w:spacing w:after="0" w:line="243" w:lineRule="exact"/>
              <w:rPr>
                <w:sz w:val="20"/>
                <w:szCs w:val="20"/>
                <w:color w:val="auto"/>
              </w:rPr>
            </w:pPr>
            <w:r>
              <w:rPr>
                <w:rFonts w:ascii="Arial" w:cs="Arial" w:eastAsia="Arial" w:hAnsi="Arial"/>
                <w:sz w:val="22"/>
                <w:szCs w:val="22"/>
                <w:color w:val="auto"/>
              </w:rPr>
              <w:t>Section 3.05  Deposit of Redemption or Purchase Price.</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43"/>
        </w:trPr>
        <w:tc>
          <w:tcPr>
            <w:tcW w:w="9680" w:type="dxa"/>
            <w:vAlign w:val="bottom"/>
            <w:gridSpan w:val="2"/>
          </w:tcPr>
          <w:p>
            <w:pPr>
              <w:spacing w:after="0" w:line="243" w:lineRule="exact"/>
              <w:rPr>
                <w:sz w:val="20"/>
                <w:szCs w:val="20"/>
                <w:color w:val="auto"/>
              </w:rPr>
            </w:pPr>
            <w:r>
              <w:rPr>
                <w:rFonts w:ascii="Arial" w:cs="Arial" w:eastAsia="Arial" w:hAnsi="Arial"/>
                <w:sz w:val="22"/>
                <w:szCs w:val="22"/>
                <w:color w:val="auto"/>
              </w:rPr>
              <w:t>Section 3.06  Notes Redeemed or Purchased in Part.</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3.07</w:t>
            </w:r>
          </w:p>
        </w:tc>
        <w:tc>
          <w:tcPr>
            <w:tcW w:w="8500" w:type="dxa"/>
            <w:vAlign w:val="bottom"/>
          </w:tcPr>
          <w:p>
            <w:pPr>
              <w:ind w:left="80"/>
              <w:spacing w:after="0" w:line="243" w:lineRule="exact"/>
              <w:rPr>
                <w:sz w:val="20"/>
                <w:szCs w:val="20"/>
                <w:color w:val="auto"/>
              </w:rPr>
            </w:pPr>
            <w:r>
              <w:rPr>
                <w:rFonts w:ascii="Arial" w:cs="Arial" w:eastAsia="Arial" w:hAnsi="Arial"/>
                <w:sz w:val="22"/>
                <w:szCs w:val="22"/>
                <w:color w:val="auto"/>
              </w:rPr>
              <w:t>Optional Redemption.</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3.08</w:t>
            </w:r>
          </w:p>
        </w:tc>
        <w:tc>
          <w:tcPr>
            <w:tcW w:w="8500" w:type="dxa"/>
            <w:vAlign w:val="bottom"/>
          </w:tcPr>
          <w:p>
            <w:pPr>
              <w:ind w:left="80"/>
              <w:spacing w:after="0" w:line="243" w:lineRule="exact"/>
              <w:rPr>
                <w:sz w:val="20"/>
                <w:szCs w:val="20"/>
                <w:color w:val="auto"/>
              </w:rPr>
            </w:pPr>
            <w:r>
              <w:rPr>
                <w:rFonts w:ascii="Arial" w:cs="Arial" w:eastAsia="Arial" w:hAnsi="Arial"/>
                <w:sz w:val="22"/>
                <w:szCs w:val="22"/>
                <w:color w:val="auto"/>
              </w:rPr>
              <w:t>Mandatory Redemption.</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43"/>
        </w:trPr>
        <w:tc>
          <w:tcPr>
            <w:tcW w:w="9680" w:type="dxa"/>
            <w:vAlign w:val="bottom"/>
            <w:gridSpan w:val="2"/>
          </w:tcPr>
          <w:p>
            <w:pPr>
              <w:spacing w:after="0" w:line="243" w:lineRule="exact"/>
              <w:rPr>
                <w:sz w:val="20"/>
                <w:szCs w:val="20"/>
                <w:color w:val="auto"/>
              </w:rPr>
            </w:pPr>
            <w:r>
              <w:rPr>
                <w:rFonts w:ascii="Arial" w:cs="Arial" w:eastAsia="Arial" w:hAnsi="Arial"/>
                <w:sz w:val="22"/>
                <w:szCs w:val="22"/>
                <w:color w:val="auto"/>
              </w:rPr>
              <w:t>Section 3.09  Mandatory Disposition or Redemption Pursuant to Gaming Laws.</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75"/>
        </w:trPr>
        <w:tc>
          <w:tcPr>
            <w:tcW w:w="9680" w:type="dxa"/>
            <w:vAlign w:val="bottom"/>
            <w:gridSpan w:val="2"/>
          </w:tcPr>
          <w:p>
            <w:pPr>
              <w:spacing w:after="0"/>
              <w:rPr>
                <w:sz w:val="20"/>
                <w:szCs w:val="20"/>
                <w:color w:val="auto"/>
              </w:rPr>
            </w:pPr>
            <w:r>
              <w:rPr>
                <w:rFonts w:ascii="Arial" w:cs="Arial" w:eastAsia="Arial" w:hAnsi="Arial"/>
                <w:sz w:val="22"/>
                <w:szCs w:val="22"/>
                <w:color w:val="auto"/>
              </w:rPr>
              <w:t>Section 3.10  Offer to Purchase by Application of Excess Proceeds.</w:t>
            </w:r>
          </w:p>
        </w:tc>
        <w:tc>
          <w:tcPr>
            <w:tcW w:w="1740" w:type="dxa"/>
            <w:vAlign w:val="bottom"/>
          </w:tcPr>
          <w:p>
            <w:pPr>
              <w:jc w:val="right"/>
              <w:spacing w:after="0"/>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428"/>
        </w:trPr>
        <w:tc>
          <w:tcPr>
            <w:tcW w:w="1180" w:type="dxa"/>
            <w:vAlign w:val="bottom"/>
          </w:tcPr>
          <w:p>
            <w:pPr>
              <w:spacing w:after="0"/>
              <w:rPr>
                <w:sz w:val="24"/>
                <w:szCs w:val="24"/>
                <w:color w:val="auto"/>
              </w:rPr>
            </w:pPr>
          </w:p>
        </w:tc>
        <w:tc>
          <w:tcPr>
            <w:tcW w:w="8500" w:type="dxa"/>
            <w:vAlign w:val="bottom"/>
          </w:tcPr>
          <w:p>
            <w:pPr>
              <w:jc w:val="center"/>
              <w:ind w:left="472"/>
              <w:spacing w:after="0"/>
              <w:rPr>
                <w:sz w:val="20"/>
                <w:szCs w:val="20"/>
                <w:color w:val="auto"/>
              </w:rPr>
            </w:pPr>
            <w:r>
              <w:rPr>
                <w:rFonts w:ascii="Arial" w:cs="Arial" w:eastAsia="Arial" w:hAnsi="Arial"/>
                <w:sz w:val="22"/>
                <w:szCs w:val="22"/>
                <w:color w:val="auto"/>
                <w:w w:val="95"/>
              </w:rPr>
              <w:t>ARTICLE 4.</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180" w:type="dxa"/>
            <w:vAlign w:val="bottom"/>
          </w:tcPr>
          <w:p>
            <w:pPr>
              <w:spacing w:after="0"/>
              <w:rPr>
                <w:sz w:val="23"/>
                <w:szCs w:val="23"/>
                <w:color w:val="auto"/>
              </w:rPr>
            </w:pPr>
          </w:p>
        </w:tc>
        <w:tc>
          <w:tcPr>
            <w:tcW w:w="8500" w:type="dxa"/>
            <w:vAlign w:val="bottom"/>
          </w:tcPr>
          <w:p>
            <w:pPr>
              <w:jc w:val="center"/>
              <w:ind w:left="452"/>
              <w:spacing w:after="0"/>
              <w:rPr>
                <w:sz w:val="20"/>
                <w:szCs w:val="20"/>
                <w:color w:val="auto"/>
              </w:rPr>
            </w:pPr>
            <w:r>
              <w:rPr>
                <w:rFonts w:ascii="Arial" w:cs="Arial" w:eastAsia="Arial" w:hAnsi="Arial"/>
                <w:sz w:val="22"/>
                <w:szCs w:val="22"/>
                <w:color w:val="auto"/>
                <w:w w:val="94"/>
              </w:rPr>
              <w:t>COVENANTS</w:t>
            </w: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9680" w:type="dxa"/>
            <w:vAlign w:val="bottom"/>
            <w:gridSpan w:val="2"/>
          </w:tcPr>
          <w:p>
            <w:pPr>
              <w:spacing w:after="0"/>
              <w:rPr>
                <w:sz w:val="20"/>
                <w:szCs w:val="20"/>
                <w:color w:val="auto"/>
              </w:rPr>
            </w:pPr>
            <w:r>
              <w:rPr>
                <w:rFonts w:ascii="Arial" w:cs="Arial" w:eastAsia="Arial" w:hAnsi="Arial"/>
                <w:sz w:val="22"/>
                <w:szCs w:val="22"/>
                <w:color w:val="auto"/>
              </w:rPr>
              <w:t>Section 4.01  Payment of Notes.</w:t>
            </w:r>
          </w:p>
        </w:tc>
        <w:tc>
          <w:tcPr>
            <w:tcW w:w="174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75"/>
        </w:trPr>
        <w:tc>
          <w:tcPr>
            <w:tcW w:w="9680" w:type="dxa"/>
            <w:vAlign w:val="bottom"/>
            <w:gridSpan w:val="2"/>
          </w:tcPr>
          <w:p>
            <w:pPr>
              <w:spacing w:after="0"/>
              <w:rPr>
                <w:sz w:val="20"/>
                <w:szCs w:val="20"/>
                <w:color w:val="auto"/>
              </w:rPr>
            </w:pPr>
            <w:r>
              <w:rPr>
                <w:rFonts w:ascii="Arial" w:cs="Arial" w:eastAsia="Arial" w:hAnsi="Arial"/>
                <w:sz w:val="22"/>
                <w:szCs w:val="22"/>
                <w:color w:val="auto"/>
              </w:rPr>
              <w:t>Section 4.02  Maintenance of Office or Agency.</w:t>
            </w:r>
          </w:p>
        </w:tc>
        <w:tc>
          <w:tcPr>
            <w:tcW w:w="174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bl>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3"/>
        </w:trPr>
        <w:tc>
          <w:tcPr>
            <w:tcW w:w="1180" w:type="dxa"/>
            <w:vAlign w:val="bottom"/>
          </w:tcPr>
          <w:p>
            <w:pPr>
              <w:spacing w:after="0"/>
              <w:rPr>
                <w:sz w:val="20"/>
                <w:szCs w:val="20"/>
                <w:color w:val="auto"/>
              </w:rPr>
            </w:pPr>
            <w:r>
              <w:rPr>
                <w:rFonts w:ascii="Arial" w:cs="Arial" w:eastAsia="Arial" w:hAnsi="Arial"/>
                <w:sz w:val="22"/>
                <w:szCs w:val="22"/>
                <w:color w:val="auto"/>
                <w:w w:val="94"/>
              </w:rPr>
              <w:t>Section 4.03</w:t>
            </w:r>
          </w:p>
        </w:tc>
        <w:tc>
          <w:tcPr>
            <w:tcW w:w="9800" w:type="dxa"/>
            <w:vAlign w:val="bottom"/>
          </w:tcPr>
          <w:p>
            <w:pPr>
              <w:ind w:left="80"/>
              <w:spacing w:after="0"/>
              <w:rPr>
                <w:sz w:val="20"/>
                <w:szCs w:val="20"/>
                <w:color w:val="auto"/>
              </w:rPr>
            </w:pPr>
            <w:r>
              <w:rPr>
                <w:rFonts w:ascii="Arial" w:cs="Arial" w:eastAsia="Arial" w:hAnsi="Arial"/>
                <w:sz w:val="22"/>
                <w:szCs w:val="22"/>
                <w:color w:val="auto"/>
              </w:rPr>
              <w:t>Reports.</w:t>
            </w:r>
          </w:p>
        </w:tc>
        <w:tc>
          <w:tcPr>
            <w:tcW w:w="440" w:type="dxa"/>
            <w:vAlign w:val="bottom"/>
          </w:tcPr>
          <w:p>
            <w:pPr>
              <w:spacing w:after="0"/>
              <w:rPr>
                <w:sz w:val="21"/>
                <w:szCs w:val="2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4.04</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Compliance Certificate.</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4.05</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Taxes.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4.06</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Stay, Extension and Usury Laws.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4.07</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Restricted Payments.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4.08</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Dividend and Other Payment Restrictions Affecting Restricted Subsidiaries of Wynn Las Vegas.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4.09</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Incurrence of Indebtedness and Issuance of Disqualified Stock.</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4.10</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Asset Sales.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4.11</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Transactions with Affiliates.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4.12</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Liens.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4.13</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Line of Business.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4.14</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Corporate and Organizational Existence.</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4.15</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Offer to Purchase Upon Change of Control.</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4.16</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Events of Loss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4.17</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Designation of Restricted and Unrestricted Subsidiaries.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4.18</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Limitation on Status as Investment Company.</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4.19</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Limitation on Sale and Leaseback Transactions.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4.20</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Restrictions on Payments of Management Fees.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4.21</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Limitation on Issuances and Sales of Equity Interests in Wholly Owned Restricted Subsidiaries.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4.22</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Amendments to Certain Agreements.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4.23</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Amendments to Operating Agreements and Charter Documents.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92</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4.24</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Insurance.</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92</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4.25</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w w:val="99"/>
              </w:rPr>
              <w:t>Additional Collateral; Formation or Acquisition of Restricted Subsidiaries, Designation of Unrestricted</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92</w:t>
            </w:r>
          </w:p>
        </w:tc>
      </w:tr>
      <w:tr>
        <w:trPr>
          <w:trHeight w:val="243"/>
        </w:trPr>
        <w:tc>
          <w:tcPr>
            <w:tcW w:w="1180" w:type="dxa"/>
            <w:vAlign w:val="bottom"/>
          </w:tcPr>
          <w:p>
            <w:pPr>
              <w:spacing w:after="0"/>
              <w:rPr>
                <w:sz w:val="21"/>
                <w:szCs w:val="21"/>
                <w:color w:val="auto"/>
              </w:rPr>
            </w:pP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Subsidiaries as Restricted Subsidiaries or Permitted C-Corp. Conversion.</w:t>
            </w:r>
          </w:p>
        </w:tc>
        <w:tc>
          <w:tcPr>
            <w:tcW w:w="440" w:type="dxa"/>
            <w:vAlign w:val="bottom"/>
          </w:tcPr>
          <w:p>
            <w:pPr>
              <w:spacing w:after="0"/>
              <w:rPr>
                <w:sz w:val="21"/>
                <w:szCs w:val="21"/>
                <w:color w:val="auto"/>
              </w:rPr>
            </w:pP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4.26</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Additional Collateral; Acquisition of Assets or Property.</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94</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4.27</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Further Assurances.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94</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4.28</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Payments for Consent.</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95</w:t>
            </w:r>
          </w:p>
        </w:tc>
      </w:tr>
      <w:tr>
        <w:trPr>
          <w:trHeight w:val="275"/>
        </w:trPr>
        <w:tc>
          <w:tcPr>
            <w:tcW w:w="1180" w:type="dxa"/>
            <w:vAlign w:val="bottom"/>
          </w:tcPr>
          <w:p>
            <w:pPr>
              <w:spacing w:after="0"/>
              <w:rPr>
                <w:sz w:val="20"/>
                <w:szCs w:val="20"/>
                <w:color w:val="auto"/>
              </w:rPr>
            </w:pPr>
            <w:r>
              <w:rPr>
                <w:rFonts w:ascii="Arial" w:cs="Arial" w:eastAsia="Arial" w:hAnsi="Arial"/>
                <w:sz w:val="22"/>
                <w:szCs w:val="22"/>
                <w:color w:val="auto"/>
                <w:w w:val="94"/>
              </w:rPr>
              <w:t>Section 4.29</w:t>
            </w:r>
          </w:p>
        </w:tc>
        <w:tc>
          <w:tcPr>
            <w:tcW w:w="9800" w:type="dxa"/>
            <w:vAlign w:val="bottom"/>
          </w:tcPr>
          <w:p>
            <w:pPr>
              <w:ind w:left="80"/>
              <w:spacing w:after="0"/>
              <w:rPr>
                <w:sz w:val="20"/>
                <w:szCs w:val="20"/>
                <w:color w:val="auto"/>
              </w:rPr>
            </w:pPr>
            <w:r>
              <w:rPr>
                <w:rFonts w:ascii="Arial" w:cs="Arial" w:eastAsia="Arial" w:hAnsi="Arial"/>
                <w:sz w:val="22"/>
                <w:szCs w:val="22"/>
                <w:color w:val="auto"/>
              </w:rPr>
              <w:t>Restrictions on Activities of Wynn Capital.</w:t>
            </w:r>
          </w:p>
        </w:tc>
        <w:tc>
          <w:tcPr>
            <w:tcW w:w="44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428"/>
        </w:trPr>
        <w:tc>
          <w:tcPr>
            <w:tcW w:w="1180" w:type="dxa"/>
            <w:vAlign w:val="bottom"/>
          </w:tcPr>
          <w:p>
            <w:pPr>
              <w:spacing w:after="0"/>
              <w:rPr>
                <w:sz w:val="24"/>
                <w:szCs w:val="24"/>
                <w:color w:val="auto"/>
              </w:rPr>
            </w:pPr>
          </w:p>
        </w:tc>
        <w:tc>
          <w:tcPr>
            <w:tcW w:w="9800" w:type="dxa"/>
            <w:vAlign w:val="bottom"/>
          </w:tcPr>
          <w:p>
            <w:pPr>
              <w:jc w:val="center"/>
              <w:ind w:right="612"/>
              <w:spacing w:after="0"/>
              <w:rPr>
                <w:sz w:val="20"/>
                <w:szCs w:val="20"/>
                <w:color w:val="auto"/>
              </w:rPr>
            </w:pPr>
            <w:r>
              <w:rPr>
                <w:rFonts w:ascii="Arial" w:cs="Arial" w:eastAsia="Arial" w:hAnsi="Arial"/>
                <w:sz w:val="22"/>
                <w:szCs w:val="22"/>
                <w:color w:val="auto"/>
                <w:w w:val="95"/>
              </w:rPr>
              <w:t>ARTICLE 5.</w:t>
            </w:r>
          </w:p>
        </w:tc>
        <w:tc>
          <w:tcPr>
            <w:tcW w:w="440" w:type="dxa"/>
            <w:vAlign w:val="bottom"/>
          </w:tcPr>
          <w:p>
            <w:pPr>
              <w:spacing w:after="0"/>
              <w:rPr>
                <w:sz w:val="24"/>
                <w:szCs w:val="24"/>
                <w:color w:val="auto"/>
              </w:rPr>
            </w:pPr>
          </w:p>
        </w:tc>
      </w:tr>
      <w:tr>
        <w:trPr>
          <w:trHeight w:val="275"/>
        </w:trPr>
        <w:tc>
          <w:tcPr>
            <w:tcW w:w="1180" w:type="dxa"/>
            <w:vAlign w:val="bottom"/>
          </w:tcPr>
          <w:p>
            <w:pPr>
              <w:spacing w:after="0"/>
              <w:rPr>
                <w:sz w:val="23"/>
                <w:szCs w:val="23"/>
                <w:color w:val="auto"/>
              </w:rPr>
            </w:pPr>
          </w:p>
        </w:tc>
        <w:tc>
          <w:tcPr>
            <w:tcW w:w="9800" w:type="dxa"/>
            <w:vAlign w:val="bottom"/>
          </w:tcPr>
          <w:p>
            <w:pPr>
              <w:jc w:val="center"/>
              <w:ind w:right="612"/>
              <w:spacing w:after="0"/>
              <w:rPr>
                <w:sz w:val="20"/>
                <w:szCs w:val="20"/>
                <w:color w:val="auto"/>
              </w:rPr>
            </w:pPr>
            <w:r>
              <w:rPr>
                <w:rFonts w:ascii="Arial" w:cs="Arial" w:eastAsia="Arial" w:hAnsi="Arial"/>
                <w:sz w:val="22"/>
                <w:szCs w:val="22"/>
                <w:color w:val="auto"/>
                <w:w w:val="88"/>
              </w:rPr>
              <w:t>SUCCESSORS</w:t>
            </w:r>
          </w:p>
        </w:tc>
        <w:tc>
          <w:tcPr>
            <w:tcW w:w="440" w:type="dxa"/>
            <w:vAlign w:val="bottom"/>
          </w:tcPr>
          <w:p>
            <w:pPr>
              <w:spacing w:after="0"/>
              <w:rPr>
                <w:sz w:val="23"/>
                <w:szCs w:val="23"/>
                <w:color w:val="auto"/>
              </w:rPr>
            </w:pPr>
          </w:p>
        </w:tc>
      </w:tr>
      <w:tr>
        <w:trPr>
          <w:trHeight w:val="644"/>
        </w:trPr>
        <w:tc>
          <w:tcPr>
            <w:tcW w:w="1180" w:type="dxa"/>
            <w:vAlign w:val="bottom"/>
          </w:tcPr>
          <w:p>
            <w:pPr>
              <w:spacing w:after="0"/>
              <w:rPr>
                <w:sz w:val="20"/>
                <w:szCs w:val="20"/>
                <w:color w:val="auto"/>
              </w:rPr>
            </w:pPr>
            <w:r>
              <w:rPr>
                <w:rFonts w:ascii="Arial" w:cs="Arial" w:eastAsia="Arial" w:hAnsi="Arial"/>
                <w:sz w:val="22"/>
                <w:szCs w:val="22"/>
                <w:color w:val="auto"/>
                <w:w w:val="94"/>
              </w:rPr>
              <w:t>Section 5.01</w:t>
            </w:r>
          </w:p>
        </w:tc>
        <w:tc>
          <w:tcPr>
            <w:tcW w:w="9800" w:type="dxa"/>
            <w:vAlign w:val="bottom"/>
          </w:tcPr>
          <w:p>
            <w:pPr>
              <w:ind w:left="80"/>
              <w:spacing w:after="0"/>
              <w:rPr>
                <w:sz w:val="20"/>
                <w:szCs w:val="20"/>
                <w:color w:val="auto"/>
              </w:rPr>
            </w:pPr>
            <w:r>
              <w:rPr>
                <w:rFonts w:ascii="Arial" w:cs="Arial" w:eastAsia="Arial" w:hAnsi="Arial"/>
                <w:sz w:val="22"/>
                <w:szCs w:val="22"/>
                <w:color w:val="auto"/>
              </w:rPr>
              <w:t>Merger, Consolidation, or Sale of Assets.</w:t>
            </w:r>
          </w:p>
        </w:tc>
        <w:tc>
          <w:tcPr>
            <w:tcW w:w="44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75"/>
        </w:trPr>
        <w:tc>
          <w:tcPr>
            <w:tcW w:w="1180" w:type="dxa"/>
            <w:vAlign w:val="bottom"/>
          </w:tcPr>
          <w:p>
            <w:pPr>
              <w:spacing w:after="0"/>
              <w:rPr>
                <w:sz w:val="20"/>
                <w:szCs w:val="20"/>
                <w:color w:val="auto"/>
              </w:rPr>
            </w:pPr>
            <w:r>
              <w:rPr>
                <w:rFonts w:ascii="Arial" w:cs="Arial" w:eastAsia="Arial" w:hAnsi="Arial"/>
                <w:sz w:val="22"/>
                <w:szCs w:val="22"/>
                <w:color w:val="auto"/>
                <w:w w:val="94"/>
              </w:rPr>
              <w:t>Section 5.02</w:t>
            </w:r>
          </w:p>
        </w:tc>
        <w:tc>
          <w:tcPr>
            <w:tcW w:w="9800" w:type="dxa"/>
            <w:vAlign w:val="bottom"/>
          </w:tcPr>
          <w:p>
            <w:pPr>
              <w:ind w:left="80"/>
              <w:spacing w:after="0"/>
              <w:rPr>
                <w:sz w:val="20"/>
                <w:szCs w:val="20"/>
                <w:color w:val="auto"/>
              </w:rPr>
            </w:pPr>
            <w:r>
              <w:rPr>
                <w:rFonts w:ascii="Arial" w:cs="Arial" w:eastAsia="Arial" w:hAnsi="Arial"/>
                <w:sz w:val="22"/>
                <w:szCs w:val="22"/>
                <w:color w:val="auto"/>
              </w:rPr>
              <w:t>Successor Corporation Substituted.</w:t>
            </w:r>
          </w:p>
        </w:tc>
        <w:tc>
          <w:tcPr>
            <w:tcW w:w="44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428"/>
        </w:trPr>
        <w:tc>
          <w:tcPr>
            <w:tcW w:w="1180" w:type="dxa"/>
            <w:vAlign w:val="bottom"/>
          </w:tcPr>
          <w:p>
            <w:pPr>
              <w:spacing w:after="0"/>
              <w:rPr>
                <w:sz w:val="24"/>
                <w:szCs w:val="24"/>
                <w:color w:val="auto"/>
              </w:rPr>
            </w:pPr>
          </w:p>
        </w:tc>
        <w:tc>
          <w:tcPr>
            <w:tcW w:w="9800" w:type="dxa"/>
            <w:vAlign w:val="bottom"/>
          </w:tcPr>
          <w:p>
            <w:pPr>
              <w:jc w:val="center"/>
              <w:ind w:right="612"/>
              <w:spacing w:after="0"/>
              <w:rPr>
                <w:sz w:val="20"/>
                <w:szCs w:val="20"/>
                <w:color w:val="auto"/>
              </w:rPr>
            </w:pPr>
            <w:r>
              <w:rPr>
                <w:rFonts w:ascii="Arial" w:cs="Arial" w:eastAsia="Arial" w:hAnsi="Arial"/>
                <w:sz w:val="22"/>
                <w:szCs w:val="22"/>
                <w:color w:val="auto"/>
                <w:w w:val="95"/>
              </w:rPr>
              <w:t>ARTICLE 6.</w:t>
            </w:r>
          </w:p>
        </w:tc>
        <w:tc>
          <w:tcPr>
            <w:tcW w:w="440" w:type="dxa"/>
            <w:vAlign w:val="bottom"/>
          </w:tcPr>
          <w:p>
            <w:pPr>
              <w:spacing w:after="0"/>
              <w:rPr>
                <w:sz w:val="24"/>
                <w:szCs w:val="24"/>
                <w:color w:val="auto"/>
              </w:rPr>
            </w:pPr>
          </w:p>
        </w:tc>
      </w:tr>
      <w:tr>
        <w:trPr>
          <w:trHeight w:val="275"/>
        </w:trPr>
        <w:tc>
          <w:tcPr>
            <w:tcW w:w="1180" w:type="dxa"/>
            <w:vAlign w:val="bottom"/>
          </w:tcPr>
          <w:p>
            <w:pPr>
              <w:spacing w:after="0"/>
              <w:rPr>
                <w:sz w:val="23"/>
                <w:szCs w:val="23"/>
                <w:color w:val="auto"/>
              </w:rPr>
            </w:pPr>
          </w:p>
        </w:tc>
        <w:tc>
          <w:tcPr>
            <w:tcW w:w="9800" w:type="dxa"/>
            <w:vAlign w:val="bottom"/>
          </w:tcPr>
          <w:p>
            <w:pPr>
              <w:jc w:val="center"/>
              <w:ind w:right="612"/>
              <w:spacing w:after="0"/>
              <w:rPr>
                <w:sz w:val="20"/>
                <w:szCs w:val="20"/>
                <w:color w:val="auto"/>
              </w:rPr>
            </w:pPr>
            <w:r>
              <w:rPr>
                <w:rFonts w:ascii="Arial" w:cs="Arial" w:eastAsia="Arial" w:hAnsi="Arial"/>
                <w:sz w:val="22"/>
                <w:szCs w:val="22"/>
                <w:color w:val="auto"/>
                <w:w w:val="94"/>
              </w:rPr>
              <w:t>DEFAULTS AND REMEDIES</w:t>
            </w:r>
          </w:p>
        </w:tc>
        <w:tc>
          <w:tcPr>
            <w:tcW w:w="440" w:type="dxa"/>
            <w:vAlign w:val="bottom"/>
          </w:tcPr>
          <w:p>
            <w:pPr>
              <w:spacing w:after="0"/>
              <w:rPr>
                <w:sz w:val="23"/>
                <w:szCs w:val="23"/>
                <w:color w:val="auto"/>
              </w:rPr>
            </w:pPr>
          </w:p>
        </w:tc>
      </w:tr>
      <w:tr>
        <w:trPr>
          <w:trHeight w:val="428"/>
        </w:trPr>
        <w:tc>
          <w:tcPr>
            <w:tcW w:w="1180" w:type="dxa"/>
            <w:vAlign w:val="bottom"/>
          </w:tcPr>
          <w:p>
            <w:pPr>
              <w:spacing w:after="0"/>
              <w:rPr>
                <w:sz w:val="20"/>
                <w:szCs w:val="20"/>
                <w:color w:val="auto"/>
              </w:rPr>
            </w:pPr>
            <w:r>
              <w:rPr>
                <w:rFonts w:ascii="Arial" w:cs="Arial" w:eastAsia="Arial" w:hAnsi="Arial"/>
                <w:sz w:val="22"/>
                <w:szCs w:val="22"/>
                <w:color w:val="auto"/>
                <w:w w:val="94"/>
              </w:rPr>
              <w:t>Section 6.01</w:t>
            </w:r>
          </w:p>
        </w:tc>
        <w:tc>
          <w:tcPr>
            <w:tcW w:w="9800" w:type="dxa"/>
            <w:vAlign w:val="bottom"/>
          </w:tcPr>
          <w:p>
            <w:pPr>
              <w:ind w:left="80"/>
              <w:spacing w:after="0"/>
              <w:rPr>
                <w:sz w:val="20"/>
                <w:szCs w:val="20"/>
                <w:color w:val="auto"/>
              </w:rPr>
            </w:pPr>
            <w:r>
              <w:rPr>
                <w:rFonts w:ascii="Arial" w:cs="Arial" w:eastAsia="Arial" w:hAnsi="Arial"/>
                <w:sz w:val="22"/>
                <w:szCs w:val="22"/>
                <w:color w:val="auto"/>
              </w:rPr>
              <w:t>Events of Default.</w:t>
            </w:r>
          </w:p>
        </w:tc>
        <w:tc>
          <w:tcPr>
            <w:tcW w:w="44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6.02</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Acceleration.</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6.03</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Other Remedies.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6.04</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Waiver of Past Defaults.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w w:val="94"/>
              </w:rPr>
              <w:t>Section 6.05</w:t>
            </w:r>
          </w:p>
        </w:tc>
        <w:tc>
          <w:tcPr>
            <w:tcW w:w="9800" w:type="dxa"/>
            <w:vAlign w:val="bottom"/>
          </w:tcPr>
          <w:p>
            <w:pPr>
              <w:ind w:left="80"/>
              <w:spacing w:after="0" w:line="243" w:lineRule="exact"/>
              <w:rPr>
                <w:sz w:val="20"/>
                <w:szCs w:val="20"/>
                <w:color w:val="auto"/>
              </w:rPr>
            </w:pPr>
            <w:r>
              <w:rPr>
                <w:rFonts w:ascii="Arial" w:cs="Arial" w:eastAsia="Arial" w:hAnsi="Arial"/>
                <w:sz w:val="22"/>
                <w:szCs w:val="22"/>
                <w:color w:val="auto"/>
              </w:rPr>
              <w:t>Control by Majority.</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101</w:t>
            </w:r>
          </w:p>
        </w:tc>
      </w:tr>
      <w:tr>
        <w:trPr>
          <w:trHeight w:val="275"/>
        </w:trPr>
        <w:tc>
          <w:tcPr>
            <w:tcW w:w="1180" w:type="dxa"/>
            <w:vAlign w:val="bottom"/>
          </w:tcPr>
          <w:p>
            <w:pPr>
              <w:spacing w:after="0"/>
              <w:rPr>
                <w:sz w:val="20"/>
                <w:szCs w:val="20"/>
                <w:color w:val="auto"/>
              </w:rPr>
            </w:pPr>
            <w:r>
              <w:rPr>
                <w:rFonts w:ascii="Arial" w:cs="Arial" w:eastAsia="Arial" w:hAnsi="Arial"/>
                <w:sz w:val="22"/>
                <w:szCs w:val="22"/>
                <w:color w:val="auto"/>
                <w:w w:val="94"/>
              </w:rPr>
              <w:t>Section 6.06</w:t>
            </w:r>
          </w:p>
        </w:tc>
        <w:tc>
          <w:tcPr>
            <w:tcW w:w="9800" w:type="dxa"/>
            <w:vAlign w:val="bottom"/>
          </w:tcPr>
          <w:p>
            <w:pPr>
              <w:ind w:left="80"/>
              <w:spacing w:after="0"/>
              <w:rPr>
                <w:sz w:val="20"/>
                <w:szCs w:val="20"/>
                <w:color w:val="auto"/>
              </w:rPr>
            </w:pPr>
            <w:r>
              <w:rPr>
                <w:rFonts w:ascii="Arial" w:cs="Arial" w:eastAsia="Arial" w:hAnsi="Arial"/>
                <w:sz w:val="22"/>
                <w:szCs w:val="22"/>
                <w:color w:val="auto"/>
              </w:rPr>
              <w:t>Limitation on Suits.</w:t>
            </w:r>
          </w:p>
        </w:tc>
        <w:tc>
          <w:tcPr>
            <w:tcW w:w="440" w:type="dxa"/>
            <w:vAlign w:val="bottom"/>
          </w:tcPr>
          <w:p>
            <w:pPr>
              <w:jc w:val="right"/>
              <w:spacing w:after="0"/>
              <w:rPr>
                <w:sz w:val="20"/>
                <w:szCs w:val="20"/>
                <w:color w:val="auto"/>
              </w:rPr>
            </w:pPr>
            <w:r>
              <w:rPr>
                <w:rFonts w:ascii="Arial" w:cs="Arial" w:eastAsia="Arial" w:hAnsi="Arial"/>
                <w:sz w:val="22"/>
                <w:szCs w:val="22"/>
                <w:color w:val="auto"/>
              </w:rPr>
              <w:t>101</w:t>
            </w:r>
          </w:p>
        </w:tc>
      </w:tr>
    </w:tbl>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3"/>
        </w:trPr>
        <w:tc>
          <w:tcPr>
            <w:tcW w:w="1240" w:type="dxa"/>
            <w:vAlign w:val="bottom"/>
          </w:tcPr>
          <w:p>
            <w:pPr>
              <w:spacing w:after="0"/>
              <w:rPr>
                <w:sz w:val="20"/>
                <w:szCs w:val="20"/>
                <w:color w:val="auto"/>
              </w:rPr>
            </w:pPr>
            <w:r>
              <w:rPr>
                <w:rFonts w:ascii="Arial" w:cs="Arial" w:eastAsia="Arial" w:hAnsi="Arial"/>
                <w:sz w:val="22"/>
                <w:szCs w:val="22"/>
                <w:color w:val="auto"/>
                <w:w w:val="99"/>
              </w:rPr>
              <w:t>Section 6.07</w:t>
            </w:r>
          </w:p>
        </w:tc>
        <w:tc>
          <w:tcPr>
            <w:tcW w:w="9220" w:type="dxa"/>
            <w:vAlign w:val="bottom"/>
          </w:tcPr>
          <w:p>
            <w:pPr>
              <w:ind w:left="20"/>
              <w:spacing w:after="0"/>
              <w:rPr>
                <w:sz w:val="20"/>
                <w:szCs w:val="20"/>
                <w:color w:val="auto"/>
              </w:rPr>
            </w:pPr>
            <w:r>
              <w:rPr>
                <w:rFonts w:ascii="Arial" w:cs="Arial" w:eastAsia="Arial" w:hAnsi="Arial"/>
                <w:sz w:val="22"/>
                <w:szCs w:val="22"/>
                <w:color w:val="auto"/>
              </w:rPr>
              <w:t>Rights of Holders of Notes to Receive Payment.</w:t>
            </w:r>
          </w:p>
        </w:tc>
        <w:tc>
          <w:tcPr>
            <w:tcW w:w="96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6.08</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Collection Suit by Trustee.</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6.09</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Trustee May File Proofs of Claim.</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6.10</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Priorities.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75"/>
        </w:trPr>
        <w:tc>
          <w:tcPr>
            <w:tcW w:w="1240" w:type="dxa"/>
            <w:vAlign w:val="bottom"/>
          </w:tcPr>
          <w:p>
            <w:pPr>
              <w:spacing w:after="0"/>
              <w:rPr>
                <w:sz w:val="20"/>
                <w:szCs w:val="20"/>
                <w:color w:val="auto"/>
              </w:rPr>
            </w:pPr>
            <w:r>
              <w:rPr>
                <w:rFonts w:ascii="Arial" w:cs="Arial" w:eastAsia="Arial" w:hAnsi="Arial"/>
                <w:sz w:val="22"/>
                <w:szCs w:val="22"/>
                <w:color w:val="auto"/>
                <w:w w:val="99"/>
              </w:rPr>
              <w:t>Section 6.11</w:t>
            </w:r>
          </w:p>
        </w:tc>
        <w:tc>
          <w:tcPr>
            <w:tcW w:w="9220" w:type="dxa"/>
            <w:vAlign w:val="bottom"/>
          </w:tcPr>
          <w:p>
            <w:pPr>
              <w:ind w:left="20"/>
              <w:spacing w:after="0"/>
              <w:rPr>
                <w:sz w:val="20"/>
                <w:szCs w:val="20"/>
                <w:color w:val="auto"/>
              </w:rPr>
            </w:pPr>
            <w:r>
              <w:rPr>
                <w:rFonts w:ascii="Arial" w:cs="Arial" w:eastAsia="Arial" w:hAnsi="Arial"/>
                <w:sz w:val="22"/>
                <w:szCs w:val="22"/>
                <w:color w:val="auto"/>
              </w:rPr>
              <w:t>Undertaking for Costs.</w:t>
            </w:r>
          </w:p>
        </w:tc>
        <w:tc>
          <w:tcPr>
            <w:tcW w:w="96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428"/>
        </w:trPr>
        <w:tc>
          <w:tcPr>
            <w:tcW w:w="1240" w:type="dxa"/>
            <w:vAlign w:val="bottom"/>
          </w:tcPr>
          <w:p>
            <w:pPr>
              <w:spacing w:after="0"/>
              <w:rPr>
                <w:sz w:val="24"/>
                <w:szCs w:val="24"/>
                <w:color w:val="auto"/>
              </w:rPr>
            </w:pPr>
          </w:p>
        </w:tc>
        <w:tc>
          <w:tcPr>
            <w:tcW w:w="9220" w:type="dxa"/>
            <w:vAlign w:val="bottom"/>
          </w:tcPr>
          <w:p>
            <w:pPr>
              <w:jc w:val="center"/>
              <w:ind w:right="152"/>
              <w:spacing w:after="0"/>
              <w:rPr>
                <w:sz w:val="20"/>
                <w:szCs w:val="20"/>
                <w:color w:val="auto"/>
              </w:rPr>
            </w:pPr>
            <w:r>
              <w:rPr>
                <w:rFonts w:ascii="Arial" w:cs="Arial" w:eastAsia="Arial" w:hAnsi="Arial"/>
                <w:sz w:val="22"/>
                <w:szCs w:val="22"/>
                <w:color w:val="auto"/>
                <w:w w:val="95"/>
              </w:rPr>
              <w:t>ARTICLE 7.</w:t>
            </w:r>
          </w:p>
        </w:tc>
        <w:tc>
          <w:tcPr>
            <w:tcW w:w="960" w:type="dxa"/>
            <w:vAlign w:val="bottom"/>
          </w:tcPr>
          <w:p>
            <w:pPr>
              <w:spacing w:after="0"/>
              <w:rPr>
                <w:sz w:val="24"/>
                <w:szCs w:val="24"/>
                <w:color w:val="auto"/>
              </w:rPr>
            </w:pPr>
          </w:p>
        </w:tc>
      </w:tr>
      <w:tr>
        <w:trPr>
          <w:trHeight w:val="275"/>
        </w:trPr>
        <w:tc>
          <w:tcPr>
            <w:tcW w:w="1240" w:type="dxa"/>
            <w:vAlign w:val="bottom"/>
          </w:tcPr>
          <w:p>
            <w:pPr>
              <w:spacing w:after="0"/>
              <w:rPr>
                <w:sz w:val="23"/>
                <w:szCs w:val="23"/>
                <w:color w:val="auto"/>
              </w:rPr>
            </w:pPr>
          </w:p>
        </w:tc>
        <w:tc>
          <w:tcPr>
            <w:tcW w:w="9220" w:type="dxa"/>
            <w:vAlign w:val="bottom"/>
          </w:tcPr>
          <w:p>
            <w:pPr>
              <w:jc w:val="center"/>
              <w:ind w:right="172"/>
              <w:spacing w:after="0"/>
              <w:rPr>
                <w:sz w:val="20"/>
                <w:szCs w:val="20"/>
                <w:color w:val="auto"/>
              </w:rPr>
            </w:pPr>
            <w:r>
              <w:rPr>
                <w:rFonts w:ascii="Arial" w:cs="Arial" w:eastAsia="Arial" w:hAnsi="Arial"/>
                <w:sz w:val="22"/>
                <w:szCs w:val="22"/>
                <w:color w:val="auto"/>
                <w:w w:val="91"/>
              </w:rPr>
              <w:t>TRUSTEE</w:t>
            </w:r>
          </w:p>
        </w:tc>
        <w:tc>
          <w:tcPr>
            <w:tcW w:w="960" w:type="dxa"/>
            <w:vAlign w:val="bottom"/>
          </w:tcPr>
          <w:p>
            <w:pPr>
              <w:spacing w:after="0"/>
              <w:rPr>
                <w:sz w:val="23"/>
                <w:szCs w:val="23"/>
                <w:color w:val="auto"/>
              </w:rPr>
            </w:pPr>
          </w:p>
        </w:tc>
      </w:tr>
      <w:tr>
        <w:trPr>
          <w:trHeight w:val="428"/>
        </w:trPr>
        <w:tc>
          <w:tcPr>
            <w:tcW w:w="1240" w:type="dxa"/>
            <w:vAlign w:val="bottom"/>
          </w:tcPr>
          <w:p>
            <w:pPr>
              <w:spacing w:after="0"/>
              <w:rPr>
                <w:sz w:val="20"/>
                <w:szCs w:val="20"/>
                <w:color w:val="auto"/>
              </w:rPr>
            </w:pPr>
            <w:r>
              <w:rPr>
                <w:rFonts w:ascii="Arial" w:cs="Arial" w:eastAsia="Arial" w:hAnsi="Arial"/>
                <w:sz w:val="22"/>
                <w:szCs w:val="22"/>
                <w:color w:val="auto"/>
                <w:w w:val="99"/>
              </w:rPr>
              <w:t>Section 7.01</w:t>
            </w:r>
          </w:p>
        </w:tc>
        <w:tc>
          <w:tcPr>
            <w:tcW w:w="9220" w:type="dxa"/>
            <w:vAlign w:val="bottom"/>
          </w:tcPr>
          <w:p>
            <w:pPr>
              <w:ind w:left="20"/>
              <w:spacing w:after="0"/>
              <w:rPr>
                <w:sz w:val="20"/>
                <w:szCs w:val="20"/>
                <w:color w:val="auto"/>
              </w:rPr>
            </w:pPr>
            <w:r>
              <w:rPr>
                <w:rFonts w:ascii="Arial" w:cs="Arial" w:eastAsia="Arial" w:hAnsi="Arial"/>
                <w:sz w:val="22"/>
                <w:szCs w:val="22"/>
                <w:color w:val="auto"/>
              </w:rPr>
              <w:t>Duties of Trustee.</w:t>
            </w:r>
          </w:p>
        </w:tc>
        <w:tc>
          <w:tcPr>
            <w:tcW w:w="96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7.02</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Rights of Trustee.</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104</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7.03</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Individual Rights of Trustee.</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7.04</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Trustee’s Disclaimer.</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7.05</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Notice of Defaults.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7.06</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Reports by Trustee to Holders of the Notes.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7.07</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Compensation and Indemnity.</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106</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7.08</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Replacement of Trustee.</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7.09</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Successor Trustee by Merger, etc.</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7.10</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Eligibility; Disqualification.</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75"/>
        </w:trPr>
        <w:tc>
          <w:tcPr>
            <w:tcW w:w="1240" w:type="dxa"/>
            <w:vAlign w:val="bottom"/>
          </w:tcPr>
          <w:p>
            <w:pPr>
              <w:spacing w:after="0"/>
              <w:rPr>
                <w:sz w:val="20"/>
                <w:szCs w:val="20"/>
                <w:color w:val="auto"/>
              </w:rPr>
            </w:pPr>
            <w:r>
              <w:rPr>
                <w:rFonts w:ascii="Arial" w:cs="Arial" w:eastAsia="Arial" w:hAnsi="Arial"/>
                <w:sz w:val="22"/>
                <w:szCs w:val="22"/>
                <w:color w:val="auto"/>
                <w:w w:val="99"/>
              </w:rPr>
              <w:t>Section 7.11</w:t>
            </w:r>
          </w:p>
        </w:tc>
        <w:tc>
          <w:tcPr>
            <w:tcW w:w="9220" w:type="dxa"/>
            <w:vAlign w:val="bottom"/>
          </w:tcPr>
          <w:p>
            <w:pPr>
              <w:ind w:left="20"/>
              <w:spacing w:after="0"/>
              <w:rPr>
                <w:sz w:val="20"/>
                <w:szCs w:val="20"/>
                <w:color w:val="auto"/>
              </w:rPr>
            </w:pPr>
            <w:r>
              <w:rPr>
                <w:rFonts w:ascii="Arial" w:cs="Arial" w:eastAsia="Arial" w:hAnsi="Arial"/>
                <w:sz w:val="22"/>
                <w:szCs w:val="22"/>
                <w:color w:val="auto"/>
              </w:rPr>
              <w:t>Preferential Collection of Claims Against Issuers.</w:t>
            </w:r>
          </w:p>
        </w:tc>
        <w:tc>
          <w:tcPr>
            <w:tcW w:w="96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428"/>
        </w:trPr>
        <w:tc>
          <w:tcPr>
            <w:tcW w:w="1240" w:type="dxa"/>
            <w:vAlign w:val="bottom"/>
          </w:tcPr>
          <w:p>
            <w:pPr>
              <w:spacing w:after="0"/>
              <w:rPr>
                <w:sz w:val="24"/>
                <w:szCs w:val="24"/>
                <w:color w:val="auto"/>
              </w:rPr>
            </w:pPr>
          </w:p>
        </w:tc>
        <w:tc>
          <w:tcPr>
            <w:tcW w:w="9220" w:type="dxa"/>
            <w:vAlign w:val="bottom"/>
          </w:tcPr>
          <w:p>
            <w:pPr>
              <w:jc w:val="center"/>
              <w:ind w:right="152"/>
              <w:spacing w:after="0"/>
              <w:rPr>
                <w:sz w:val="20"/>
                <w:szCs w:val="20"/>
                <w:color w:val="auto"/>
              </w:rPr>
            </w:pPr>
            <w:r>
              <w:rPr>
                <w:rFonts w:ascii="Arial" w:cs="Arial" w:eastAsia="Arial" w:hAnsi="Arial"/>
                <w:sz w:val="22"/>
                <w:szCs w:val="22"/>
                <w:color w:val="auto"/>
                <w:w w:val="95"/>
              </w:rPr>
              <w:t>ARTICLE 8.</w:t>
            </w:r>
          </w:p>
        </w:tc>
        <w:tc>
          <w:tcPr>
            <w:tcW w:w="960" w:type="dxa"/>
            <w:vAlign w:val="bottom"/>
          </w:tcPr>
          <w:p>
            <w:pPr>
              <w:spacing w:after="0"/>
              <w:rPr>
                <w:sz w:val="24"/>
                <w:szCs w:val="24"/>
                <w:color w:val="auto"/>
              </w:rPr>
            </w:pPr>
          </w:p>
        </w:tc>
      </w:tr>
      <w:tr>
        <w:trPr>
          <w:trHeight w:val="275"/>
        </w:trPr>
        <w:tc>
          <w:tcPr>
            <w:tcW w:w="1240" w:type="dxa"/>
            <w:vAlign w:val="bottom"/>
          </w:tcPr>
          <w:p>
            <w:pPr>
              <w:spacing w:after="0"/>
              <w:rPr>
                <w:sz w:val="23"/>
                <w:szCs w:val="23"/>
                <w:color w:val="auto"/>
              </w:rPr>
            </w:pPr>
          </w:p>
        </w:tc>
        <w:tc>
          <w:tcPr>
            <w:tcW w:w="9220" w:type="dxa"/>
            <w:vAlign w:val="bottom"/>
          </w:tcPr>
          <w:p>
            <w:pPr>
              <w:jc w:val="center"/>
              <w:ind w:right="172"/>
              <w:spacing w:after="0"/>
              <w:rPr>
                <w:sz w:val="20"/>
                <w:szCs w:val="20"/>
                <w:color w:val="auto"/>
              </w:rPr>
            </w:pPr>
            <w:r>
              <w:rPr>
                <w:rFonts w:ascii="Arial" w:cs="Arial" w:eastAsia="Arial" w:hAnsi="Arial"/>
                <w:sz w:val="22"/>
                <w:szCs w:val="22"/>
                <w:color w:val="auto"/>
                <w:w w:val="95"/>
              </w:rPr>
              <w:t>LEGAL DEFEASANCE AND COVENANT DEFEASANCE</w:t>
            </w:r>
          </w:p>
        </w:tc>
        <w:tc>
          <w:tcPr>
            <w:tcW w:w="960" w:type="dxa"/>
            <w:vAlign w:val="bottom"/>
          </w:tcPr>
          <w:p>
            <w:pPr>
              <w:spacing w:after="0"/>
              <w:rPr>
                <w:sz w:val="23"/>
                <w:szCs w:val="23"/>
                <w:color w:val="auto"/>
              </w:rPr>
            </w:pPr>
          </w:p>
        </w:tc>
      </w:tr>
      <w:tr>
        <w:trPr>
          <w:trHeight w:val="428"/>
        </w:trPr>
        <w:tc>
          <w:tcPr>
            <w:tcW w:w="1240" w:type="dxa"/>
            <w:vAlign w:val="bottom"/>
          </w:tcPr>
          <w:p>
            <w:pPr>
              <w:spacing w:after="0"/>
              <w:rPr>
                <w:sz w:val="20"/>
                <w:szCs w:val="20"/>
                <w:color w:val="auto"/>
              </w:rPr>
            </w:pPr>
            <w:r>
              <w:rPr>
                <w:rFonts w:ascii="Arial" w:cs="Arial" w:eastAsia="Arial" w:hAnsi="Arial"/>
                <w:sz w:val="22"/>
                <w:szCs w:val="22"/>
                <w:color w:val="auto"/>
                <w:w w:val="99"/>
              </w:rPr>
              <w:t>Section 8.01</w:t>
            </w:r>
          </w:p>
        </w:tc>
        <w:tc>
          <w:tcPr>
            <w:tcW w:w="9220" w:type="dxa"/>
            <w:vAlign w:val="bottom"/>
          </w:tcPr>
          <w:p>
            <w:pPr>
              <w:ind w:left="20"/>
              <w:spacing w:after="0"/>
              <w:rPr>
                <w:sz w:val="20"/>
                <w:szCs w:val="20"/>
                <w:color w:val="auto"/>
              </w:rPr>
            </w:pPr>
            <w:r>
              <w:rPr>
                <w:rFonts w:ascii="Arial" w:cs="Arial" w:eastAsia="Arial" w:hAnsi="Arial"/>
                <w:sz w:val="22"/>
                <w:szCs w:val="22"/>
                <w:color w:val="auto"/>
              </w:rPr>
              <w:t>Option to Effect Legal Defeasance or Covenant Defeasance.</w:t>
            </w:r>
          </w:p>
        </w:tc>
        <w:tc>
          <w:tcPr>
            <w:tcW w:w="96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8.02</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Legal Defeasance and Discharge.</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8.03</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Covenant Defeasance.</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110</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8.04</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Conditions to Legal or Covenant Defeasance.</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110</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8.05</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w w:val="96"/>
              </w:rPr>
              <w:t>Deposited Money and Government Securities to be Held in Trust; Other Miscellaneous Provisions.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111</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8.06</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Repayment to Issuers.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112</w:t>
            </w:r>
          </w:p>
        </w:tc>
      </w:tr>
      <w:tr>
        <w:trPr>
          <w:trHeight w:val="275"/>
        </w:trPr>
        <w:tc>
          <w:tcPr>
            <w:tcW w:w="1240" w:type="dxa"/>
            <w:vAlign w:val="bottom"/>
          </w:tcPr>
          <w:p>
            <w:pPr>
              <w:spacing w:after="0"/>
              <w:rPr>
                <w:sz w:val="20"/>
                <w:szCs w:val="20"/>
                <w:color w:val="auto"/>
              </w:rPr>
            </w:pPr>
            <w:r>
              <w:rPr>
                <w:rFonts w:ascii="Arial" w:cs="Arial" w:eastAsia="Arial" w:hAnsi="Arial"/>
                <w:sz w:val="22"/>
                <w:szCs w:val="22"/>
                <w:color w:val="auto"/>
                <w:w w:val="99"/>
              </w:rPr>
              <w:t>Section 8.07</w:t>
            </w:r>
          </w:p>
        </w:tc>
        <w:tc>
          <w:tcPr>
            <w:tcW w:w="9220" w:type="dxa"/>
            <w:vAlign w:val="bottom"/>
          </w:tcPr>
          <w:p>
            <w:pPr>
              <w:ind w:left="20"/>
              <w:spacing w:after="0"/>
              <w:rPr>
                <w:sz w:val="20"/>
                <w:szCs w:val="20"/>
                <w:color w:val="auto"/>
              </w:rPr>
            </w:pPr>
            <w:r>
              <w:rPr>
                <w:rFonts w:ascii="Arial" w:cs="Arial" w:eastAsia="Arial" w:hAnsi="Arial"/>
                <w:sz w:val="22"/>
                <w:szCs w:val="22"/>
                <w:color w:val="auto"/>
              </w:rPr>
              <w:t>Reinstatement.</w:t>
            </w:r>
          </w:p>
        </w:tc>
        <w:tc>
          <w:tcPr>
            <w:tcW w:w="96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428"/>
        </w:trPr>
        <w:tc>
          <w:tcPr>
            <w:tcW w:w="1240" w:type="dxa"/>
            <w:vAlign w:val="bottom"/>
          </w:tcPr>
          <w:p>
            <w:pPr>
              <w:spacing w:after="0"/>
              <w:rPr>
                <w:sz w:val="24"/>
                <w:szCs w:val="24"/>
                <w:color w:val="auto"/>
              </w:rPr>
            </w:pPr>
          </w:p>
        </w:tc>
        <w:tc>
          <w:tcPr>
            <w:tcW w:w="9220" w:type="dxa"/>
            <w:vAlign w:val="bottom"/>
          </w:tcPr>
          <w:p>
            <w:pPr>
              <w:jc w:val="center"/>
              <w:ind w:right="152"/>
              <w:spacing w:after="0"/>
              <w:rPr>
                <w:sz w:val="20"/>
                <w:szCs w:val="20"/>
                <w:color w:val="auto"/>
              </w:rPr>
            </w:pPr>
            <w:r>
              <w:rPr>
                <w:rFonts w:ascii="Arial" w:cs="Arial" w:eastAsia="Arial" w:hAnsi="Arial"/>
                <w:sz w:val="22"/>
                <w:szCs w:val="22"/>
                <w:color w:val="auto"/>
                <w:w w:val="95"/>
              </w:rPr>
              <w:t>ARTICLE 9.</w:t>
            </w:r>
          </w:p>
        </w:tc>
        <w:tc>
          <w:tcPr>
            <w:tcW w:w="960" w:type="dxa"/>
            <w:vAlign w:val="bottom"/>
          </w:tcPr>
          <w:p>
            <w:pPr>
              <w:spacing w:after="0"/>
              <w:rPr>
                <w:sz w:val="24"/>
                <w:szCs w:val="24"/>
                <w:color w:val="auto"/>
              </w:rPr>
            </w:pPr>
          </w:p>
        </w:tc>
      </w:tr>
      <w:tr>
        <w:trPr>
          <w:trHeight w:val="275"/>
        </w:trPr>
        <w:tc>
          <w:tcPr>
            <w:tcW w:w="1240" w:type="dxa"/>
            <w:vAlign w:val="bottom"/>
          </w:tcPr>
          <w:p>
            <w:pPr>
              <w:spacing w:after="0"/>
              <w:rPr>
                <w:sz w:val="23"/>
                <w:szCs w:val="23"/>
                <w:color w:val="auto"/>
              </w:rPr>
            </w:pPr>
          </w:p>
        </w:tc>
        <w:tc>
          <w:tcPr>
            <w:tcW w:w="9220" w:type="dxa"/>
            <w:vAlign w:val="bottom"/>
          </w:tcPr>
          <w:p>
            <w:pPr>
              <w:jc w:val="center"/>
              <w:ind w:right="172"/>
              <w:spacing w:after="0"/>
              <w:rPr>
                <w:sz w:val="20"/>
                <w:szCs w:val="20"/>
                <w:color w:val="auto"/>
              </w:rPr>
            </w:pPr>
            <w:r>
              <w:rPr>
                <w:rFonts w:ascii="Arial" w:cs="Arial" w:eastAsia="Arial" w:hAnsi="Arial"/>
                <w:sz w:val="22"/>
                <w:szCs w:val="22"/>
                <w:color w:val="auto"/>
                <w:w w:val="95"/>
              </w:rPr>
              <w:t>AMENDMENT, SUPPLEMENT AND WAIVER</w:t>
            </w:r>
          </w:p>
        </w:tc>
        <w:tc>
          <w:tcPr>
            <w:tcW w:w="960" w:type="dxa"/>
            <w:vAlign w:val="bottom"/>
          </w:tcPr>
          <w:p>
            <w:pPr>
              <w:spacing w:after="0"/>
              <w:rPr>
                <w:sz w:val="23"/>
                <w:szCs w:val="23"/>
                <w:color w:val="auto"/>
              </w:rPr>
            </w:pPr>
          </w:p>
        </w:tc>
      </w:tr>
      <w:tr>
        <w:trPr>
          <w:trHeight w:val="428"/>
        </w:trPr>
        <w:tc>
          <w:tcPr>
            <w:tcW w:w="1240" w:type="dxa"/>
            <w:vAlign w:val="bottom"/>
          </w:tcPr>
          <w:p>
            <w:pPr>
              <w:spacing w:after="0"/>
              <w:rPr>
                <w:sz w:val="20"/>
                <w:szCs w:val="20"/>
                <w:color w:val="auto"/>
              </w:rPr>
            </w:pPr>
            <w:r>
              <w:rPr>
                <w:rFonts w:ascii="Arial" w:cs="Arial" w:eastAsia="Arial" w:hAnsi="Arial"/>
                <w:sz w:val="22"/>
                <w:szCs w:val="22"/>
                <w:color w:val="auto"/>
                <w:w w:val="99"/>
              </w:rPr>
              <w:t>Section 9.01</w:t>
            </w:r>
          </w:p>
        </w:tc>
        <w:tc>
          <w:tcPr>
            <w:tcW w:w="9220" w:type="dxa"/>
            <w:vAlign w:val="bottom"/>
          </w:tcPr>
          <w:p>
            <w:pPr>
              <w:ind w:left="20"/>
              <w:spacing w:after="0"/>
              <w:rPr>
                <w:sz w:val="20"/>
                <w:szCs w:val="20"/>
                <w:color w:val="auto"/>
              </w:rPr>
            </w:pPr>
            <w:r>
              <w:rPr>
                <w:rFonts w:ascii="Arial" w:cs="Arial" w:eastAsia="Arial" w:hAnsi="Arial"/>
                <w:sz w:val="22"/>
                <w:szCs w:val="22"/>
                <w:color w:val="auto"/>
              </w:rPr>
              <w:t>Without Consent of Holders of Notes.</w:t>
            </w:r>
          </w:p>
        </w:tc>
        <w:tc>
          <w:tcPr>
            <w:tcW w:w="96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9.02</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With Consent of Holders of Notes.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114</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9.03</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Compliance with Trust Indenture Act.</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116</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9.04</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Revocation and Effect of Consents.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116</w:t>
            </w: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w w:val="99"/>
              </w:rPr>
              <w:t>Section 9.05</w:t>
            </w:r>
          </w:p>
        </w:tc>
        <w:tc>
          <w:tcPr>
            <w:tcW w:w="9220" w:type="dxa"/>
            <w:vAlign w:val="bottom"/>
          </w:tcPr>
          <w:p>
            <w:pPr>
              <w:ind w:left="20"/>
              <w:spacing w:after="0" w:line="243" w:lineRule="exact"/>
              <w:rPr>
                <w:sz w:val="20"/>
                <w:szCs w:val="20"/>
                <w:color w:val="auto"/>
              </w:rPr>
            </w:pPr>
            <w:r>
              <w:rPr>
                <w:rFonts w:ascii="Arial" w:cs="Arial" w:eastAsia="Arial" w:hAnsi="Arial"/>
                <w:sz w:val="22"/>
                <w:szCs w:val="22"/>
                <w:color w:val="auto"/>
              </w:rPr>
              <w:t>Notation on or Exchange of Notes.</w:t>
            </w: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116</w:t>
            </w:r>
          </w:p>
        </w:tc>
      </w:tr>
      <w:tr>
        <w:trPr>
          <w:trHeight w:val="275"/>
        </w:trPr>
        <w:tc>
          <w:tcPr>
            <w:tcW w:w="1240" w:type="dxa"/>
            <w:vAlign w:val="bottom"/>
          </w:tcPr>
          <w:p>
            <w:pPr>
              <w:spacing w:after="0"/>
              <w:rPr>
                <w:sz w:val="20"/>
                <w:szCs w:val="20"/>
                <w:color w:val="auto"/>
              </w:rPr>
            </w:pPr>
            <w:r>
              <w:rPr>
                <w:rFonts w:ascii="Arial" w:cs="Arial" w:eastAsia="Arial" w:hAnsi="Arial"/>
                <w:sz w:val="22"/>
                <w:szCs w:val="22"/>
                <w:color w:val="auto"/>
                <w:w w:val="99"/>
              </w:rPr>
              <w:t>Section 9.06</w:t>
            </w:r>
          </w:p>
        </w:tc>
        <w:tc>
          <w:tcPr>
            <w:tcW w:w="9220" w:type="dxa"/>
            <w:vAlign w:val="bottom"/>
          </w:tcPr>
          <w:p>
            <w:pPr>
              <w:ind w:left="20"/>
              <w:spacing w:after="0"/>
              <w:rPr>
                <w:sz w:val="20"/>
                <w:szCs w:val="20"/>
                <w:color w:val="auto"/>
              </w:rPr>
            </w:pPr>
            <w:r>
              <w:rPr>
                <w:rFonts w:ascii="Arial" w:cs="Arial" w:eastAsia="Arial" w:hAnsi="Arial"/>
                <w:sz w:val="22"/>
                <w:szCs w:val="22"/>
                <w:color w:val="auto"/>
              </w:rPr>
              <w:t>Trustee to Sign Amendments, etc.</w:t>
            </w:r>
          </w:p>
        </w:tc>
        <w:tc>
          <w:tcPr>
            <w:tcW w:w="96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428"/>
        </w:trPr>
        <w:tc>
          <w:tcPr>
            <w:tcW w:w="1240" w:type="dxa"/>
            <w:vAlign w:val="bottom"/>
          </w:tcPr>
          <w:p>
            <w:pPr>
              <w:spacing w:after="0"/>
              <w:rPr>
                <w:sz w:val="24"/>
                <w:szCs w:val="24"/>
                <w:color w:val="auto"/>
              </w:rPr>
            </w:pPr>
          </w:p>
        </w:tc>
        <w:tc>
          <w:tcPr>
            <w:tcW w:w="9220" w:type="dxa"/>
            <w:vAlign w:val="bottom"/>
          </w:tcPr>
          <w:p>
            <w:pPr>
              <w:jc w:val="center"/>
              <w:ind w:right="172"/>
              <w:spacing w:after="0"/>
              <w:rPr>
                <w:sz w:val="20"/>
                <w:szCs w:val="20"/>
                <w:color w:val="auto"/>
              </w:rPr>
            </w:pPr>
            <w:r>
              <w:rPr>
                <w:rFonts w:ascii="Arial" w:cs="Arial" w:eastAsia="Arial" w:hAnsi="Arial"/>
                <w:sz w:val="22"/>
                <w:szCs w:val="22"/>
                <w:color w:val="auto"/>
                <w:w w:val="94"/>
              </w:rPr>
              <w:t>ARTICLE 10.</w:t>
            </w:r>
          </w:p>
        </w:tc>
        <w:tc>
          <w:tcPr>
            <w:tcW w:w="960" w:type="dxa"/>
            <w:vAlign w:val="bottom"/>
          </w:tcPr>
          <w:p>
            <w:pPr>
              <w:spacing w:after="0"/>
              <w:rPr>
                <w:sz w:val="24"/>
                <w:szCs w:val="24"/>
                <w:color w:val="auto"/>
              </w:rPr>
            </w:pPr>
          </w:p>
        </w:tc>
      </w:tr>
      <w:tr>
        <w:trPr>
          <w:trHeight w:val="275"/>
        </w:trPr>
        <w:tc>
          <w:tcPr>
            <w:tcW w:w="1240" w:type="dxa"/>
            <w:vAlign w:val="bottom"/>
          </w:tcPr>
          <w:p>
            <w:pPr>
              <w:spacing w:after="0"/>
              <w:rPr>
                <w:sz w:val="23"/>
                <w:szCs w:val="23"/>
                <w:color w:val="auto"/>
              </w:rPr>
            </w:pPr>
          </w:p>
        </w:tc>
        <w:tc>
          <w:tcPr>
            <w:tcW w:w="9220" w:type="dxa"/>
            <w:vAlign w:val="bottom"/>
          </w:tcPr>
          <w:p>
            <w:pPr>
              <w:jc w:val="center"/>
              <w:ind w:right="172"/>
              <w:spacing w:after="0"/>
              <w:rPr>
                <w:sz w:val="20"/>
                <w:szCs w:val="20"/>
                <w:color w:val="auto"/>
              </w:rPr>
            </w:pPr>
            <w:r>
              <w:rPr>
                <w:rFonts w:ascii="Arial" w:cs="Arial" w:eastAsia="Arial" w:hAnsi="Arial"/>
                <w:sz w:val="22"/>
                <w:szCs w:val="22"/>
                <w:color w:val="auto"/>
                <w:w w:val="96"/>
              </w:rPr>
              <w:t>COLLATERAL AND SECURITY</w:t>
            </w:r>
          </w:p>
        </w:tc>
        <w:tc>
          <w:tcPr>
            <w:tcW w:w="960" w:type="dxa"/>
            <w:vAlign w:val="bottom"/>
          </w:tcPr>
          <w:p>
            <w:pPr>
              <w:spacing w:after="0"/>
              <w:rPr>
                <w:sz w:val="23"/>
                <w:szCs w:val="23"/>
                <w:color w:val="auto"/>
              </w:rPr>
            </w:pPr>
          </w:p>
        </w:tc>
      </w:tr>
      <w:tr>
        <w:trPr>
          <w:trHeight w:val="428"/>
        </w:trPr>
        <w:tc>
          <w:tcPr>
            <w:tcW w:w="1240" w:type="dxa"/>
            <w:vAlign w:val="bottom"/>
          </w:tcPr>
          <w:p>
            <w:pPr>
              <w:spacing w:after="0"/>
              <w:rPr>
                <w:sz w:val="20"/>
                <w:szCs w:val="20"/>
                <w:color w:val="auto"/>
              </w:rPr>
            </w:pPr>
            <w:r>
              <w:rPr>
                <w:rFonts w:ascii="Arial" w:cs="Arial" w:eastAsia="Arial" w:hAnsi="Arial"/>
                <w:sz w:val="22"/>
                <w:szCs w:val="22"/>
                <w:color w:val="auto"/>
                <w:w w:val="90"/>
              </w:rPr>
              <w:t>Section 10.01</w:t>
            </w:r>
          </w:p>
        </w:tc>
        <w:tc>
          <w:tcPr>
            <w:tcW w:w="9220" w:type="dxa"/>
            <w:vAlign w:val="bottom"/>
          </w:tcPr>
          <w:p>
            <w:pPr>
              <w:ind w:left="20"/>
              <w:spacing w:after="0"/>
              <w:rPr>
                <w:sz w:val="20"/>
                <w:szCs w:val="20"/>
                <w:color w:val="auto"/>
              </w:rPr>
            </w:pPr>
            <w:r>
              <w:rPr>
                <w:rFonts w:ascii="Arial" w:cs="Arial" w:eastAsia="Arial" w:hAnsi="Arial"/>
                <w:sz w:val="22"/>
                <w:szCs w:val="22"/>
                <w:color w:val="auto"/>
              </w:rPr>
              <w:t>Collateral Documents.</w:t>
            </w:r>
          </w:p>
        </w:tc>
        <w:tc>
          <w:tcPr>
            <w:tcW w:w="96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275"/>
        </w:trPr>
        <w:tc>
          <w:tcPr>
            <w:tcW w:w="1240" w:type="dxa"/>
            <w:vAlign w:val="bottom"/>
          </w:tcPr>
          <w:p>
            <w:pPr>
              <w:spacing w:after="0"/>
              <w:rPr>
                <w:sz w:val="20"/>
                <w:szCs w:val="20"/>
                <w:color w:val="auto"/>
              </w:rPr>
            </w:pPr>
            <w:r>
              <w:rPr>
                <w:rFonts w:ascii="Arial" w:cs="Arial" w:eastAsia="Arial" w:hAnsi="Arial"/>
                <w:sz w:val="22"/>
                <w:szCs w:val="22"/>
                <w:color w:val="auto"/>
                <w:w w:val="90"/>
              </w:rPr>
              <w:t>Section 10.02</w:t>
            </w:r>
          </w:p>
        </w:tc>
        <w:tc>
          <w:tcPr>
            <w:tcW w:w="9220" w:type="dxa"/>
            <w:vAlign w:val="bottom"/>
          </w:tcPr>
          <w:p>
            <w:pPr>
              <w:ind w:left="20"/>
              <w:spacing w:after="0"/>
              <w:rPr>
                <w:sz w:val="20"/>
                <w:szCs w:val="20"/>
                <w:color w:val="auto"/>
              </w:rPr>
            </w:pPr>
            <w:r>
              <w:rPr>
                <w:rFonts w:ascii="Arial" w:cs="Arial" w:eastAsia="Arial" w:hAnsi="Arial"/>
                <w:sz w:val="22"/>
                <w:szCs w:val="22"/>
                <w:color w:val="auto"/>
              </w:rPr>
              <w:t>Recording and Opinions.</w:t>
            </w:r>
          </w:p>
        </w:tc>
        <w:tc>
          <w:tcPr>
            <w:tcW w:w="960" w:type="dxa"/>
            <w:vAlign w:val="bottom"/>
          </w:tcPr>
          <w:p>
            <w:pPr>
              <w:jc w:val="right"/>
              <w:spacing w:after="0"/>
              <w:rPr>
                <w:sz w:val="20"/>
                <w:szCs w:val="20"/>
                <w:color w:val="auto"/>
              </w:rPr>
            </w:pPr>
            <w:r>
              <w:rPr>
                <w:rFonts w:ascii="Arial" w:cs="Arial" w:eastAsia="Arial" w:hAnsi="Arial"/>
                <w:sz w:val="22"/>
                <w:szCs w:val="22"/>
                <w:color w:val="auto"/>
              </w:rPr>
              <w:t>118</w:t>
            </w:r>
          </w:p>
        </w:tc>
      </w:tr>
    </w:tbl>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3"/>
        </w:trPr>
        <w:tc>
          <w:tcPr>
            <w:tcW w:w="9900" w:type="dxa"/>
            <w:vAlign w:val="bottom"/>
          </w:tcPr>
          <w:p>
            <w:pPr>
              <w:spacing w:after="0"/>
              <w:rPr>
                <w:sz w:val="20"/>
                <w:szCs w:val="20"/>
                <w:color w:val="auto"/>
              </w:rPr>
            </w:pPr>
            <w:r>
              <w:rPr>
                <w:rFonts w:ascii="Arial" w:cs="Arial" w:eastAsia="Arial" w:hAnsi="Arial"/>
                <w:sz w:val="22"/>
                <w:szCs w:val="22"/>
                <w:color w:val="auto"/>
              </w:rPr>
              <w:t>Section 10.03 Release of Collateral.</w:t>
            </w:r>
          </w:p>
        </w:tc>
        <w:tc>
          <w:tcPr>
            <w:tcW w:w="1520" w:type="dxa"/>
            <w:vAlign w:val="bottom"/>
          </w:tcPr>
          <w:p>
            <w:pPr>
              <w:jc w:val="right"/>
              <w:spacing w:after="0"/>
              <w:rPr>
                <w:sz w:val="20"/>
                <w:szCs w:val="20"/>
                <w:color w:val="auto"/>
              </w:rPr>
            </w:pPr>
            <w:r>
              <w:rPr>
                <w:rFonts w:ascii="Arial" w:cs="Arial" w:eastAsia="Arial" w:hAnsi="Arial"/>
                <w:sz w:val="22"/>
                <w:szCs w:val="22"/>
                <w:color w:val="auto"/>
              </w:rPr>
              <w:t>119</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10.04 Certificates of the Issuers.</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124</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10.05 Certificates of the Trustee.</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124</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10.06 Authorization of Actions to Be Taken by the Trustee Under the Collateral Documents.</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124</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10.07 Authorization of Receipt of Funds by the Trustee Under the Collateral Documents.</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10.08 Rights in the Pledged Collateral.</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r>
      <w:tr>
        <w:trPr>
          <w:trHeight w:val="275"/>
        </w:trPr>
        <w:tc>
          <w:tcPr>
            <w:tcW w:w="9900" w:type="dxa"/>
            <w:vAlign w:val="bottom"/>
          </w:tcPr>
          <w:p>
            <w:pPr>
              <w:spacing w:after="0"/>
              <w:rPr>
                <w:sz w:val="20"/>
                <w:szCs w:val="20"/>
                <w:color w:val="auto"/>
              </w:rPr>
            </w:pPr>
            <w:r>
              <w:rPr>
                <w:rFonts w:ascii="Arial" w:cs="Arial" w:eastAsia="Arial" w:hAnsi="Arial"/>
                <w:sz w:val="22"/>
                <w:szCs w:val="22"/>
                <w:color w:val="auto"/>
              </w:rPr>
              <w:t>Section 10.09 Termination of Security Interest.</w:t>
            </w:r>
          </w:p>
        </w:tc>
        <w:tc>
          <w:tcPr>
            <w:tcW w:w="152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428"/>
        </w:trPr>
        <w:tc>
          <w:tcPr>
            <w:tcW w:w="9900" w:type="dxa"/>
            <w:vAlign w:val="bottom"/>
          </w:tcPr>
          <w:p>
            <w:pPr>
              <w:jc w:val="center"/>
              <w:ind w:left="1412"/>
              <w:spacing w:after="0"/>
              <w:rPr>
                <w:sz w:val="20"/>
                <w:szCs w:val="20"/>
                <w:color w:val="auto"/>
              </w:rPr>
            </w:pPr>
            <w:r>
              <w:rPr>
                <w:rFonts w:ascii="Arial" w:cs="Arial" w:eastAsia="Arial" w:hAnsi="Arial"/>
                <w:sz w:val="22"/>
                <w:szCs w:val="22"/>
                <w:color w:val="auto"/>
                <w:w w:val="94"/>
              </w:rPr>
              <w:t>ARTICLE 11.</w:t>
            </w:r>
          </w:p>
        </w:tc>
        <w:tc>
          <w:tcPr>
            <w:tcW w:w="1520" w:type="dxa"/>
            <w:vAlign w:val="bottom"/>
          </w:tcPr>
          <w:p>
            <w:pPr>
              <w:spacing w:after="0"/>
              <w:rPr>
                <w:sz w:val="24"/>
                <w:szCs w:val="24"/>
                <w:color w:val="auto"/>
              </w:rPr>
            </w:pPr>
          </w:p>
        </w:tc>
      </w:tr>
      <w:tr>
        <w:trPr>
          <w:trHeight w:val="275"/>
        </w:trPr>
        <w:tc>
          <w:tcPr>
            <w:tcW w:w="9900" w:type="dxa"/>
            <w:vAlign w:val="bottom"/>
          </w:tcPr>
          <w:p>
            <w:pPr>
              <w:jc w:val="center"/>
              <w:ind w:left="1412"/>
              <w:spacing w:after="0"/>
              <w:rPr>
                <w:sz w:val="20"/>
                <w:szCs w:val="20"/>
                <w:color w:val="auto"/>
              </w:rPr>
            </w:pPr>
            <w:r>
              <w:rPr>
                <w:rFonts w:ascii="Arial" w:cs="Arial" w:eastAsia="Arial" w:hAnsi="Arial"/>
                <w:sz w:val="22"/>
                <w:szCs w:val="22"/>
                <w:color w:val="auto"/>
                <w:w w:val="94"/>
              </w:rPr>
              <w:t>NOTE GUARANTEES</w:t>
            </w:r>
          </w:p>
        </w:tc>
        <w:tc>
          <w:tcPr>
            <w:tcW w:w="1520" w:type="dxa"/>
            <w:vAlign w:val="bottom"/>
          </w:tcPr>
          <w:p>
            <w:pPr>
              <w:spacing w:after="0"/>
              <w:rPr>
                <w:sz w:val="23"/>
                <w:szCs w:val="23"/>
                <w:color w:val="auto"/>
              </w:rPr>
            </w:pPr>
          </w:p>
        </w:tc>
      </w:tr>
      <w:tr>
        <w:trPr>
          <w:trHeight w:val="428"/>
        </w:trPr>
        <w:tc>
          <w:tcPr>
            <w:tcW w:w="9900" w:type="dxa"/>
            <w:vAlign w:val="bottom"/>
          </w:tcPr>
          <w:p>
            <w:pPr>
              <w:spacing w:after="0"/>
              <w:rPr>
                <w:sz w:val="20"/>
                <w:szCs w:val="20"/>
                <w:color w:val="auto"/>
              </w:rPr>
            </w:pPr>
            <w:r>
              <w:rPr>
                <w:rFonts w:ascii="Arial" w:cs="Arial" w:eastAsia="Arial" w:hAnsi="Arial"/>
                <w:sz w:val="22"/>
                <w:szCs w:val="22"/>
                <w:color w:val="auto"/>
              </w:rPr>
              <w:t>Section 11.01 Note Guarantee.</w:t>
            </w:r>
          </w:p>
        </w:tc>
        <w:tc>
          <w:tcPr>
            <w:tcW w:w="152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11.02 Limitation on Guarantor Liability.</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127</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11.03 Execution and Delivery of Note Guarantee.</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128</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11.04 Guarantors May Consolidate, etc., on Certain Terms.</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128</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11.05 Releases Following Sale of Assets.</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129</w:t>
            </w:r>
          </w:p>
        </w:tc>
      </w:tr>
      <w:tr>
        <w:trPr>
          <w:trHeight w:val="275"/>
        </w:trPr>
        <w:tc>
          <w:tcPr>
            <w:tcW w:w="9900" w:type="dxa"/>
            <w:vAlign w:val="bottom"/>
          </w:tcPr>
          <w:p>
            <w:pPr>
              <w:spacing w:after="0"/>
              <w:rPr>
                <w:sz w:val="20"/>
                <w:szCs w:val="20"/>
                <w:color w:val="auto"/>
              </w:rPr>
            </w:pPr>
            <w:r>
              <w:rPr>
                <w:rFonts w:ascii="Arial" w:cs="Arial" w:eastAsia="Arial" w:hAnsi="Arial"/>
                <w:sz w:val="22"/>
                <w:szCs w:val="22"/>
                <w:color w:val="auto"/>
              </w:rPr>
              <w:t>Section 11.06 Release of Guarantees.</w:t>
            </w:r>
          </w:p>
        </w:tc>
        <w:tc>
          <w:tcPr>
            <w:tcW w:w="152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428"/>
        </w:trPr>
        <w:tc>
          <w:tcPr>
            <w:tcW w:w="9900" w:type="dxa"/>
            <w:vAlign w:val="bottom"/>
          </w:tcPr>
          <w:p>
            <w:pPr>
              <w:jc w:val="center"/>
              <w:ind w:left="1412"/>
              <w:spacing w:after="0"/>
              <w:rPr>
                <w:sz w:val="20"/>
                <w:szCs w:val="20"/>
                <w:color w:val="auto"/>
              </w:rPr>
            </w:pPr>
            <w:r>
              <w:rPr>
                <w:rFonts w:ascii="Arial" w:cs="Arial" w:eastAsia="Arial" w:hAnsi="Arial"/>
                <w:sz w:val="22"/>
                <w:szCs w:val="22"/>
                <w:color w:val="auto"/>
                <w:w w:val="94"/>
              </w:rPr>
              <w:t>ARTICLE 12.</w:t>
            </w:r>
          </w:p>
        </w:tc>
        <w:tc>
          <w:tcPr>
            <w:tcW w:w="1520" w:type="dxa"/>
            <w:vAlign w:val="bottom"/>
          </w:tcPr>
          <w:p>
            <w:pPr>
              <w:spacing w:after="0"/>
              <w:rPr>
                <w:sz w:val="24"/>
                <w:szCs w:val="24"/>
                <w:color w:val="auto"/>
              </w:rPr>
            </w:pPr>
          </w:p>
        </w:tc>
      </w:tr>
      <w:tr>
        <w:trPr>
          <w:trHeight w:val="275"/>
        </w:trPr>
        <w:tc>
          <w:tcPr>
            <w:tcW w:w="9900" w:type="dxa"/>
            <w:vAlign w:val="bottom"/>
          </w:tcPr>
          <w:p>
            <w:pPr>
              <w:jc w:val="center"/>
              <w:ind w:left="1412"/>
              <w:spacing w:after="0"/>
              <w:rPr>
                <w:sz w:val="20"/>
                <w:szCs w:val="20"/>
                <w:color w:val="auto"/>
              </w:rPr>
            </w:pPr>
            <w:r>
              <w:rPr>
                <w:rFonts w:ascii="Arial" w:cs="Arial" w:eastAsia="Arial" w:hAnsi="Arial"/>
                <w:sz w:val="22"/>
                <w:szCs w:val="22"/>
                <w:color w:val="auto"/>
                <w:w w:val="94"/>
              </w:rPr>
              <w:t>SATISFACTION AND DISCHARGE</w:t>
            </w:r>
          </w:p>
        </w:tc>
        <w:tc>
          <w:tcPr>
            <w:tcW w:w="1520" w:type="dxa"/>
            <w:vAlign w:val="bottom"/>
          </w:tcPr>
          <w:p>
            <w:pPr>
              <w:spacing w:after="0"/>
              <w:rPr>
                <w:sz w:val="23"/>
                <w:szCs w:val="23"/>
                <w:color w:val="auto"/>
              </w:rPr>
            </w:pPr>
          </w:p>
        </w:tc>
      </w:tr>
      <w:tr>
        <w:trPr>
          <w:trHeight w:val="428"/>
        </w:trPr>
        <w:tc>
          <w:tcPr>
            <w:tcW w:w="9900" w:type="dxa"/>
            <w:vAlign w:val="bottom"/>
          </w:tcPr>
          <w:p>
            <w:pPr>
              <w:spacing w:after="0"/>
              <w:rPr>
                <w:sz w:val="20"/>
                <w:szCs w:val="20"/>
                <w:color w:val="auto"/>
              </w:rPr>
            </w:pPr>
            <w:r>
              <w:rPr>
                <w:rFonts w:ascii="Arial" w:cs="Arial" w:eastAsia="Arial" w:hAnsi="Arial"/>
                <w:sz w:val="22"/>
                <w:szCs w:val="22"/>
                <w:color w:val="auto"/>
              </w:rPr>
              <w:t>Section 12.01 Satisfaction and Discharge.</w:t>
            </w:r>
          </w:p>
        </w:tc>
        <w:tc>
          <w:tcPr>
            <w:tcW w:w="152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12.02 Application of Trust Money.</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131</w:t>
            </w:r>
          </w:p>
        </w:tc>
      </w:tr>
      <w:tr>
        <w:trPr>
          <w:trHeight w:val="243"/>
        </w:trPr>
        <w:tc>
          <w:tcPr>
            <w:tcW w:w="9900" w:type="dxa"/>
            <w:vAlign w:val="bottom"/>
          </w:tcPr>
          <w:p>
            <w:pPr>
              <w:jc w:val="center"/>
              <w:ind w:left="1412"/>
              <w:spacing w:after="0" w:line="243" w:lineRule="exact"/>
              <w:rPr>
                <w:sz w:val="20"/>
                <w:szCs w:val="20"/>
                <w:color w:val="auto"/>
              </w:rPr>
            </w:pPr>
            <w:r>
              <w:rPr>
                <w:rFonts w:ascii="Arial" w:cs="Arial" w:eastAsia="Arial" w:hAnsi="Arial"/>
                <w:sz w:val="22"/>
                <w:szCs w:val="22"/>
                <w:color w:val="auto"/>
                <w:w w:val="94"/>
              </w:rPr>
              <w:t>ARTICLE 13.</w:t>
            </w:r>
          </w:p>
        </w:tc>
        <w:tc>
          <w:tcPr>
            <w:tcW w:w="1520" w:type="dxa"/>
            <w:vAlign w:val="bottom"/>
          </w:tcPr>
          <w:p>
            <w:pPr>
              <w:spacing w:after="0"/>
              <w:rPr>
                <w:sz w:val="21"/>
                <w:szCs w:val="21"/>
                <w:color w:val="auto"/>
              </w:rPr>
            </w:pPr>
          </w:p>
        </w:tc>
      </w:tr>
      <w:tr>
        <w:trPr>
          <w:trHeight w:val="275"/>
        </w:trPr>
        <w:tc>
          <w:tcPr>
            <w:tcW w:w="9900" w:type="dxa"/>
            <w:vAlign w:val="bottom"/>
          </w:tcPr>
          <w:p>
            <w:pPr>
              <w:jc w:val="center"/>
              <w:ind w:left="1412"/>
              <w:spacing w:after="0"/>
              <w:rPr>
                <w:sz w:val="20"/>
                <w:szCs w:val="20"/>
                <w:color w:val="auto"/>
              </w:rPr>
            </w:pPr>
            <w:r>
              <w:rPr>
                <w:rFonts w:ascii="Arial" w:cs="Arial" w:eastAsia="Arial" w:hAnsi="Arial"/>
                <w:sz w:val="22"/>
                <w:szCs w:val="22"/>
                <w:color w:val="auto"/>
                <w:w w:val="98"/>
              </w:rPr>
              <w:t>JOINT AND SEVERAL LIABILITY</w:t>
            </w:r>
          </w:p>
        </w:tc>
        <w:tc>
          <w:tcPr>
            <w:tcW w:w="1520" w:type="dxa"/>
            <w:vAlign w:val="bottom"/>
          </w:tcPr>
          <w:p>
            <w:pPr>
              <w:spacing w:after="0"/>
              <w:rPr>
                <w:sz w:val="23"/>
                <w:szCs w:val="23"/>
                <w:color w:val="auto"/>
              </w:rPr>
            </w:pPr>
          </w:p>
        </w:tc>
      </w:tr>
      <w:tr>
        <w:trPr>
          <w:trHeight w:val="486"/>
        </w:trPr>
        <w:tc>
          <w:tcPr>
            <w:tcW w:w="9900" w:type="dxa"/>
            <w:vAlign w:val="bottom"/>
          </w:tcPr>
          <w:p>
            <w:pPr>
              <w:spacing w:after="0"/>
              <w:rPr>
                <w:sz w:val="20"/>
                <w:szCs w:val="20"/>
                <w:color w:val="auto"/>
              </w:rPr>
            </w:pPr>
            <w:r>
              <w:rPr>
                <w:rFonts w:ascii="Arial" w:cs="Arial" w:eastAsia="Arial" w:hAnsi="Arial"/>
                <w:sz w:val="22"/>
                <w:szCs w:val="22"/>
                <w:color w:val="auto"/>
              </w:rPr>
              <w:t>Section 13.01 Joint and Several Liability.</w:t>
            </w:r>
          </w:p>
        </w:tc>
        <w:tc>
          <w:tcPr>
            <w:tcW w:w="152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428"/>
        </w:trPr>
        <w:tc>
          <w:tcPr>
            <w:tcW w:w="9900" w:type="dxa"/>
            <w:vAlign w:val="bottom"/>
          </w:tcPr>
          <w:p>
            <w:pPr>
              <w:jc w:val="center"/>
              <w:ind w:left="1412"/>
              <w:spacing w:after="0"/>
              <w:rPr>
                <w:sz w:val="20"/>
                <w:szCs w:val="20"/>
                <w:color w:val="auto"/>
              </w:rPr>
            </w:pPr>
            <w:r>
              <w:rPr>
                <w:rFonts w:ascii="Arial" w:cs="Arial" w:eastAsia="Arial" w:hAnsi="Arial"/>
                <w:sz w:val="22"/>
                <w:szCs w:val="22"/>
                <w:color w:val="auto"/>
                <w:w w:val="94"/>
              </w:rPr>
              <w:t>ARTICLE 14.</w:t>
            </w:r>
          </w:p>
        </w:tc>
        <w:tc>
          <w:tcPr>
            <w:tcW w:w="1520" w:type="dxa"/>
            <w:vAlign w:val="bottom"/>
          </w:tcPr>
          <w:p>
            <w:pPr>
              <w:spacing w:after="0"/>
              <w:rPr>
                <w:sz w:val="24"/>
                <w:szCs w:val="24"/>
                <w:color w:val="auto"/>
              </w:rPr>
            </w:pPr>
          </w:p>
        </w:tc>
      </w:tr>
      <w:tr>
        <w:trPr>
          <w:trHeight w:val="275"/>
        </w:trPr>
        <w:tc>
          <w:tcPr>
            <w:tcW w:w="9900" w:type="dxa"/>
            <w:vAlign w:val="bottom"/>
          </w:tcPr>
          <w:p>
            <w:pPr>
              <w:jc w:val="center"/>
              <w:ind w:left="1432"/>
              <w:spacing w:after="0"/>
              <w:rPr>
                <w:sz w:val="20"/>
                <w:szCs w:val="20"/>
                <w:color w:val="auto"/>
              </w:rPr>
            </w:pPr>
            <w:r>
              <w:rPr>
                <w:rFonts w:ascii="Arial" w:cs="Arial" w:eastAsia="Arial" w:hAnsi="Arial"/>
                <w:sz w:val="22"/>
                <w:szCs w:val="22"/>
                <w:color w:val="auto"/>
                <w:w w:val="96"/>
              </w:rPr>
              <w:t>MISCELLANEOUS</w:t>
            </w:r>
          </w:p>
        </w:tc>
        <w:tc>
          <w:tcPr>
            <w:tcW w:w="1520" w:type="dxa"/>
            <w:vAlign w:val="bottom"/>
          </w:tcPr>
          <w:p>
            <w:pPr>
              <w:spacing w:after="0"/>
              <w:rPr>
                <w:sz w:val="23"/>
                <w:szCs w:val="23"/>
                <w:color w:val="auto"/>
              </w:rPr>
            </w:pPr>
          </w:p>
        </w:tc>
      </w:tr>
      <w:tr>
        <w:trPr>
          <w:trHeight w:val="428"/>
        </w:trPr>
        <w:tc>
          <w:tcPr>
            <w:tcW w:w="9900" w:type="dxa"/>
            <w:vAlign w:val="bottom"/>
          </w:tcPr>
          <w:p>
            <w:pPr>
              <w:spacing w:after="0"/>
              <w:rPr>
                <w:sz w:val="20"/>
                <w:szCs w:val="20"/>
                <w:color w:val="auto"/>
              </w:rPr>
            </w:pPr>
            <w:r>
              <w:rPr>
                <w:rFonts w:ascii="Arial" w:cs="Arial" w:eastAsia="Arial" w:hAnsi="Arial"/>
                <w:sz w:val="22"/>
                <w:szCs w:val="22"/>
                <w:color w:val="auto"/>
              </w:rPr>
              <w:t>Section 14.01 Trust Indenture Act Controls.</w:t>
            </w:r>
          </w:p>
        </w:tc>
        <w:tc>
          <w:tcPr>
            <w:tcW w:w="1520" w:type="dxa"/>
            <w:vAlign w:val="bottom"/>
          </w:tcPr>
          <w:p>
            <w:pPr>
              <w:jc w:val="right"/>
              <w:spacing w:after="0"/>
              <w:rPr>
                <w:sz w:val="20"/>
                <w:szCs w:val="20"/>
                <w:color w:val="auto"/>
              </w:rPr>
            </w:pPr>
            <w:r>
              <w:rPr>
                <w:rFonts w:ascii="Arial" w:cs="Arial" w:eastAsia="Arial" w:hAnsi="Arial"/>
                <w:sz w:val="22"/>
                <w:szCs w:val="22"/>
                <w:color w:val="auto"/>
              </w:rPr>
              <w:t>133</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14.02 Notices.</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134</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14.03 Communication by Holders of Notes with Other Holders of Notes.</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135</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14.04 Certificate and Opinion as to Conditions Precedent.</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135</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14.05 Statements Required in Certificate or Opinion.</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135</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14.06 Rules by Trustee and Agents.</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136</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14.07 No Personal Liability of Directors, Officers, Employees and Equity Holders.</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136</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14.08 Governing Law.</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136</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14.09 No Adverse Interpretation of Other Agreements.</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136</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14.10 Successors.</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136</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14.11 Severability.</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136</w:t>
            </w:r>
          </w:p>
        </w:tc>
      </w:tr>
      <w:tr>
        <w:trPr>
          <w:trHeight w:val="243"/>
        </w:trPr>
        <w:tc>
          <w:tcPr>
            <w:tcW w:w="9900" w:type="dxa"/>
            <w:vAlign w:val="bottom"/>
          </w:tcPr>
          <w:p>
            <w:pPr>
              <w:spacing w:after="0" w:line="243" w:lineRule="exact"/>
              <w:rPr>
                <w:sz w:val="20"/>
                <w:szCs w:val="20"/>
                <w:color w:val="auto"/>
              </w:rPr>
            </w:pPr>
            <w:r>
              <w:rPr>
                <w:rFonts w:ascii="Arial" w:cs="Arial" w:eastAsia="Arial" w:hAnsi="Arial"/>
                <w:sz w:val="22"/>
                <w:szCs w:val="22"/>
                <w:color w:val="auto"/>
              </w:rPr>
              <w:t>Section 14.12 Counterpart Originals.</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137</w:t>
            </w:r>
          </w:p>
        </w:tc>
      </w:tr>
      <w:tr>
        <w:trPr>
          <w:trHeight w:val="275"/>
        </w:trPr>
        <w:tc>
          <w:tcPr>
            <w:tcW w:w="9900" w:type="dxa"/>
            <w:vAlign w:val="bottom"/>
          </w:tcPr>
          <w:p>
            <w:pPr>
              <w:spacing w:after="0"/>
              <w:rPr>
                <w:sz w:val="20"/>
                <w:szCs w:val="20"/>
                <w:color w:val="auto"/>
              </w:rPr>
            </w:pPr>
            <w:r>
              <w:rPr>
                <w:rFonts w:ascii="Arial" w:cs="Arial" w:eastAsia="Arial" w:hAnsi="Arial"/>
                <w:sz w:val="22"/>
                <w:szCs w:val="22"/>
                <w:color w:val="auto"/>
              </w:rPr>
              <w:t>Section 14.13 Table of Contents, Headings, etc.</w:t>
            </w:r>
          </w:p>
        </w:tc>
        <w:tc>
          <w:tcPr>
            <w:tcW w:w="1520" w:type="dxa"/>
            <w:vAlign w:val="bottom"/>
          </w:tcPr>
          <w:p>
            <w:pPr>
              <w:jc w:val="right"/>
              <w:spacing w:after="0"/>
              <w:rPr>
                <w:sz w:val="20"/>
                <w:szCs w:val="20"/>
                <w:color w:val="auto"/>
              </w:rPr>
            </w:pPr>
            <w:r>
              <w:rPr>
                <w:rFonts w:ascii="Arial" w:cs="Arial" w:eastAsia="Arial" w:hAnsi="Arial"/>
                <w:sz w:val="22"/>
                <w:szCs w:val="22"/>
                <w:color w:val="auto"/>
              </w:rPr>
              <w:t>137</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14" w:name="page15"/>
    <w:bookmarkEnd w:id="14"/>
    <w:p>
      <w:pPr>
        <w:ind w:left="5220"/>
        <w:spacing w:after="0"/>
        <w:rPr>
          <w:sz w:val="20"/>
          <w:szCs w:val="20"/>
          <w:color w:val="auto"/>
        </w:rPr>
      </w:pPr>
      <w:r>
        <w:rPr>
          <w:rFonts w:ascii="Arial" w:cs="Arial" w:eastAsia="Arial" w:hAnsi="Arial"/>
          <w:sz w:val="22"/>
          <w:szCs w:val="22"/>
          <w:color w:val="auto"/>
        </w:rPr>
        <w:t>EXHIBITS</w:t>
      </w:r>
    </w:p>
    <w:p>
      <w:pPr>
        <w:spacing w:after="0" w:line="233"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Exhibit A-1</w:t>
      </w:r>
      <w:r>
        <w:rPr>
          <w:sz w:val="20"/>
          <w:szCs w:val="20"/>
          <w:color w:val="auto"/>
        </w:rPr>
        <w:tab/>
      </w:r>
      <w:r>
        <w:rPr>
          <w:rFonts w:ascii="Arial" w:cs="Arial" w:eastAsia="Arial" w:hAnsi="Arial"/>
          <w:sz w:val="19"/>
          <w:szCs w:val="19"/>
          <w:color w:val="auto"/>
        </w:rPr>
        <w:t>FORM OF NOTE</w:t>
      </w:r>
    </w:p>
    <w:p>
      <w:pPr>
        <w:spacing w:after="0" w:line="8" w:lineRule="exact"/>
        <w:rPr>
          <w:sz w:val="20"/>
          <w:szCs w:val="20"/>
          <w:color w:val="auto"/>
        </w:rPr>
      </w:pPr>
    </w:p>
    <w:p>
      <w:pPr>
        <w:ind w:right="3479"/>
        <w:spacing w:after="0" w:line="230" w:lineRule="auto"/>
        <w:rPr>
          <w:sz w:val="20"/>
          <w:szCs w:val="20"/>
          <w:color w:val="auto"/>
        </w:rPr>
      </w:pPr>
      <w:r>
        <w:rPr>
          <w:rFonts w:ascii="Arial" w:cs="Arial" w:eastAsia="Arial" w:hAnsi="Arial"/>
          <w:sz w:val="22"/>
          <w:szCs w:val="22"/>
          <w:color w:val="auto"/>
        </w:rPr>
        <w:t>Exhibit A-2 FORM OF REGULATION S TEMPORARY GLOBAL NOTE Exhibit B FORM OF CERTIFICATE OF TRANSFER Exhibit C FORM OF CERTIFICATE OF EXCHANGE</w:t>
      </w:r>
    </w:p>
    <w:p>
      <w:pPr>
        <w:spacing w:after="0" w:line="2" w:lineRule="exact"/>
        <w:rPr>
          <w:sz w:val="20"/>
          <w:szCs w:val="20"/>
          <w:color w:val="auto"/>
        </w:rPr>
      </w:pPr>
    </w:p>
    <w:p>
      <w:pPr>
        <w:ind w:right="779"/>
        <w:spacing w:after="0" w:line="230" w:lineRule="auto"/>
        <w:rPr>
          <w:sz w:val="20"/>
          <w:szCs w:val="20"/>
          <w:color w:val="auto"/>
        </w:rPr>
      </w:pPr>
      <w:r>
        <w:rPr>
          <w:rFonts w:ascii="Arial" w:cs="Arial" w:eastAsia="Arial" w:hAnsi="Arial"/>
          <w:sz w:val="22"/>
          <w:szCs w:val="22"/>
          <w:color w:val="auto"/>
        </w:rPr>
        <w:t>Exhibit D FORM OF CERTIFICATE OF ACQUIRING INSTITUTIONAL ACCREDITED INVESTOR Exhibit E FORM OF GUARANTEE</w:t>
      </w:r>
    </w:p>
    <w:p>
      <w:pPr>
        <w:spacing w:after="0" w:line="1" w:lineRule="exact"/>
        <w:rPr>
          <w:sz w:val="20"/>
          <w:szCs w:val="20"/>
          <w:color w:val="auto"/>
        </w:rPr>
      </w:pPr>
    </w:p>
    <w:p>
      <w:pPr>
        <w:ind w:right="4999"/>
        <w:spacing w:after="0" w:line="237" w:lineRule="auto"/>
        <w:rPr>
          <w:sz w:val="20"/>
          <w:szCs w:val="20"/>
          <w:color w:val="auto"/>
        </w:rPr>
      </w:pPr>
      <w:r>
        <w:rPr>
          <w:rFonts w:ascii="Arial" w:cs="Arial" w:eastAsia="Arial" w:hAnsi="Arial"/>
          <w:sz w:val="22"/>
          <w:szCs w:val="22"/>
          <w:color w:val="auto"/>
        </w:rPr>
        <w:t>Exhibit F FORM OF SUPPLEMENTAL INDENTURE Exhibit G LIST OF COLLATERAL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0" w:right="1440" w:bottom="1440" w:gutter="0" w:footer="0" w:header="0"/>
        </w:sectPr>
      </w:pPr>
    </w:p>
    <w:bookmarkStart w:id="15" w:name="page16"/>
    <w:bookmarkEnd w:id="15"/>
    <w:p>
      <w:pPr>
        <w:jc w:val="both"/>
        <w:ind w:firstLine="648"/>
        <w:spacing w:after="0" w:line="279" w:lineRule="auto"/>
        <w:rPr>
          <w:sz w:val="20"/>
          <w:szCs w:val="20"/>
          <w:color w:val="auto"/>
        </w:rPr>
      </w:pPr>
      <w:r>
        <w:rPr>
          <w:rFonts w:ascii="Arial" w:cs="Arial" w:eastAsia="Arial" w:hAnsi="Arial"/>
          <w:sz w:val="19"/>
          <w:szCs w:val="19"/>
          <w:color w:val="auto"/>
        </w:rPr>
        <w:t>INDENTURE dated as of April 28, 2010 among Wynn Las Vegas, LLC, a Nevada limited liability company (“</w:t>
      </w:r>
      <w:r>
        <w:rPr>
          <w:rFonts w:ascii="Arial" w:cs="Arial" w:eastAsia="Arial" w:hAnsi="Arial"/>
          <w:sz w:val="19"/>
          <w:szCs w:val="19"/>
          <w:i w:val="1"/>
          <w:iCs w:val="1"/>
          <w:u w:val="single" w:color="auto"/>
          <w:color w:val="auto"/>
        </w:rPr>
        <w:t>Wynn Las</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Vegas</w:t>
      </w:r>
      <w:r>
        <w:rPr>
          <w:rFonts w:ascii="Arial" w:cs="Arial" w:eastAsia="Arial" w:hAnsi="Arial"/>
          <w:sz w:val="19"/>
          <w:szCs w:val="19"/>
          <w:color w:val="auto"/>
        </w:rPr>
        <w:t>”) and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as joint and several obligors, and Kevyn, LLC, a Nevada limited liability company, Las Vegas Jet, LLC, a Nevada limited liability company, World Travel, LLC, a Nevada limited liability company, Wynn Golf, LLC, a Nevada limited liability company, Wynn Show Performers, LLC, a Nevada limited liability company and Wynn Sunrise, LLC, a Nevada limited liability company, as guarantors (the “</w:t>
      </w:r>
      <w:r>
        <w:rPr>
          <w:rFonts w:ascii="Arial" w:cs="Arial" w:eastAsia="Arial" w:hAnsi="Arial"/>
          <w:sz w:val="19"/>
          <w:szCs w:val="19"/>
          <w:i w:val="1"/>
          <w:iCs w:val="1"/>
          <w:u w:val="single" w:color="auto"/>
          <w:color w:val="auto"/>
        </w:rPr>
        <w:t>Initial Guarantors</w:t>
      </w:r>
      <w:r>
        <w:rPr>
          <w:rFonts w:ascii="Arial" w:cs="Arial" w:eastAsia="Arial" w:hAnsi="Arial"/>
          <w:sz w:val="19"/>
          <w:szCs w:val="19"/>
          <w:color w:val="auto"/>
        </w:rPr>
        <w:t>”) and U.S. Bank National Association, as trustee (the “</w:t>
      </w:r>
      <w:r>
        <w:rPr>
          <w:rFonts w:ascii="Arial" w:cs="Arial" w:eastAsia="Arial" w:hAnsi="Arial"/>
          <w:sz w:val="19"/>
          <w:szCs w:val="19"/>
          <w:i w:val="1"/>
          <w:iCs w:val="1"/>
          <w:u w:val="single" w:color="auto"/>
          <w:color w:val="auto"/>
        </w:rPr>
        <w:t>Trustee</w:t>
      </w:r>
      <w:r>
        <w:rPr>
          <w:rFonts w:ascii="Arial" w:cs="Arial" w:eastAsia="Arial" w:hAnsi="Arial"/>
          <w:sz w:val="19"/>
          <w:szCs w:val="19"/>
          <w:color w:val="auto"/>
        </w:rPr>
        <w: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2"/>
          <w:szCs w:val="22"/>
          <w:color w:val="auto"/>
        </w:rPr>
        <w:t>The Issuers, the Initial Guarantors and the Trustee agree as follows for the benefit of each other and for the equal and ratable benefit of the Holders (as defined) of the 7</w:t>
      </w:r>
      <w:r>
        <w:rPr>
          <w:rFonts w:ascii="Arial" w:cs="Arial" w:eastAsia="Arial" w:hAnsi="Arial"/>
          <w:sz w:val="30"/>
          <w:szCs w:val="30"/>
          <w:color w:val="auto"/>
          <w:vertAlign w:val="superscript"/>
        </w:rPr>
        <w:t>7</w:t>
      </w:r>
      <w:r>
        <w:rPr>
          <w:rFonts w:ascii="Arial" w:cs="Arial" w:eastAsia="Arial" w:hAnsi="Arial"/>
          <w:sz w:val="22"/>
          <w:szCs w:val="22"/>
          <w:color w:val="auto"/>
        </w:rPr>
        <w:t>/</w:t>
      </w:r>
      <w:r>
        <w:rPr>
          <w:rFonts w:ascii="Arial" w:cs="Arial" w:eastAsia="Arial" w:hAnsi="Arial"/>
          <w:sz w:val="30"/>
          <w:szCs w:val="30"/>
          <w:color w:val="auto"/>
          <w:vertAlign w:val="subscript"/>
        </w:rPr>
        <w:t>8</w:t>
      </w:r>
      <w:r>
        <w:rPr>
          <w:rFonts w:ascii="Arial" w:cs="Arial" w:eastAsia="Arial" w:hAnsi="Arial"/>
          <w:sz w:val="22"/>
          <w:szCs w:val="22"/>
          <w:color w:val="auto"/>
        </w:rPr>
        <w:t>% First Mortgage Notes due 2020 (the “</w:t>
      </w:r>
      <w:r>
        <w:rPr>
          <w:rFonts w:ascii="Arial" w:cs="Arial" w:eastAsia="Arial" w:hAnsi="Arial"/>
          <w:sz w:val="22"/>
          <w:szCs w:val="22"/>
          <w:i w:val="1"/>
          <w:iCs w:val="1"/>
          <w:u w:val="single" w:color="auto"/>
          <w:color w:val="auto"/>
        </w:rPr>
        <w:t>Notes</w:t>
      </w:r>
      <w:r>
        <w:rPr>
          <w:rFonts w:ascii="Arial" w:cs="Arial" w:eastAsia="Arial" w:hAnsi="Arial"/>
          <w:sz w:val="22"/>
          <w:szCs w:val="22"/>
          <w:color w:val="auto"/>
        </w:rPr>
        <w: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INCORPORATION BY REFERENCE</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i w:val="1"/>
          <w:iCs w:val="1"/>
          <w:color w:val="auto"/>
        </w:rPr>
        <w:t>Definitions.</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144A Global Note</w:t>
      </w:r>
      <w:r>
        <w:rPr>
          <w:rFonts w:ascii="Arial" w:cs="Arial" w:eastAsia="Arial" w:hAnsi="Arial"/>
          <w:sz w:val="19"/>
          <w:szCs w:val="19"/>
          <w:color w:val="auto"/>
        </w:rPr>
        <w:t xml:space="preserve">” means a Global Note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Access Easement Agreement</w:t>
      </w:r>
      <w:r>
        <w:rPr>
          <w:rFonts w:ascii="Arial" w:cs="Arial" w:eastAsia="Arial" w:hAnsi="Arial"/>
          <w:sz w:val="22"/>
          <w:szCs w:val="22"/>
          <w:color w:val="auto"/>
        </w:rPr>
        <w:t>” means that certain Access Easement Agreement, dated as of December 14, 2004, by and between Wynn Golf, LLC and Wynn Las Vegas, as amended, modified or otherwise supplemented from time to time in any manner that is not in contravention of Section 4.22 hereof.</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Acquired Debt</w:t>
      </w:r>
      <w:r>
        <w:rPr>
          <w:rFonts w:ascii="Arial" w:cs="Arial" w:eastAsia="Arial" w:hAnsi="Arial"/>
          <w:sz w:val="22"/>
          <w:szCs w:val="22"/>
          <w:color w:val="auto"/>
        </w:rPr>
        <w:t>” means, with respect to any specified Person:</w:t>
      </w:r>
    </w:p>
    <w:p>
      <w:pPr>
        <w:spacing w:after="0" w:line="233" w:lineRule="exact"/>
        <w:rPr>
          <w:sz w:val="20"/>
          <w:szCs w:val="20"/>
          <w:color w:val="auto"/>
        </w:rPr>
      </w:pPr>
    </w:p>
    <w:p>
      <w:pPr>
        <w:jc w:val="both"/>
        <w:ind w:firstLine="1305"/>
        <w:spacing w:after="0" w:line="297" w:lineRule="auto"/>
        <w:tabs>
          <w:tab w:leader="none" w:pos="2158" w:val="left"/>
        </w:tabs>
        <w:numPr>
          <w:ilvl w:val="0"/>
          <w:numId w:val="3"/>
        </w:numPr>
        <w:rPr>
          <w:rFonts w:ascii="Arial" w:cs="Arial" w:eastAsia="Arial" w:hAnsi="Arial"/>
          <w:sz w:val="19"/>
          <w:szCs w:val="19"/>
          <w:color w:val="auto"/>
        </w:rPr>
      </w:pPr>
      <w:r>
        <w:rPr>
          <w:rFonts w:ascii="Arial" w:cs="Arial" w:eastAsia="Arial" w:hAnsi="Arial"/>
          <w:sz w:val="19"/>
          <w:szCs w:val="19"/>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161" w:lineRule="exact"/>
        <w:rPr>
          <w:rFonts w:ascii="Arial" w:cs="Arial" w:eastAsia="Arial" w:hAnsi="Arial"/>
          <w:sz w:val="19"/>
          <w:szCs w:val="19"/>
          <w:color w:val="auto"/>
        </w:rPr>
      </w:pPr>
    </w:p>
    <w:p>
      <w:pPr>
        <w:ind w:firstLine="1305"/>
        <w:spacing w:after="0" w:line="251" w:lineRule="auto"/>
        <w:tabs>
          <w:tab w:leader="none" w:pos="2192" w:val="left"/>
        </w:tabs>
        <w:numPr>
          <w:ilvl w:val="0"/>
          <w:numId w:val="3"/>
        </w:numPr>
        <w:rPr>
          <w:rFonts w:ascii="Arial" w:cs="Arial" w:eastAsia="Arial" w:hAnsi="Arial"/>
          <w:sz w:val="22"/>
          <w:szCs w:val="22"/>
          <w:color w:val="auto"/>
        </w:rPr>
      </w:pPr>
      <w:r>
        <w:rPr>
          <w:rFonts w:ascii="Arial" w:cs="Arial" w:eastAsia="Arial" w:hAnsi="Arial"/>
          <w:sz w:val="22"/>
          <w:szCs w:val="22"/>
          <w:color w:val="auto"/>
        </w:rPr>
        <w:t>Indebtedness secured by a Lien encumbering any asset acquired by such specified Person at the time such asset is acquired by such specified Person.</w:t>
      </w:r>
    </w:p>
    <w:p>
      <w:pPr>
        <w:spacing w:after="0" w:line="20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Entertainment Facility</w:t>
      </w:r>
      <w:r>
        <w:rPr>
          <w:rFonts w:ascii="Arial" w:cs="Arial" w:eastAsia="Arial" w:hAnsi="Arial"/>
          <w:sz w:val="22"/>
          <w:szCs w:val="22"/>
          <w:color w:val="auto"/>
        </w:rPr>
        <w:t>” means a showroom or entertainment facility adjoining the Wynn Las Vegas hotel and casino resort on the Project Site other than the Entertainment Facility.</w:t>
      </w:r>
    </w:p>
    <w:p>
      <w:pPr>
        <w:spacing w:after="0" w:line="20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Notes</w:t>
      </w:r>
      <w:r>
        <w:rPr>
          <w:rFonts w:ascii="Arial" w:cs="Arial" w:eastAsia="Arial" w:hAnsi="Arial"/>
          <w:sz w:val="22"/>
          <w:szCs w:val="22"/>
          <w:color w:val="auto"/>
        </w:rPr>
        <w:t>” means Additional Notes (other than the Initial Notes and the Exchange Notes) issued under this Indenture in accordance with Section 2.13 hereof, as part of</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16" w:name="page17"/>
    <w:bookmarkEnd w:id="16"/>
    <w:p>
      <w:pPr>
        <w:jc w:val="both"/>
        <w:ind w:right="20"/>
        <w:spacing w:after="0" w:line="251" w:lineRule="auto"/>
        <w:rPr>
          <w:sz w:val="20"/>
          <w:szCs w:val="20"/>
          <w:color w:val="auto"/>
        </w:rPr>
      </w:pPr>
      <w:r>
        <w:rPr>
          <w:rFonts w:ascii="Arial" w:cs="Arial" w:eastAsia="Arial" w:hAnsi="Arial"/>
          <w:sz w:val="22"/>
          <w:szCs w:val="22"/>
          <w:color w:val="auto"/>
        </w:rPr>
        <w:t>the same series as the Initial Notes. Any Additional Notes shall vote on all matters as one class with the Initial Notes being issued on the date hereof, including, without limitation, waivers, amendments and redemptions.</w:t>
      </w:r>
    </w:p>
    <w:p>
      <w:pPr>
        <w:spacing w:after="0" w:line="20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Affiliate</w:t>
      </w:r>
      <w:r>
        <w:rPr>
          <w:rFonts w:ascii="Arial" w:cs="Arial" w:eastAsia="Arial" w:hAnsi="Arial"/>
          <w:sz w:val="19"/>
          <w:szCs w:val="19"/>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shall be deemed to be control. For purposes of this definition, the terms “controlling,” “controlled by” and “under common control with” shall have correlative m eanings.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 Agreements</w:t>
      </w:r>
      <w:r>
        <w:rPr>
          <w:rFonts w:ascii="Arial" w:cs="Arial" w:eastAsia="Arial" w:hAnsi="Arial"/>
          <w:sz w:val="22"/>
          <w:szCs w:val="22"/>
          <w:color w:val="auto"/>
        </w:rPr>
        <w:t>” means:</w:t>
      </w:r>
    </w:p>
    <w:p>
      <w:pPr>
        <w:spacing w:after="0" w:line="233" w:lineRule="exact"/>
        <w:rPr>
          <w:sz w:val="20"/>
          <w:szCs w:val="20"/>
          <w:color w:val="auto"/>
        </w:rPr>
      </w:pPr>
    </w:p>
    <w:p>
      <w:pPr>
        <w:ind w:left="3120" w:hanging="1275"/>
        <w:spacing w:after="0"/>
        <w:tabs>
          <w:tab w:leader="none" w:pos="312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Management Agreement,</w:t>
      </w:r>
    </w:p>
    <w:p>
      <w:pPr>
        <w:spacing w:after="0" w:line="206" w:lineRule="exact"/>
        <w:rPr>
          <w:rFonts w:ascii="Arial" w:cs="Arial" w:eastAsia="Arial" w:hAnsi="Arial"/>
          <w:sz w:val="22"/>
          <w:szCs w:val="22"/>
          <w:color w:val="auto"/>
        </w:rPr>
      </w:pPr>
    </w:p>
    <w:p>
      <w:pPr>
        <w:ind w:left="3120" w:hanging="1275"/>
        <w:spacing w:after="0"/>
        <w:tabs>
          <w:tab w:leader="none" w:pos="312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Project Lease and Easement Agreements,</w:t>
      </w:r>
    </w:p>
    <w:p>
      <w:pPr>
        <w:spacing w:after="0" w:line="206" w:lineRule="exact"/>
        <w:rPr>
          <w:rFonts w:ascii="Arial" w:cs="Arial" w:eastAsia="Arial" w:hAnsi="Arial"/>
          <w:sz w:val="22"/>
          <w:szCs w:val="22"/>
          <w:color w:val="auto"/>
        </w:rPr>
      </w:pPr>
    </w:p>
    <w:p>
      <w:pPr>
        <w:ind w:left="3120" w:hanging="1275"/>
        <w:spacing w:after="0"/>
        <w:tabs>
          <w:tab w:leader="none" w:pos="312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Art Rental and Licensing Agreement, and</w:t>
      </w:r>
    </w:p>
    <w:p>
      <w:pPr>
        <w:spacing w:after="0" w:line="206" w:lineRule="exact"/>
        <w:rPr>
          <w:rFonts w:ascii="Arial" w:cs="Arial" w:eastAsia="Arial" w:hAnsi="Arial"/>
          <w:sz w:val="22"/>
          <w:szCs w:val="22"/>
          <w:color w:val="auto"/>
        </w:rPr>
      </w:pPr>
    </w:p>
    <w:p>
      <w:pPr>
        <w:ind w:left="3120" w:hanging="1275"/>
        <w:spacing w:after="0"/>
        <w:tabs>
          <w:tab w:leader="none" w:pos="312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Wynn IP Agreement,</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each case as amended, modified or otherwise supplemented from time to time in any manner that is not in contravention of Sections 4.11 and 4.22 hereof.</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Agent</w:t>
      </w:r>
      <w:r>
        <w:rPr>
          <w:rFonts w:ascii="Arial" w:cs="Arial" w:eastAsia="Arial" w:hAnsi="Arial"/>
          <w:sz w:val="22"/>
          <w:szCs w:val="22"/>
          <w:color w:val="auto"/>
        </w:rPr>
        <w:t>” means any Registrar, Paying Agent or additional paying agent.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Aircraft</w:t>
      </w:r>
      <w:r>
        <w:rPr>
          <w:rFonts w:ascii="Arial" w:cs="Arial" w:eastAsia="Arial" w:hAnsi="Arial"/>
          <w:sz w:val="22"/>
          <w:szCs w:val="22"/>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Aircraft Assets</w:t>
      </w:r>
      <w:r>
        <w:rPr>
          <w:rFonts w:ascii="Arial" w:cs="Arial" w:eastAsia="Arial" w:hAnsi="Arial"/>
          <w:sz w:val="21"/>
          <w:szCs w:val="21"/>
          <w:color w:val="auto"/>
        </w:rPr>
        <w:t>” means (1) the Aircraft, together with the products and proceeds thereof, and (2) the Aircraft Note.</w:t>
      </w:r>
    </w:p>
    <w:p>
      <w:pPr>
        <w:spacing w:after="0" w:line="24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Aircraft Note</w:t>
      </w:r>
      <w:r>
        <w:rPr>
          <w:rFonts w:ascii="Arial" w:cs="Arial" w:eastAsia="Arial" w:hAnsi="Arial"/>
          <w:sz w:val="22"/>
          <w:szCs w:val="22"/>
          <w:color w:val="auto"/>
        </w:rPr>
        <w:t>” means that certain promissory note, dated as of March 30, 2007, issued by World Travel, LLC in favor of Wynn Las Vegas in an aggregate principal amount of $42.0 million.</w:t>
      </w:r>
    </w:p>
    <w:p>
      <w:pPr>
        <w:spacing w:after="0" w:line="20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Allocable Overhead</w:t>
      </w:r>
      <w:r>
        <w:rPr>
          <w:rFonts w:ascii="Arial" w:cs="Arial" w:eastAsia="Arial" w:hAnsi="Arial"/>
          <w:sz w:val="19"/>
          <w:szCs w:val="19"/>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7" w:name="page18"/>
    <w:bookmarkEnd w:id="17"/>
    <w:p>
      <w:pPr>
        <w:jc w:val="both"/>
        <w:spacing w:after="0" w:line="236" w:lineRule="auto"/>
        <w:rPr>
          <w:sz w:val="20"/>
          <w:szCs w:val="20"/>
          <w:color w:val="auto"/>
        </w:rPr>
      </w:pPr>
      <w:r>
        <w:rPr>
          <w:rFonts w:ascii="Arial" w:cs="Arial" w:eastAsia="Arial" w:hAnsi="Arial"/>
          <w:sz w:val="22"/>
          <w:szCs w:val="22"/>
          <w:color w:val="auto"/>
        </w:rPr>
        <w:t>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2.0% of Net Revenues of Wynn Las Vegas and its Restricted Subsidiaries for such period of four full consecutive fiscal quarters.</w:t>
      </w:r>
    </w:p>
    <w:p>
      <w:pPr>
        <w:spacing w:after="0" w:line="2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Procedures</w:t>
      </w:r>
      <w:r>
        <w:rPr>
          <w:rFonts w:ascii="Arial" w:cs="Arial" w:eastAsia="Arial" w:hAnsi="Arial"/>
          <w:sz w:val="22"/>
          <w:szCs w:val="22"/>
          <w:color w:val="auto"/>
        </w:rPr>
        <w:t>” means, with respect to any transfer or exchange of or for beneficial interests in any Global Note, the rules and procedures of the Depositary that apply to such transfer or exchange.</w:t>
      </w:r>
    </w:p>
    <w:p>
      <w:pPr>
        <w:spacing w:after="0" w:line="20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Art Rental and Licensing Agreement</w:t>
      </w:r>
      <w:r>
        <w:rPr>
          <w:rFonts w:ascii="Arial" w:cs="Arial" w:eastAsia="Arial" w:hAnsi="Arial"/>
          <w:sz w:val="19"/>
          <w:szCs w:val="19"/>
          <w:color w:val="auto"/>
        </w:rPr>
        <w:t>” means the Fourth Amended and Restated Art Rental and Licensing Agreement, dated as of June 30, 2005, by and between Stephen A. Wynn, as lessor, and Wynn Gallery, LLC, as lessee, as amended, modified or otherwise supplemented from time to time in any manner that is not in contravention of Section 4.22 hereof.</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Aruze USA</w:t>
      </w:r>
      <w:r>
        <w:rPr>
          <w:rFonts w:ascii="Arial" w:cs="Arial" w:eastAsia="Arial" w:hAnsi="Arial"/>
          <w:sz w:val="22"/>
          <w:szCs w:val="22"/>
          <w:color w:val="auto"/>
        </w:rPr>
        <w:t>” means Aruze USA, Inc., a Nevada 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Asset Sale</w:t>
      </w:r>
      <w:r>
        <w:rPr>
          <w:rFonts w:ascii="Arial" w:cs="Arial" w:eastAsia="Arial" w:hAnsi="Arial"/>
          <w:sz w:val="22"/>
          <w:szCs w:val="22"/>
          <w:color w:val="auto"/>
        </w:rPr>
        <w:t>” means:</w:t>
      </w:r>
    </w:p>
    <w:p>
      <w:pPr>
        <w:spacing w:after="0" w:line="233" w:lineRule="exact"/>
        <w:rPr>
          <w:sz w:val="20"/>
          <w:szCs w:val="20"/>
          <w:color w:val="auto"/>
        </w:rPr>
      </w:pPr>
    </w:p>
    <w:p>
      <w:pPr>
        <w:ind w:left="2160" w:hanging="855"/>
        <w:spacing w:after="0"/>
        <w:tabs>
          <w:tab w:leader="none" w:pos="21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sale, lease, conveyance or other disposition of any assets; and</w:t>
      </w:r>
    </w:p>
    <w:p>
      <w:pPr>
        <w:spacing w:after="0" w:line="233" w:lineRule="exact"/>
        <w:rPr>
          <w:rFonts w:ascii="Arial" w:cs="Arial" w:eastAsia="Arial" w:hAnsi="Arial"/>
          <w:sz w:val="22"/>
          <w:szCs w:val="22"/>
          <w:color w:val="auto"/>
        </w:rPr>
      </w:pPr>
    </w:p>
    <w:p>
      <w:pPr>
        <w:ind w:right="20" w:firstLine="1305"/>
        <w:spacing w:after="0" w:line="251" w:lineRule="auto"/>
        <w:tabs>
          <w:tab w:leader="none" w:pos="2158"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issuance of Equity Interests by Wynn Capital or any of the Restricted Subsidiaries or the sale of Equity Interests in Wynn Capital or any of the Restricted Subsidiaries.</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Notwithstanding the preceding, the sale, conveyance or other disposition of all or substantially all of the assets of Wynn Las Vegas and its Restricted Subsidiaries, taken as a whole, shall be governed by Sections 4.15 and 5.01 hereof and not by Section 4.10 hereof.</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In addition, none of the following items shall be deemed to be an Asset Sale (except for purposes of the definition of “Consolidated Cash Flow”) (such items, “Permitted Dispositions”):</w:t>
      </w:r>
    </w:p>
    <w:p>
      <w:pPr>
        <w:spacing w:after="0" w:line="200" w:lineRule="exact"/>
        <w:rPr>
          <w:sz w:val="20"/>
          <w:szCs w:val="20"/>
          <w:color w:val="auto"/>
        </w:rPr>
      </w:pPr>
    </w:p>
    <w:p>
      <w:pPr>
        <w:ind w:left="2260" w:hanging="955"/>
        <w:spacing w:after="0"/>
        <w:tabs>
          <w:tab w:leader="none" w:pos="2260" w:val="left"/>
        </w:tabs>
        <w:numPr>
          <w:ilvl w:val="0"/>
          <w:numId w:val="6"/>
        </w:numPr>
        <w:rPr>
          <w:rFonts w:ascii="Arial" w:cs="Arial" w:eastAsia="Arial" w:hAnsi="Arial"/>
          <w:sz w:val="19"/>
          <w:szCs w:val="19"/>
          <w:color w:val="auto"/>
        </w:rPr>
      </w:pPr>
      <w:r>
        <w:rPr>
          <w:rFonts w:ascii="Arial" w:cs="Arial" w:eastAsia="Arial" w:hAnsi="Arial"/>
          <w:sz w:val="19"/>
          <w:szCs w:val="19"/>
          <w:color w:val="auto"/>
        </w:rPr>
        <w:t>any single transaction or series of related transactions that involves assets having a Fair Market Value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less than $3.0 million;</w:t>
      </w:r>
    </w:p>
    <w:p>
      <w:pPr>
        <w:spacing w:after="0" w:line="215" w:lineRule="exact"/>
        <w:rPr>
          <w:rFonts w:ascii="Arial" w:cs="Arial" w:eastAsia="Arial" w:hAnsi="Arial"/>
          <w:sz w:val="19"/>
          <w:szCs w:val="19"/>
          <w:color w:val="auto"/>
        </w:rPr>
      </w:pPr>
    </w:p>
    <w:p>
      <w:pPr>
        <w:ind w:left="2160" w:hanging="855"/>
        <w:spacing w:after="0"/>
        <w:tabs>
          <w:tab w:leader="none" w:pos="21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sale, lease, conveyance or other disposition of any assets:</w:t>
      </w:r>
    </w:p>
    <w:p>
      <w:pPr>
        <w:spacing w:after="0" w:line="233" w:lineRule="exact"/>
        <w:rPr>
          <w:rFonts w:ascii="Arial" w:cs="Arial" w:eastAsia="Arial" w:hAnsi="Arial"/>
          <w:sz w:val="22"/>
          <w:szCs w:val="22"/>
          <w:color w:val="auto"/>
        </w:rPr>
      </w:pPr>
    </w:p>
    <w:p>
      <w:pPr>
        <w:ind w:left="2940" w:hanging="825"/>
        <w:spacing w:after="0"/>
        <w:tabs>
          <w:tab w:leader="none" w:pos="2940" w:val="left"/>
        </w:tabs>
        <w:numPr>
          <w:ilvl w:val="1"/>
          <w:numId w:val="6"/>
        </w:numPr>
        <w:rPr>
          <w:rFonts w:ascii="Arial" w:cs="Arial" w:eastAsia="Arial" w:hAnsi="Arial"/>
          <w:sz w:val="22"/>
          <w:szCs w:val="22"/>
          <w:color w:val="auto"/>
        </w:rPr>
      </w:pPr>
      <w:r>
        <w:rPr>
          <w:rFonts w:ascii="Arial" w:cs="Arial" w:eastAsia="Arial" w:hAnsi="Arial"/>
          <w:sz w:val="22"/>
          <w:szCs w:val="22"/>
          <w:color w:val="auto"/>
        </w:rPr>
        <w:t>to Wynn Las Vegas and/or its Restricted Subsidiaries, or</w:t>
      </w:r>
    </w:p>
    <w:p>
      <w:pPr>
        <w:spacing w:after="0" w:line="233" w:lineRule="exact"/>
        <w:rPr>
          <w:rFonts w:ascii="Arial" w:cs="Arial" w:eastAsia="Arial" w:hAnsi="Arial"/>
          <w:sz w:val="22"/>
          <w:szCs w:val="22"/>
          <w:color w:val="auto"/>
        </w:rPr>
      </w:pPr>
    </w:p>
    <w:p>
      <w:pPr>
        <w:ind w:left="3040" w:hanging="908"/>
        <w:spacing w:after="0"/>
        <w:tabs>
          <w:tab w:leader="none" w:pos="3040" w:val="left"/>
        </w:tabs>
        <w:numPr>
          <w:ilvl w:val="2"/>
          <w:numId w:val="6"/>
        </w:numPr>
        <w:rPr>
          <w:rFonts w:ascii="Arial" w:cs="Arial" w:eastAsia="Arial" w:hAnsi="Arial"/>
          <w:sz w:val="19"/>
          <w:szCs w:val="19"/>
          <w:color w:val="auto"/>
        </w:rPr>
      </w:pPr>
      <w:r>
        <w:rPr>
          <w:rFonts w:ascii="Arial" w:cs="Arial" w:eastAsia="Arial" w:hAnsi="Arial"/>
          <w:sz w:val="19"/>
          <w:szCs w:val="19"/>
          <w:color w:val="auto"/>
        </w:rPr>
        <w:t>by (i) any Restricted Subsidiary that is not a Guarantor to (ii) any Restricted Subsidiary that is 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Guarantor.</w:t>
      </w:r>
    </w:p>
    <w:p>
      <w:pPr>
        <w:spacing w:after="0" w:line="215" w:lineRule="exact"/>
        <w:rPr>
          <w:rFonts w:ascii="Arial" w:cs="Arial" w:eastAsia="Arial" w:hAnsi="Arial"/>
          <w:sz w:val="19"/>
          <w:szCs w:val="19"/>
          <w:color w:val="auto"/>
        </w:rPr>
      </w:pPr>
    </w:p>
    <w:p>
      <w:pPr>
        <w:ind w:firstLine="1305"/>
        <w:spacing w:after="0" w:line="251" w:lineRule="auto"/>
        <w:tabs>
          <w:tab w:leader="none" w:pos="2339" w:val="left"/>
        </w:tabs>
        <w:numPr>
          <w:ilvl w:val="0"/>
          <w:numId w:val="6"/>
        </w:numPr>
        <w:rPr>
          <w:rFonts w:ascii="Arial" w:cs="Arial" w:eastAsia="Arial" w:hAnsi="Arial"/>
          <w:sz w:val="22"/>
          <w:szCs w:val="22"/>
          <w:color w:val="auto"/>
        </w:rPr>
      </w:pPr>
      <w:r>
        <w:rPr>
          <w:rFonts w:ascii="Arial" w:cs="Arial" w:eastAsia="Arial" w:hAnsi="Arial"/>
          <w:sz w:val="22"/>
          <w:szCs w:val="22"/>
          <w:color w:val="auto"/>
        </w:rPr>
        <w:t>an issuance of Equity Interests by Wynn Las Vegas or any of the Restricted Subsidiaries to Wynn Las Vegas or any of its Restricted Subsidiaries;</w:t>
      </w:r>
    </w:p>
    <w:p>
      <w:pPr>
        <w:spacing w:after="0" w:line="200" w:lineRule="exact"/>
        <w:rPr>
          <w:rFonts w:ascii="Arial" w:cs="Arial" w:eastAsia="Arial" w:hAnsi="Arial"/>
          <w:sz w:val="22"/>
          <w:szCs w:val="22"/>
          <w:color w:val="auto"/>
        </w:rPr>
      </w:pPr>
    </w:p>
    <w:p>
      <w:pPr>
        <w:ind w:left="2320" w:hanging="1015"/>
        <w:spacing w:after="0"/>
        <w:tabs>
          <w:tab w:leader="none" w:pos="232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sale, lease or exchange of equipment, inventory, accounts receivable or other assets in the ordinary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course of business;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8" w:name="page19"/>
    <w:bookmarkEnd w:id="18"/>
    <w:p>
      <w:pPr>
        <w:ind w:firstLine="1305"/>
        <w:spacing w:after="0" w:line="251" w:lineRule="auto"/>
        <w:tabs>
          <w:tab w:leader="none" w:pos="2264"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disposition of obsolete, damaged or worn-out property that is no longer necessary for the conduct of the business of Wynn Las Vegas or any of the Restricted Subsidiaries;</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sale or other disposition of cash or Cash Equivalents;</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Restricted Payment or Permitted Investment that is permitted under Section 4.07 hereof;</w:t>
      </w:r>
    </w:p>
    <w:p>
      <w:pPr>
        <w:spacing w:after="0" w:line="233" w:lineRule="exact"/>
        <w:rPr>
          <w:rFonts w:ascii="Arial" w:cs="Arial" w:eastAsia="Arial" w:hAnsi="Arial"/>
          <w:sz w:val="22"/>
          <w:szCs w:val="22"/>
          <w:color w:val="auto"/>
        </w:rPr>
      </w:pPr>
    </w:p>
    <w:p>
      <w:pPr>
        <w:jc w:val="both"/>
        <w:ind w:firstLine="1305"/>
        <w:spacing w:after="0"/>
        <w:tabs>
          <w:tab w:leader="none" w:pos="2228" w:val="left"/>
        </w:tabs>
        <w:numPr>
          <w:ilvl w:val="0"/>
          <w:numId w:val="7"/>
        </w:numPr>
        <w:rPr>
          <w:rFonts w:ascii="Arial" w:cs="Arial" w:eastAsia="Arial" w:hAnsi="Arial"/>
          <w:sz w:val="22"/>
          <w:szCs w:val="22"/>
          <w:color w:val="auto"/>
        </w:rPr>
      </w:pPr>
      <w:r>
        <w:rPr>
          <w:rFonts w:ascii="Arial" w:cs="Arial" w:eastAsia="Arial" w:hAnsi="Arial"/>
          <w:sz w:val="22"/>
          <w:szCs w:val="22"/>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213" w:lineRule="exact"/>
        <w:rPr>
          <w:rFonts w:ascii="Arial" w:cs="Arial" w:eastAsia="Arial" w:hAnsi="Arial"/>
          <w:sz w:val="22"/>
          <w:szCs w:val="22"/>
          <w:color w:val="auto"/>
        </w:rPr>
      </w:pPr>
    </w:p>
    <w:p>
      <w:pPr>
        <w:ind w:firstLine="1305"/>
        <w:spacing w:after="0" w:line="251" w:lineRule="auto"/>
        <w:tabs>
          <w:tab w:leader="none" w:pos="2169" w:val="left"/>
        </w:tabs>
        <w:numPr>
          <w:ilvl w:val="0"/>
          <w:numId w:val="7"/>
        </w:numPr>
        <w:rPr>
          <w:rFonts w:ascii="Arial" w:cs="Arial" w:eastAsia="Arial" w:hAnsi="Arial"/>
          <w:sz w:val="22"/>
          <w:szCs w:val="22"/>
          <w:color w:val="auto"/>
        </w:rPr>
      </w:pPr>
      <w:r>
        <w:rPr>
          <w:rFonts w:ascii="Arial" w:cs="Arial" w:eastAsia="Arial" w:hAnsi="Arial"/>
          <w:sz w:val="22"/>
          <w:szCs w:val="22"/>
          <w:color w:val="auto"/>
        </w:rPr>
        <w:t>a dedication of space within the Projects as necessary for the development of the Projects and as permitted by the Collateral Documents;</w:t>
      </w:r>
    </w:p>
    <w:p>
      <w:pPr>
        <w:spacing w:after="0" w:line="200" w:lineRule="exact"/>
        <w:rPr>
          <w:rFonts w:ascii="Arial" w:cs="Arial" w:eastAsia="Arial" w:hAnsi="Arial"/>
          <w:sz w:val="22"/>
          <w:szCs w:val="22"/>
          <w:color w:val="auto"/>
        </w:rPr>
      </w:pPr>
    </w:p>
    <w:p>
      <w:pPr>
        <w:jc w:val="both"/>
        <w:ind w:firstLine="1305"/>
        <w:spacing w:after="0"/>
        <w:tabs>
          <w:tab w:leader="none" w:pos="2177" w:val="left"/>
        </w:tabs>
        <w:numPr>
          <w:ilvl w:val="0"/>
          <w:numId w:val="7"/>
        </w:numPr>
        <w:rPr>
          <w:rFonts w:ascii="Arial" w:cs="Arial" w:eastAsia="Arial" w:hAnsi="Arial"/>
          <w:sz w:val="22"/>
          <w:szCs w:val="22"/>
          <w:color w:val="auto"/>
        </w:rPr>
      </w:pPr>
      <w:r>
        <w:rPr>
          <w:rFonts w:ascii="Arial" w:cs="Arial" w:eastAsia="Arial" w:hAnsi="Arial"/>
          <w:sz w:val="22"/>
          <w:szCs w:val="22"/>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213" w:lineRule="exact"/>
        <w:rPr>
          <w:rFonts w:ascii="Arial" w:cs="Arial" w:eastAsia="Arial" w:hAnsi="Arial"/>
          <w:sz w:val="22"/>
          <w:szCs w:val="22"/>
          <w:color w:val="auto"/>
        </w:rPr>
      </w:pPr>
    </w:p>
    <w:p>
      <w:pPr>
        <w:jc w:val="both"/>
        <w:ind w:firstLine="1305"/>
        <w:spacing w:after="0" w:line="287" w:lineRule="auto"/>
        <w:tabs>
          <w:tab w:leader="none" w:pos="2179"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the transfer or sale or disposition of any Released Assets or Aircraft Assets;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revenues in excess of $10.0 million (in the aggregate) generated by sales, leases or other dispositions of any assets in connection with (i) any timeshare, interval ownership or similar development or (ii) any condominium or similar development with respect to the Phase III Project, shall constitute Asset Sales and shall be disposed of in accordance with Section 4.10;</w:t>
      </w:r>
    </w:p>
    <w:p>
      <w:pPr>
        <w:spacing w:after="0" w:line="170" w:lineRule="exact"/>
        <w:rPr>
          <w:rFonts w:ascii="Arial" w:cs="Arial" w:eastAsia="Arial" w:hAnsi="Arial"/>
          <w:sz w:val="19"/>
          <w:szCs w:val="19"/>
          <w:color w:val="auto"/>
        </w:rPr>
      </w:pPr>
    </w:p>
    <w:p>
      <w:pPr>
        <w:ind w:left="2300" w:hanging="995"/>
        <w:spacing w:after="0"/>
        <w:tabs>
          <w:tab w:leader="none" w:pos="2300" w:val="left"/>
        </w:tabs>
        <w:numPr>
          <w:ilvl w:val="0"/>
          <w:numId w:val="7"/>
        </w:numPr>
        <w:rPr>
          <w:rFonts w:ascii="Arial" w:cs="Arial" w:eastAsia="Arial" w:hAnsi="Arial"/>
          <w:sz w:val="19"/>
          <w:szCs w:val="19"/>
          <w:color w:val="auto"/>
        </w:rPr>
      </w:pPr>
      <w:r>
        <w:rPr>
          <w:rFonts w:ascii="Arial" w:cs="Arial" w:eastAsia="Arial" w:hAnsi="Arial"/>
          <w:sz w:val="19"/>
          <w:szCs w:val="19"/>
          <w:color w:val="auto"/>
        </w:rPr>
        <w:t>a transfer of assets between or among Wynn Las Vegas and the Restricted Subsidiaries pursuant to 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Affiliate Agreement;</w:t>
      </w:r>
    </w:p>
    <w:p>
      <w:pPr>
        <w:spacing w:after="0" w:line="215" w:lineRule="exact"/>
        <w:rPr>
          <w:rFonts w:ascii="Arial" w:cs="Arial" w:eastAsia="Arial" w:hAnsi="Arial"/>
          <w:sz w:val="19"/>
          <w:szCs w:val="19"/>
          <w:color w:val="auto"/>
        </w:rPr>
      </w:pPr>
    </w:p>
    <w:p>
      <w:pPr>
        <w:jc w:val="both"/>
        <w:ind w:firstLine="1305"/>
        <w:spacing w:after="0" w:line="236" w:lineRule="auto"/>
        <w:tabs>
          <w:tab w:leader="none" w:pos="2171"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Section 4.10 hereof;</w:t>
      </w:r>
    </w:p>
    <w:p>
      <w:pPr>
        <w:spacing w:after="0" w:line="214" w:lineRule="exact"/>
        <w:rPr>
          <w:rFonts w:ascii="Arial" w:cs="Arial" w:eastAsia="Arial" w:hAnsi="Arial"/>
          <w:sz w:val="22"/>
          <w:szCs w:val="22"/>
          <w:color w:val="auto"/>
        </w:rPr>
      </w:pPr>
    </w:p>
    <w:p>
      <w:pPr>
        <w:jc w:val="both"/>
        <w:ind w:firstLine="1305"/>
        <w:spacing w:after="0" w:line="238" w:lineRule="auto"/>
        <w:tabs>
          <w:tab w:leader="none" w:pos="2477" w:val="left"/>
        </w:tabs>
        <w:numPr>
          <w:ilvl w:val="0"/>
          <w:numId w:val="7"/>
        </w:numPr>
        <w:rPr>
          <w:rFonts w:ascii="Arial" w:cs="Arial" w:eastAsia="Arial" w:hAnsi="Arial"/>
          <w:sz w:val="22"/>
          <w:szCs w:val="22"/>
          <w:color w:val="auto"/>
        </w:rPr>
      </w:pPr>
      <w:r>
        <w:rPr>
          <w:rFonts w:ascii="Arial" w:cs="Arial" w:eastAsia="Arial" w:hAnsi="Arial"/>
          <w:sz w:val="22"/>
          <w:szCs w:val="22"/>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Section 4.10 hereof; and</w:t>
      </w:r>
    </w:p>
    <w:p>
      <w:pPr>
        <w:spacing w:after="0" w:line="212" w:lineRule="exact"/>
        <w:rPr>
          <w:rFonts w:ascii="Arial" w:cs="Arial" w:eastAsia="Arial" w:hAnsi="Arial"/>
          <w:sz w:val="22"/>
          <w:szCs w:val="22"/>
          <w:color w:val="auto"/>
        </w:rPr>
      </w:pPr>
    </w:p>
    <w:p>
      <w:pPr>
        <w:ind w:left="2160" w:hanging="855"/>
        <w:spacing w:after="0"/>
        <w:tabs>
          <w:tab w:leader="none" w:pos="21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transfers, leases or other dispositions of the Koval Land or any portion of or interest in the Koval Land.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19" w:name="page20"/>
    <w:bookmarkEnd w:id="19"/>
    <w:p>
      <w:pPr>
        <w:jc w:val="both"/>
        <w:spacing w:after="0"/>
        <w:rPr>
          <w:sz w:val="20"/>
          <w:szCs w:val="20"/>
          <w:color w:val="auto"/>
        </w:rPr>
      </w:pPr>
      <w:r>
        <w:rPr>
          <w:rFonts w:ascii="Arial" w:cs="Arial" w:eastAsia="Arial" w:hAnsi="Arial"/>
          <w:sz w:val="22"/>
          <w:szCs w:val="22"/>
          <w:color w:val="auto"/>
        </w:rPr>
        <w:t>Notwithstanding the foregoing, any sale of assets which requires a mandatory prepayment of amounts outstanding (or the mandatory reduction of commitments thereunder) under the Credit Agreement shall constitute an Asset Sale for purposes of this Indenture.</w:t>
      </w:r>
    </w:p>
    <w:p>
      <w:pPr>
        <w:spacing w:after="0" w:line="2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Attributable Debt</w:t>
      </w:r>
      <w:r>
        <w:rPr>
          <w:rFonts w:ascii="Arial" w:cs="Arial" w:eastAsia="Arial" w:hAnsi="Arial"/>
          <w:sz w:val="19"/>
          <w:szCs w:val="19"/>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shall be determined in accordance with the definition of “Capital Lease Obligation. ”</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Bankruptcy Law</w:t>
      </w:r>
      <w:r>
        <w:rPr>
          <w:rFonts w:ascii="Arial" w:cs="Arial" w:eastAsia="Arial" w:hAnsi="Arial"/>
          <w:sz w:val="22"/>
          <w:szCs w:val="22"/>
          <w:color w:val="auto"/>
        </w:rPr>
        <w:t>” means Title 11, U.S. Code or any similar federal or state law for the relief of debtors.</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Beneficial Owner</w:t>
      </w:r>
      <w:r>
        <w:rPr>
          <w:rFonts w:ascii="Arial" w:cs="Arial" w:eastAsia="Arial" w:hAnsi="Arial"/>
          <w:sz w:val="21"/>
          <w:szCs w:val="21"/>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of Directors</w:t>
      </w:r>
      <w:r>
        <w:rPr>
          <w:rFonts w:ascii="Arial" w:cs="Arial" w:eastAsia="Arial" w:hAnsi="Arial"/>
          <w:sz w:val="22"/>
          <w:szCs w:val="22"/>
          <w:color w:val="auto"/>
        </w:rPr>
        <w:t>” means:</w:t>
      </w:r>
    </w:p>
    <w:p>
      <w:pPr>
        <w:spacing w:after="0" w:line="233" w:lineRule="exact"/>
        <w:rPr>
          <w:sz w:val="20"/>
          <w:szCs w:val="20"/>
          <w:color w:val="auto"/>
        </w:rPr>
      </w:pPr>
    </w:p>
    <w:p>
      <w:pPr>
        <w:ind w:firstLine="1305"/>
        <w:spacing w:after="0" w:line="251" w:lineRule="auto"/>
        <w:tabs>
          <w:tab w:leader="none" w:pos="2368" w:val="left"/>
        </w:tabs>
        <w:numPr>
          <w:ilvl w:val="0"/>
          <w:numId w:val="8"/>
        </w:numPr>
        <w:rPr>
          <w:rFonts w:ascii="Arial" w:cs="Arial" w:eastAsia="Arial" w:hAnsi="Arial"/>
          <w:sz w:val="22"/>
          <w:szCs w:val="22"/>
          <w:color w:val="auto"/>
        </w:rPr>
      </w:pPr>
      <w:r>
        <w:rPr>
          <w:rFonts w:ascii="Arial" w:cs="Arial" w:eastAsia="Arial" w:hAnsi="Arial"/>
          <w:sz w:val="22"/>
          <w:szCs w:val="22"/>
          <w:color w:val="auto"/>
        </w:rPr>
        <w:t>with respect to a corporation, the board of directors of the corporation or any committee thereof duly authorized to act on behalf of such board;</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8"/>
        </w:numPr>
        <w:rPr>
          <w:rFonts w:ascii="Arial" w:cs="Arial" w:eastAsia="Arial" w:hAnsi="Arial"/>
          <w:sz w:val="22"/>
          <w:szCs w:val="22"/>
          <w:color w:val="auto"/>
        </w:rPr>
      </w:pPr>
      <w:r>
        <w:rPr>
          <w:rFonts w:ascii="Arial" w:cs="Arial" w:eastAsia="Arial" w:hAnsi="Arial"/>
          <w:sz w:val="22"/>
          <w:szCs w:val="22"/>
          <w:color w:val="auto"/>
        </w:rPr>
        <w:t>with respect to a partnership, the board of directors of the general partner of the partnership;</w:t>
      </w:r>
    </w:p>
    <w:p>
      <w:pPr>
        <w:spacing w:after="0" w:line="233" w:lineRule="exact"/>
        <w:rPr>
          <w:rFonts w:ascii="Arial" w:cs="Arial" w:eastAsia="Arial" w:hAnsi="Arial"/>
          <w:sz w:val="22"/>
          <w:szCs w:val="22"/>
          <w:color w:val="auto"/>
        </w:rPr>
      </w:pPr>
    </w:p>
    <w:p>
      <w:pPr>
        <w:ind w:right="20" w:firstLine="1305"/>
        <w:spacing w:after="0" w:line="251" w:lineRule="auto"/>
        <w:tabs>
          <w:tab w:leader="none" w:pos="2148" w:val="left"/>
        </w:tabs>
        <w:numPr>
          <w:ilvl w:val="0"/>
          <w:numId w:val="8"/>
        </w:numPr>
        <w:rPr>
          <w:rFonts w:ascii="Arial" w:cs="Arial" w:eastAsia="Arial" w:hAnsi="Arial"/>
          <w:sz w:val="22"/>
          <w:szCs w:val="22"/>
          <w:color w:val="auto"/>
        </w:rPr>
      </w:pPr>
      <w:r>
        <w:rPr>
          <w:rFonts w:ascii="Arial" w:cs="Arial" w:eastAsia="Arial" w:hAnsi="Arial"/>
          <w:sz w:val="22"/>
          <w:szCs w:val="22"/>
          <w:color w:val="auto"/>
        </w:rPr>
        <w:t>with respect to a limited liability company, the Person or Persons who are the managing member, members or managers or any controlling committee or managing members or managers thereof; and</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8"/>
        </w:numPr>
        <w:rPr>
          <w:rFonts w:ascii="Arial" w:cs="Arial" w:eastAsia="Arial" w:hAnsi="Arial"/>
          <w:sz w:val="21"/>
          <w:szCs w:val="21"/>
          <w:color w:val="auto"/>
        </w:rPr>
      </w:pPr>
      <w:r>
        <w:rPr>
          <w:rFonts w:ascii="Arial" w:cs="Arial" w:eastAsia="Arial" w:hAnsi="Arial"/>
          <w:sz w:val="21"/>
          <w:szCs w:val="21"/>
          <w:color w:val="auto"/>
        </w:rPr>
        <w:t>with respect to any other Person, the board or committee of such Person serving a similar function.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means any day other than a Legal Holiday.</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Capital Lease Obligation</w:t>
      </w:r>
      <w:r>
        <w:rPr>
          <w:rFonts w:ascii="Arial" w:cs="Arial" w:eastAsia="Arial" w:hAnsi="Arial"/>
          <w:sz w:val="21"/>
          <w:szCs w:val="21"/>
          <w:color w:val="auto"/>
        </w:rPr>
        <w:t>” means, at the time any determination thereof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Stock</w:t>
      </w:r>
      <w:r>
        <w:rPr>
          <w:rFonts w:ascii="Arial" w:cs="Arial" w:eastAsia="Arial" w:hAnsi="Arial"/>
          <w:sz w:val="22"/>
          <w:szCs w:val="22"/>
          <w:color w:val="auto"/>
        </w:rPr>
        <w:t>” means:</w:t>
      </w:r>
    </w:p>
    <w:p>
      <w:pPr>
        <w:spacing w:after="0" w:line="233" w:lineRule="exact"/>
        <w:rPr>
          <w:sz w:val="20"/>
          <w:szCs w:val="20"/>
          <w:color w:val="auto"/>
        </w:rPr>
      </w:pPr>
    </w:p>
    <w:p>
      <w:pPr>
        <w:ind w:left="2160" w:hanging="855"/>
        <w:spacing w:after="0"/>
        <w:tabs>
          <w:tab w:leader="none" w:pos="2160"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33" w:lineRule="exact"/>
        <w:rPr>
          <w:rFonts w:ascii="Arial" w:cs="Arial" w:eastAsia="Arial" w:hAnsi="Arial"/>
          <w:sz w:val="22"/>
          <w:szCs w:val="22"/>
          <w:color w:val="auto"/>
        </w:rPr>
      </w:pPr>
    </w:p>
    <w:p>
      <w:pPr>
        <w:ind w:firstLine="1305"/>
        <w:spacing w:after="0" w:line="251" w:lineRule="auto"/>
        <w:tabs>
          <w:tab w:leader="none" w:pos="2222"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200" w:lineRule="exact"/>
        <w:rPr>
          <w:rFonts w:ascii="Arial" w:cs="Arial" w:eastAsia="Arial" w:hAnsi="Arial"/>
          <w:sz w:val="22"/>
          <w:szCs w:val="22"/>
          <w:color w:val="auto"/>
        </w:rPr>
      </w:pPr>
    </w:p>
    <w:p>
      <w:pPr>
        <w:ind w:firstLine="1305"/>
        <w:spacing w:after="0" w:line="251" w:lineRule="auto"/>
        <w:tabs>
          <w:tab w:leader="none" w:pos="2206" w:val="left"/>
        </w:tabs>
        <w:numPr>
          <w:ilvl w:val="0"/>
          <w:numId w:val="9"/>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(whether general or limited); and</w:t>
      </w:r>
    </w:p>
    <w:p>
      <w:pPr>
        <w:spacing w:after="0" w:line="200" w:lineRule="exact"/>
        <w:rPr>
          <w:rFonts w:ascii="Arial" w:cs="Arial" w:eastAsia="Arial" w:hAnsi="Arial"/>
          <w:sz w:val="22"/>
          <w:szCs w:val="22"/>
          <w:color w:val="auto"/>
        </w:rPr>
      </w:pPr>
    </w:p>
    <w:p>
      <w:pPr>
        <w:jc w:val="both"/>
        <w:ind w:firstLine="1305"/>
        <w:spacing w:after="0" w:line="297" w:lineRule="auto"/>
        <w:tabs>
          <w:tab w:leader="none" w:pos="2252" w:val="left"/>
        </w:tabs>
        <w:numPr>
          <w:ilvl w:val="0"/>
          <w:numId w:val="9"/>
        </w:numPr>
        <w:rPr>
          <w:rFonts w:ascii="Arial" w:cs="Arial" w:eastAsia="Arial" w:hAnsi="Arial"/>
          <w:sz w:val="19"/>
          <w:szCs w:val="19"/>
          <w:color w:val="auto"/>
        </w:rPr>
      </w:pPr>
      <w:r>
        <w:rPr>
          <w:rFonts w:ascii="Arial" w:cs="Arial" w:eastAsia="Arial" w:hAnsi="Arial"/>
          <w:sz w:val="19"/>
          <w:szCs w:val="19"/>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Cash Equivalents</w:t>
      </w:r>
      <w:r>
        <w:rPr>
          <w:rFonts w:ascii="Arial" w:cs="Arial" w:eastAsia="Arial" w:hAnsi="Arial"/>
          <w:sz w:val="22"/>
          <w:szCs w:val="22"/>
          <w:color w:val="auto"/>
        </w:rPr>
        <w:t>” means:</w:t>
      </w:r>
    </w:p>
    <w:p>
      <w:pPr>
        <w:spacing w:after="0" w:line="233" w:lineRule="exact"/>
        <w:rPr>
          <w:sz w:val="20"/>
          <w:szCs w:val="20"/>
          <w:color w:val="auto"/>
        </w:rPr>
      </w:pPr>
    </w:p>
    <w:p>
      <w:pPr>
        <w:ind w:left="2160" w:hanging="855"/>
        <w:spacing w:after="0"/>
        <w:tabs>
          <w:tab w:leader="none" w:pos="21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United States dollars;</w:t>
      </w:r>
    </w:p>
    <w:p>
      <w:pPr>
        <w:spacing w:after="0" w:line="233" w:lineRule="exact"/>
        <w:rPr>
          <w:rFonts w:ascii="Arial" w:cs="Arial" w:eastAsia="Arial" w:hAnsi="Arial"/>
          <w:sz w:val="22"/>
          <w:szCs w:val="22"/>
          <w:color w:val="auto"/>
        </w:rPr>
      </w:pPr>
    </w:p>
    <w:p>
      <w:pPr>
        <w:jc w:val="both"/>
        <w:ind w:firstLine="1305"/>
        <w:spacing w:after="0" w:line="258" w:lineRule="auto"/>
        <w:tabs>
          <w:tab w:leader="none" w:pos="2143" w:val="left"/>
        </w:tabs>
        <w:numPr>
          <w:ilvl w:val="0"/>
          <w:numId w:val="10"/>
        </w:numPr>
        <w:rPr>
          <w:rFonts w:ascii="Arial" w:cs="Arial" w:eastAsia="Arial" w:hAnsi="Arial"/>
          <w:sz w:val="21"/>
          <w:szCs w:val="21"/>
          <w:color w:val="auto"/>
        </w:rPr>
      </w:pPr>
      <w:r>
        <w:rPr>
          <w:rFonts w:ascii="Arial" w:cs="Arial" w:eastAsia="Arial" w:hAnsi="Arial"/>
          <w:sz w:val="21"/>
          <w:szCs w:val="21"/>
          <w:color w:val="auto"/>
        </w:rPr>
        <w:t>securities issued or directly and fully guaranteed or insured by the United States government or any agency or instrumentality of the United States government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full faith and credit of the United States is pledged in support of those securities) having maturities of not more than six months from the date of acquisition;</w:t>
      </w:r>
    </w:p>
    <w:p>
      <w:pPr>
        <w:spacing w:after="0" w:line="193" w:lineRule="exact"/>
        <w:rPr>
          <w:rFonts w:ascii="Arial" w:cs="Arial" w:eastAsia="Arial" w:hAnsi="Arial"/>
          <w:sz w:val="21"/>
          <w:szCs w:val="21"/>
          <w:color w:val="auto"/>
        </w:rPr>
      </w:pPr>
    </w:p>
    <w:p>
      <w:pPr>
        <w:jc w:val="both"/>
        <w:ind w:firstLine="1305"/>
        <w:spacing w:after="0" w:line="238" w:lineRule="auto"/>
        <w:tabs>
          <w:tab w:leader="none" w:pos="2228" w:val="left"/>
        </w:tabs>
        <w:numPr>
          <w:ilvl w:val="0"/>
          <w:numId w:val="10"/>
        </w:numPr>
        <w:rPr>
          <w:rFonts w:ascii="Arial" w:cs="Arial" w:eastAsia="Arial" w:hAnsi="Arial"/>
          <w:sz w:val="22"/>
          <w:szCs w:val="22"/>
          <w:color w:val="auto"/>
        </w:rPr>
      </w:pPr>
      <w:r>
        <w:rPr>
          <w:rFonts w:ascii="Arial" w:cs="Arial" w:eastAsia="Arial" w:hAnsi="Arial"/>
          <w:sz w:val="22"/>
          <w:szCs w:val="22"/>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12" w:lineRule="exact"/>
        <w:rPr>
          <w:rFonts w:ascii="Arial" w:cs="Arial" w:eastAsia="Arial" w:hAnsi="Arial"/>
          <w:sz w:val="22"/>
          <w:szCs w:val="22"/>
          <w:color w:val="auto"/>
        </w:rPr>
      </w:pPr>
    </w:p>
    <w:p>
      <w:pPr>
        <w:jc w:val="both"/>
        <w:ind w:firstLine="1305"/>
        <w:spacing w:after="0"/>
        <w:tabs>
          <w:tab w:leader="none" w:pos="2374"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213" w:lineRule="exact"/>
        <w:rPr>
          <w:rFonts w:ascii="Arial" w:cs="Arial" w:eastAsia="Arial" w:hAnsi="Arial"/>
          <w:sz w:val="22"/>
          <w:szCs w:val="22"/>
          <w:color w:val="auto"/>
        </w:rPr>
      </w:pPr>
    </w:p>
    <w:p>
      <w:pPr>
        <w:ind w:right="20" w:firstLine="1305"/>
        <w:spacing w:after="0" w:line="251" w:lineRule="auto"/>
        <w:tabs>
          <w:tab w:leader="none" w:pos="2308" w:val="left"/>
        </w:tabs>
        <w:numPr>
          <w:ilvl w:val="0"/>
          <w:numId w:val="10"/>
        </w:numPr>
        <w:rPr>
          <w:rFonts w:ascii="Arial" w:cs="Arial" w:eastAsia="Arial" w:hAnsi="Arial"/>
          <w:sz w:val="22"/>
          <w:szCs w:val="22"/>
          <w:color w:val="auto"/>
        </w:rPr>
      </w:pPr>
      <w:r>
        <w:rPr>
          <w:rFonts w:ascii="Arial" w:cs="Arial" w:eastAsia="Arial" w:hAnsi="Arial"/>
          <w:sz w:val="22"/>
          <w:szCs w:val="22"/>
          <w:color w:val="auto"/>
        </w:rPr>
        <w:t>commercial paper having one of the two highest ratings obtainable from Moody’s or S&amp;P and, in each case, maturing within six months after the date of acquisition;</w:t>
      </w:r>
    </w:p>
    <w:p>
      <w:pPr>
        <w:spacing w:after="0" w:line="200" w:lineRule="exact"/>
        <w:rPr>
          <w:rFonts w:ascii="Arial" w:cs="Arial" w:eastAsia="Arial" w:hAnsi="Arial"/>
          <w:sz w:val="22"/>
          <w:szCs w:val="22"/>
          <w:color w:val="auto"/>
        </w:rPr>
      </w:pPr>
    </w:p>
    <w:p>
      <w:pPr>
        <w:ind w:firstLine="1305"/>
        <w:spacing w:after="0" w:line="251" w:lineRule="auto"/>
        <w:tabs>
          <w:tab w:leader="none" w:pos="2159" w:val="left"/>
        </w:tabs>
        <w:numPr>
          <w:ilvl w:val="0"/>
          <w:numId w:val="10"/>
        </w:numPr>
        <w:rPr>
          <w:rFonts w:ascii="Arial" w:cs="Arial" w:eastAsia="Arial" w:hAnsi="Arial"/>
          <w:sz w:val="22"/>
          <w:szCs w:val="22"/>
          <w:color w:val="auto"/>
        </w:rPr>
      </w:pPr>
      <w:r>
        <w:rPr>
          <w:rFonts w:ascii="Arial" w:cs="Arial" w:eastAsia="Arial" w:hAnsi="Arial"/>
          <w:sz w:val="22"/>
          <w:szCs w:val="22"/>
          <w:color w:val="auto"/>
        </w:rPr>
        <w:t>money market funds at least 95% of the assets of which constitute Cash Equivalents of the kinds described in clauses (1) through (5) of this definition;</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to the extent not permitted in clauses (1) through (6) of this definition, Permitted Securities; and</w:t>
      </w:r>
    </w:p>
    <w:p>
      <w:pPr>
        <w:spacing w:after="0" w:line="233" w:lineRule="exact"/>
        <w:rPr>
          <w:rFonts w:ascii="Arial" w:cs="Arial" w:eastAsia="Arial" w:hAnsi="Arial"/>
          <w:sz w:val="22"/>
          <w:szCs w:val="22"/>
          <w:color w:val="auto"/>
        </w:rPr>
      </w:pPr>
    </w:p>
    <w:p>
      <w:pPr>
        <w:ind w:firstLine="1305"/>
        <w:spacing w:after="0" w:line="274" w:lineRule="auto"/>
        <w:tabs>
          <w:tab w:leader="none" w:pos="2302" w:val="left"/>
        </w:tabs>
        <w:numPr>
          <w:ilvl w:val="0"/>
          <w:numId w:val="10"/>
        </w:numPr>
        <w:rPr>
          <w:rFonts w:ascii="Arial" w:cs="Arial" w:eastAsia="Arial" w:hAnsi="Arial"/>
          <w:sz w:val="21"/>
          <w:szCs w:val="21"/>
          <w:color w:val="auto"/>
        </w:rPr>
      </w:pPr>
      <w:r>
        <w:rPr>
          <w:rFonts w:ascii="Arial" w:cs="Arial" w:eastAsia="Arial" w:hAnsi="Arial"/>
          <w:sz w:val="21"/>
          <w:szCs w:val="21"/>
          <w:color w:val="auto"/>
        </w:rPr>
        <w:t>to the extent not included in clauses (1) through (7) of this definition, funds managed or offered by the Trustee that invest exclusively in the securities and instruments described in clauses (1) through (7) above.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means the occurrence of any of the following: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21" w:name="page22"/>
    <w:bookmarkEnd w:id="21"/>
    <w:p>
      <w:pPr>
        <w:jc w:val="both"/>
        <w:ind w:firstLine="1305"/>
        <w:spacing w:after="0" w:line="238" w:lineRule="auto"/>
        <w:tabs>
          <w:tab w:leader="none" w:pos="2423" w:val="left"/>
        </w:tabs>
        <w:numPr>
          <w:ilvl w:val="1"/>
          <w:numId w:val="11"/>
        </w:numPr>
        <w:rPr>
          <w:rFonts w:ascii="Arial" w:cs="Arial" w:eastAsia="Arial" w:hAnsi="Arial"/>
          <w:sz w:val="22"/>
          <w:szCs w:val="22"/>
          <w:color w:val="auto"/>
        </w:rPr>
      </w:pPr>
      <w:r>
        <w:rPr>
          <w:rFonts w:ascii="Arial" w:cs="Arial" w:eastAsia="Arial" w:hAnsi="Arial"/>
          <w:sz w:val="22"/>
          <w:szCs w:val="22"/>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12" w:lineRule="exact"/>
        <w:rPr>
          <w:rFonts w:ascii="Arial" w:cs="Arial" w:eastAsia="Arial" w:hAnsi="Arial"/>
          <w:sz w:val="22"/>
          <w:szCs w:val="22"/>
          <w:color w:val="auto"/>
        </w:rPr>
      </w:pPr>
    </w:p>
    <w:p>
      <w:pPr>
        <w:ind w:left="2160" w:hanging="855"/>
        <w:spacing w:after="0"/>
        <w:tabs>
          <w:tab w:leader="none" w:pos="2160"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adoption of a plan relating to the liquidation or dissolution of either Issuer or any successor thereto;</w:t>
      </w:r>
    </w:p>
    <w:p>
      <w:pPr>
        <w:spacing w:after="0" w:line="267" w:lineRule="exact"/>
        <w:rPr>
          <w:rFonts w:ascii="Arial" w:cs="Arial" w:eastAsia="Arial" w:hAnsi="Arial"/>
          <w:sz w:val="19"/>
          <w:szCs w:val="19"/>
          <w:color w:val="auto"/>
        </w:rPr>
      </w:pPr>
    </w:p>
    <w:p>
      <w:pPr>
        <w:ind w:left="2160" w:hanging="855"/>
        <w:spacing w:after="0"/>
        <w:tabs>
          <w:tab w:leader="none" w:pos="2160"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consummation of any transaction (including, without limitation, any merger or consolidation) the result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which is that:</w:t>
      </w:r>
    </w:p>
    <w:p>
      <w:pPr>
        <w:spacing w:after="0" w:line="215" w:lineRule="exact"/>
        <w:rPr>
          <w:rFonts w:ascii="Arial" w:cs="Arial" w:eastAsia="Arial" w:hAnsi="Arial"/>
          <w:sz w:val="19"/>
          <w:szCs w:val="19"/>
          <w:color w:val="auto"/>
        </w:rPr>
      </w:pPr>
    </w:p>
    <w:p>
      <w:pPr>
        <w:jc w:val="both"/>
        <w:ind w:firstLine="2095"/>
        <w:spacing w:after="0"/>
        <w:tabs>
          <w:tab w:leader="none" w:pos="3111" w:val="left"/>
        </w:tabs>
        <w:numPr>
          <w:ilvl w:val="2"/>
          <w:numId w:val="11"/>
        </w:numPr>
        <w:rPr>
          <w:rFonts w:ascii="Arial" w:cs="Arial" w:eastAsia="Arial" w:hAnsi="Arial"/>
          <w:sz w:val="22"/>
          <w:szCs w:val="22"/>
          <w:color w:val="auto"/>
        </w:rPr>
      </w:pPr>
      <w:r>
        <w:rPr>
          <w:rFonts w:ascii="Arial" w:cs="Arial" w:eastAsia="Arial" w:hAnsi="Arial"/>
          <w:sz w:val="22"/>
          <w:szCs w:val="22"/>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213" w:lineRule="exact"/>
        <w:rPr>
          <w:rFonts w:ascii="Arial" w:cs="Arial" w:eastAsia="Arial" w:hAnsi="Arial"/>
          <w:sz w:val="22"/>
          <w:szCs w:val="22"/>
          <w:color w:val="auto"/>
        </w:rPr>
      </w:pPr>
    </w:p>
    <w:p>
      <w:pPr>
        <w:jc w:val="both"/>
        <w:ind w:firstLine="2103"/>
        <w:spacing w:after="0" w:line="273" w:lineRule="auto"/>
        <w:tabs>
          <w:tab w:leader="none" w:pos="3174" w:val="left"/>
        </w:tabs>
        <w:numPr>
          <w:ilvl w:val="2"/>
          <w:numId w:val="11"/>
        </w:numPr>
        <w:rPr>
          <w:rFonts w:ascii="Arial" w:cs="Arial" w:eastAsia="Arial" w:hAnsi="Arial"/>
          <w:sz w:val="19"/>
          <w:szCs w:val="19"/>
          <w:color w:val="auto"/>
        </w:rPr>
      </w:pPr>
      <w:r>
        <w:rPr>
          <w:rFonts w:ascii="Arial" w:cs="Arial" w:eastAsia="Arial" w:hAnsi="Arial"/>
          <w:sz w:val="19"/>
          <w:szCs w:val="19"/>
          <w:color w:val="auto"/>
        </w:rPr>
        <w:t>any “person” (as defined in clause (1) above) (other than (x) Elaine P. Wynn, so long as the Stockholders Agreement, as in effect on the date of this Indenture, remains in full force and effect, and (y) Kazuo Okada, Aruze USA and UEC, so long as (i) the Stockholders Agreement, as in effect on the date of this Indenture, remains in full force and effect,</w:t>
      </w:r>
    </w:p>
    <w:p>
      <w:pPr>
        <w:spacing w:after="0" w:line="1" w:lineRule="exact"/>
        <w:rPr>
          <w:rFonts w:ascii="Arial" w:cs="Arial" w:eastAsia="Arial" w:hAnsi="Arial"/>
          <w:sz w:val="19"/>
          <w:szCs w:val="19"/>
          <w:color w:val="auto"/>
        </w:rPr>
      </w:pPr>
    </w:p>
    <w:p>
      <w:pPr>
        <w:jc w:val="both"/>
        <w:ind w:firstLine="8"/>
        <w:spacing w:after="0" w:line="232" w:lineRule="auto"/>
        <w:tabs>
          <w:tab w:leader="none" w:pos="332" w:val="left"/>
        </w:tabs>
        <w:numPr>
          <w:ilvl w:val="0"/>
          <w:numId w:val="12"/>
        </w:numPr>
        <w:rPr>
          <w:rFonts w:ascii="Arial" w:cs="Arial" w:eastAsia="Arial" w:hAnsi="Arial"/>
          <w:sz w:val="22"/>
          <w:szCs w:val="22"/>
          <w:color w:val="auto"/>
        </w:rPr>
      </w:pPr>
      <w:r>
        <w:rPr>
          <w:rFonts w:ascii="Arial" w:cs="Arial" w:eastAsia="Arial" w:hAnsi="Arial"/>
          <w:sz w:val="22"/>
          <w:szCs w:val="22"/>
          <w:color w:val="auto"/>
        </w:rPr>
        <w:t>a majority of the Board of Directors of Wynn Resorts is constituted of Persons named on any slate of directors chosen by the Principal and Aruze USA pursuant to the Stockholders Agreement, as in effect on the date of this Indenture, and (iii) Kazuo Okada and his Related Parties either (A) “control” (as that term is used in Rule 405 under the Securities Act) UEC and Aruze USA or (B) otherwise remain the direct or indirect Beneficial Owners of the Voting Stock of Wynn Resorts held by UEC)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215" w:lineRule="exact"/>
        <w:rPr>
          <w:rFonts w:ascii="Arial" w:cs="Arial" w:eastAsia="Arial" w:hAnsi="Arial"/>
          <w:sz w:val="22"/>
          <w:szCs w:val="22"/>
          <w:color w:val="auto"/>
        </w:rPr>
      </w:pPr>
    </w:p>
    <w:p>
      <w:pPr>
        <w:ind w:firstLine="1305"/>
        <w:spacing w:after="0" w:line="251" w:lineRule="auto"/>
        <w:tabs>
          <w:tab w:leader="none" w:pos="2167"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first day on which a majority of the members of the respective Boards of Directors of Wynn Resorts or Wynn Capital are not Continuing Directors;</w:t>
      </w:r>
    </w:p>
    <w:p>
      <w:pPr>
        <w:spacing w:after="0" w:line="200" w:lineRule="exact"/>
        <w:rPr>
          <w:rFonts w:ascii="Arial" w:cs="Arial" w:eastAsia="Arial" w:hAnsi="Arial"/>
          <w:sz w:val="22"/>
          <w:szCs w:val="22"/>
          <w:color w:val="auto"/>
        </w:rPr>
      </w:pPr>
    </w:p>
    <w:p>
      <w:pPr>
        <w:ind w:right="20" w:firstLine="1305"/>
        <w:spacing w:after="0" w:line="251" w:lineRule="auto"/>
        <w:tabs>
          <w:tab w:leader="none" w:pos="2190"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first day on which Wynn Resorts ceases to own, directly or indirectly, 100% of the outstanding Equity Interests of Wynn Las Vegas;</w:t>
      </w:r>
    </w:p>
    <w:p>
      <w:pPr>
        <w:spacing w:after="0" w:line="200" w:lineRule="exact"/>
        <w:rPr>
          <w:rFonts w:ascii="Arial" w:cs="Arial" w:eastAsia="Arial" w:hAnsi="Arial"/>
          <w:sz w:val="22"/>
          <w:szCs w:val="22"/>
          <w:color w:val="auto"/>
        </w:rPr>
      </w:pPr>
    </w:p>
    <w:p>
      <w:pPr>
        <w:jc w:val="both"/>
        <w:ind w:firstLine="1305"/>
        <w:spacing w:after="0" w:line="277" w:lineRule="auto"/>
        <w:tabs>
          <w:tab w:leader="none" w:pos="2253" w:val="left"/>
        </w:tabs>
        <w:numPr>
          <w:ilvl w:val="1"/>
          <w:numId w:val="12"/>
        </w:numPr>
        <w:rPr>
          <w:rFonts w:ascii="Arial" w:cs="Arial" w:eastAsia="Arial" w:hAnsi="Arial"/>
          <w:sz w:val="19"/>
          <w:szCs w:val="19"/>
          <w:color w:val="auto"/>
        </w:rPr>
      </w:pPr>
      <w:r>
        <w:rPr>
          <w:rFonts w:ascii="Arial" w:cs="Arial" w:eastAsia="Arial" w:hAnsi="Arial"/>
          <w:sz w:val="19"/>
          <w:szCs w:val="19"/>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22" w:name="page23"/>
    <w:bookmarkEnd w:id="22"/>
    <w:p>
      <w:pPr>
        <w:ind w:left="2160" w:hanging="855"/>
        <w:spacing w:after="0"/>
        <w:tabs>
          <w:tab w:leader="none" w:pos="21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 event constituting a “change of control” under the indenture governing the 2014 Notes; or</w:t>
      </w:r>
    </w:p>
    <w:p>
      <w:pPr>
        <w:spacing w:after="0" w:line="233" w:lineRule="exact"/>
        <w:rPr>
          <w:rFonts w:ascii="Arial" w:cs="Arial" w:eastAsia="Arial" w:hAnsi="Arial"/>
          <w:sz w:val="22"/>
          <w:szCs w:val="22"/>
          <w:color w:val="auto"/>
        </w:rPr>
      </w:pPr>
    </w:p>
    <w:p>
      <w:pPr>
        <w:ind w:left="660" w:right="640" w:firstLine="645"/>
        <w:spacing w:after="0" w:line="461" w:lineRule="auto"/>
        <w:tabs>
          <w:tab w:leader="none" w:pos="2155"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 event constituting a “change of control” under the indenture governing the 2017 Notes. Notwithstanding the above, a Change of Control shall not occur solely by reason of a Permitted C-Corp. Conversion. “</w:t>
      </w:r>
      <w:r>
        <w:rPr>
          <w:rFonts w:ascii="Arial" w:cs="Arial" w:eastAsia="Arial" w:hAnsi="Arial"/>
          <w:sz w:val="22"/>
          <w:szCs w:val="22"/>
          <w:i w:val="1"/>
          <w:iCs w:val="1"/>
          <w:color w:val="auto"/>
        </w:rPr>
        <w:t>Clearstream</w:t>
      </w:r>
      <w:r>
        <w:rPr>
          <w:rFonts w:ascii="Arial" w:cs="Arial" w:eastAsia="Arial" w:hAnsi="Arial"/>
          <w:sz w:val="22"/>
          <w:szCs w:val="22"/>
          <w:color w:val="auto"/>
        </w:rPr>
        <w:t>” means Clearstream Banking, S.A.</w:t>
      </w:r>
    </w:p>
    <w:p>
      <w:pPr>
        <w:ind w:left="66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Code</w:t>
      </w:r>
      <w:r>
        <w:rPr>
          <w:rFonts w:ascii="Arial" w:cs="Arial" w:eastAsia="Arial" w:hAnsi="Arial"/>
          <w:sz w:val="22"/>
          <w:szCs w:val="22"/>
          <w:color w:val="auto"/>
        </w:rPr>
        <w:t>” means the Internal Revenue Code of 1986, as amended.</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Collateral</w:t>
      </w:r>
      <w:r>
        <w:rPr>
          <w:rFonts w:ascii="Arial" w:cs="Arial" w:eastAsia="Arial" w:hAnsi="Arial"/>
          <w:sz w:val="19"/>
          <w:szCs w:val="19"/>
          <w:color w:val="auto"/>
        </w:rPr>
        <w:t>” means all assets, now owned or hereafter acquired, of either Issuer, any Guarantor, any Restricted Subsidiary or any other Person, to the extent such assets are pledged or assigned or purport to be pledged or assigned, or are required to be pledged or assigned under this Indenture or the Collateral Documents to the Trustee, including the Primary Note Collateral, together with the proceeds and products thereof (including, without limitation, the proceeds of Asset Sales).</w:t>
      </w:r>
    </w:p>
    <w:p>
      <w:pPr>
        <w:spacing w:after="0" w:line="17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Collateral Agent</w:t>
      </w:r>
      <w:r>
        <w:rPr>
          <w:rFonts w:ascii="Arial" w:cs="Arial" w:eastAsia="Arial" w:hAnsi="Arial"/>
          <w:sz w:val="21"/>
          <w:szCs w:val="21"/>
          <w:color w:val="auto"/>
        </w:rPr>
        <w:t>” shall mean Deutsche Bank Trust Company Americas, in its capacity as collateral agent under the applicable security document and the Intercreditor Agreement, and its successors and assigns in such capacity.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 Documents</w:t>
      </w:r>
      <w:r>
        <w:rPr>
          <w:rFonts w:ascii="Arial" w:cs="Arial" w:eastAsia="Arial" w:hAnsi="Arial"/>
          <w:sz w:val="22"/>
          <w:szCs w:val="22"/>
          <w:color w:val="auto"/>
        </w:rPr>
        <w:t>” means:</w:t>
      </w:r>
    </w:p>
    <w:p>
      <w:pPr>
        <w:spacing w:after="0" w:line="233" w:lineRule="exact"/>
        <w:rPr>
          <w:sz w:val="20"/>
          <w:szCs w:val="20"/>
          <w:color w:val="auto"/>
        </w:rPr>
      </w:pPr>
    </w:p>
    <w:p>
      <w:pPr>
        <w:ind w:left="2160" w:hanging="855"/>
        <w:spacing w:after="0"/>
        <w:tabs>
          <w:tab w:leader="none" w:pos="21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Deeds of Trust;</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Security Agreements;</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Intercreditor Agreement;</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Control Agreements;</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Management Fees Subordination Agreement; and</w:t>
      </w:r>
    </w:p>
    <w:p>
      <w:pPr>
        <w:spacing w:after="0" w:line="233" w:lineRule="exact"/>
        <w:rPr>
          <w:rFonts w:ascii="Arial" w:cs="Arial" w:eastAsia="Arial" w:hAnsi="Arial"/>
          <w:sz w:val="22"/>
          <w:szCs w:val="22"/>
          <w:color w:val="auto"/>
        </w:rPr>
      </w:pPr>
    </w:p>
    <w:p>
      <w:pPr>
        <w:ind w:firstLine="1305"/>
        <w:spacing w:after="0" w:line="251" w:lineRule="auto"/>
        <w:tabs>
          <w:tab w:leader="none" w:pos="2149"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instruments, documents, pledges or filings that create, evidence, perfect, set forth, consent to, acknowledge or limit the security interest of the Trustee in the Collateral,</w:t>
      </w:r>
    </w:p>
    <w:p>
      <w:pPr>
        <w:spacing w:after="0" w:line="20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 each case, as amended, modified or otherwise supplemented from time to time in accordance with their respective terms and with this Indenture and the Collateral Documents.</w:t>
      </w:r>
    </w:p>
    <w:p>
      <w:pPr>
        <w:spacing w:after="0" w:line="200"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Collateral Release Period</w:t>
      </w:r>
      <w:r>
        <w:rPr>
          <w:rFonts w:ascii="Arial" w:cs="Arial" w:eastAsia="Arial" w:hAnsi="Arial"/>
          <w:sz w:val="19"/>
          <w:szCs w:val="19"/>
          <w:color w:val="auto"/>
        </w:rPr>
        <w:t>” means any period of the time while the Notes remain outstanding during which the Holders’ security interest in all of the Collateral is released in accordance with the conditions described in Section 10.03(b) hereof.</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Completion Guarantor</w:t>
      </w:r>
      <w:r>
        <w:rPr>
          <w:rFonts w:ascii="Arial" w:cs="Arial" w:eastAsia="Arial" w:hAnsi="Arial"/>
          <w:sz w:val="22"/>
          <w:szCs w:val="22"/>
          <w:color w:val="auto"/>
        </w:rPr>
        <w:t>” means Wynn Completion Guarantor, LLC, 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23" w:name="page24"/>
    <w:bookmarkEnd w:id="23"/>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Cash Flow</w:t>
      </w:r>
      <w:r>
        <w:rPr>
          <w:rFonts w:ascii="Arial" w:cs="Arial" w:eastAsia="Arial" w:hAnsi="Arial"/>
          <w:sz w:val="22"/>
          <w:szCs w:val="22"/>
          <w:color w:val="auto"/>
        </w:rPr>
        <w:t>” means, with respect to any specified Person for any period, the Consolidated Net Income of such Person for such period plus, without duplication:</w:t>
      </w:r>
    </w:p>
    <w:p>
      <w:pPr>
        <w:spacing w:after="0" w:line="200" w:lineRule="exact"/>
        <w:rPr>
          <w:sz w:val="20"/>
          <w:szCs w:val="20"/>
          <w:color w:val="auto"/>
        </w:rPr>
      </w:pPr>
    </w:p>
    <w:p>
      <w:pPr>
        <w:jc w:val="both"/>
        <w:ind w:firstLine="1305"/>
        <w:spacing w:after="0"/>
        <w:tabs>
          <w:tab w:leader="none" w:pos="2153"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22"/>
          <w:szCs w:val="22"/>
          <w:i w:val="1"/>
          <w:iCs w:val="1"/>
          <w:color w:val="auto"/>
        </w:rPr>
        <w:t>plus</w:t>
      </w:r>
    </w:p>
    <w:p>
      <w:pPr>
        <w:spacing w:after="0" w:line="213" w:lineRule="exact"/>
        <w:rPr>
          <w:rFonts w:ascii="Arial" w:cs="Arial" w:eastAsia="Arial" w:hAnsi="Arial"/>
          <w:sz w:val="22"/>
          <w:szCs w:val="22"/>
          <w:color w:val="auto"/>
        </w:rPr>
      </w:pPr>
    </w:p>
    <w:p>
      <w:pPr>
        <w:jc w:val="both"/>
        <w:ind w:firstLine="1305"/>
        <w:spacing w:after="0"/>
        <w:tabs>
          <w:tab w:leader="none" w:pos="2424"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provision for taxes based on income or profits or the Tax Amount of such Person and its Restricted Subsidiaries for such period, to the extent that such provision for taxes or Tax Amount was included in computing such Consolidated Net Income; </w:t>
      </w:r>
      <w:r>
        <w:rPr>
          <w:rFonts w:ascii="Arial" w:cs="Arial" w:eastAsia="Arial" w:hAnsi="Arial"/>
          <w:sz w:val="22"/>
          <w:szCs w:val="22"/>
          <w:i w:val="1"/>
          <w:iCs w:val="1"/>
          <w:color w:val="auto"/>
        </w:rPr>
        <w:t>plus</w:t>
      </w:r>
    </w:p>
    <w:p>
      <w:pPr>
        <w:spacing w:after="0" w:line="213" w:lineRule="exact"/>
        <w:rPr>
          <w:rFonts w:ascii="Arial" w:cs="Arial" w:eastAsia="Arial" w:hAnsi="Arial"/>
          <w:sz w:val="22"/>
          <w:szCs w:val="22"/>
          <w:color w:val="auto"/>
        </w:rPr>
      </w:pPr>
    </w:p>
    <w:p>
      <w:pPr>
        <w:jc w:val="both"/>
        <w:ind w:firstLine="1305"/>
        <w:spacing w:after="0" w:line="234" w:lineRule="auto"/>
        <w:tabs>
          <w:tab w:leader="none" w:pos="2208"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 t Income; </w:t>
      </w:r>
      <w:r>
        <w:rPr>
          <w:rFonts w:ascii="Arial" w:cs="Arial" w:eastAsia="Arial" w:hAnsi="Arial"/>
          <w:sz w:val="22"/>
          <w:szCs w:val="22"/>
          <w:i w:val="1"/>
          <w:iCs w:val="1"/>
          <w:color w:val="auto"/>
        </w:rPr>
        <w:t>plus</w:t>
      </w:r>
    </w:p>
    <w:p>
      <w:pPr>
        <w:spacing w:after="0" w:line="218" w:lineRule="exact"/>
        <w:rPr>
          <w:rFonts w:ascii="Arial" w:cs="Arial" w:eastAsia="Arial" w:hAnsi="Arial"/>
          <w:sz w:val="22"/>
          <w:szCs w:val="22"/>
          <w:color w:val="auto"/>
        </w:rPr>
      </w:pPr>
    </w:p>
    <w:p>
      <w:pPr>
        <w:jc w:val="both"/>
        <w:ind w:firstLine="1305"/>
        <w:spacing w:after="0" w:line="282" w:lineRule="auto"/>
        <w:tabs>
          <w:tab w:leader="none" w:pos="2532"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w:t>
      </w:r>
      <w:r>
        <w:rPr>
          <w:rFonts w:ascii="Arial" w:cs="Arial" w:eastAsia="Arial" w:hAnsi="Arial"/>
          <w:sz w:val="19"/>
          <w:szCs w:val="19"/>
          <w:i w:val="1"/>
          <w:iCs w:val="1"/>
          <w:color w:val="auto"/>
        </w:rPr>
        <w:t>plus</w:t>
      </w:r>
    </w:p>
    <w:p>
      <w:pPr>
        <w:spacing w:after="0" w:line="174" w:lineRule="exact"/>
        <w:rPr>
          <w:rFonts w:ascii="Arial" w:cs="Arial" w:eastAsia="Arial" w:hAnsi="Arial"/>
          <w:sz w:val="19"/>
          <w:szCs w:val="19"/>
          <w:color w:val="auto"/>
        </w:rPr>
      </w:pPr>
    </w:p>
    <w:p>
      <w:pPr>
        <w:ind w:firstLine="1305"/>
        <w:spacing w:after="0" w:line="251" w:lineRule="auto"/>
        <w:tabs>
          <w:tab w:leader="none" w:pos="2588"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any pre-opening expenses, to the extent such pre-opening expenses were deducted in calculating Consolidated Net Income on a consolidated basis; </w:t>
      </w:r>
      <w:r>
        <w:rPr>
          <w:rFonts w:ascii="Arial" w:cs="Arial" w:eastAsia="Arial" w:hAnsi="Arial"/>
          <w:sz w:val="22"/>
          <w:szCs w:val="22"/>
          <w:i w:val="1"/>
          <w:iCs w:val="1"/>
          <w:color w:val="auto"/>
        </w:rPr>
        <w:t>plus</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non-cash items reducing Consolidated Net Income for such period, </w:t>
      </w:r>
      <w:r>
        <w:rPr>
          <w:rFonts w:ascii="Arial" w:cs="Arial" w:eastAsia="Arial" w:hAnsi="Arial"/>
          <w:sz w:val="22"/>
          <w:szCs w:val="22"/>
          <w:i w:val="1"/>
          <w:iCs w:val="1"/>
          <w:color w:val="auto"/>
        </w:rPr>
        <w:t>minus</w:t>
      </w:r>
    </w:p>
    <w:p>
      <w:pPr>
        <w:spacing w:after="0" w:line="233" w:lineRule="exact"/>
        <w:rPr>
          <w:rFonts w:ascii="Arial" w:cs="Arial" w:eastAsia="Arial" w:hAnsi="Arial"/>
          <w:sz w:val="22"/>
          <w:szCs w:val="22"/>
          <w:color w:val="auto"/>
        </w:rPr>
      </w:pPr>
    </w:p>
    <w:p>
      <w:pPr>
        <w:ind w:firstLine="1305"/>
        <w:spacing w:after="0" w:line="251" w:lineRule="auto"/>
        <w:tabs>
          <w:tab w:leader="none" w:pos="2143" w:val="left"/>
        </w:tabs>
        <w:numPr>
          <w:ilvl w:val="0"/>
          <w:numId w:val="15"/>
        </w:numPr>
        <w:rPr>
          <w:rFonts w:ascii="Arial" w:cs="Arial" w:eastAsia="Arial" w:hAnsi="Arial"/>
          <w:sz w:val="22"/>
          <w:szCs w:val="22"/>
          <w:color w:val="auto"/>
        </w:rPr>
      </w:pPr>
      <w:r>
        <w:rPr>
          <w:rFonts w:ascii="Arial" w:cs="Arial" w:eastAsia="Arial" w:hAnsi="Arial"/>
          <w:sz w:val="22"/>
          <w:szCs w:val="22"/>
          <w:color w:val="auto"/>
        </w:rPr>
        <w:t>non-cash items increasing such Consolidated Net Income for such period, other than the accrual of revenue in the ordinary course of business,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in each case, on a consolidated basis and determined in accordance with GAAP.</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Notwithstanding the preceding, the provision for taxes based on the income or profits of, and the depreciation and amortization and other non-cash expenses of, a Restricted Subsidiary of Wynn Las Vegas shall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24" w:name="page25"/>
    <w:bookmarkEnd w:id="24"/>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Consolidated EBITDA</w:t>
      </w:r>
      <w:r>
        <w:rPr>
          <w:rFonts w:ascii="Arial" w:cs="Arial" w:eastAsia="Arial" w:hAnsi="Arial"/>
          <w:sz w:val="19"/>
          <w:szCs w:val="19"/>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 (a) 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 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84"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Consolidated Leverage Ratio</w:t>
      </w:r>
      <w:r>
        <w:rPr>
          <w:rFonts w:ascii="Arial" w:cs="Arial" w:eastAsia="Arial" w:hAnsi="Arial"/>
          <w:sz w:val="19"/>
          <w:szCs w:val="19"/>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Member</w:t>
      </w:r>
      <w:r>
        <w:rPr>
          <w:rFonts w:ascii="Arial" w:cs="Arial" w:eastAsia="Arial" w:hAnsi="Arial"/>
          <w:sz w:val="22"/>
          <w:szCs w:val="22"/>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Net Income</w:t>
      </w:r>
      <w:r>
        <w:rPr>
          <w:rFonts w:ascii="Arial" w:cs="Arial" w:eastAsia="Arial" w:hAnsi="Arial"/>
          <w:sz w:val="22"/>
          <w:szCs w:val="22"/>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213" w:lineRule="exact"/>
        <w:rPr>
          <w:sz w:val="20"/>
          <w:szCs w:val="20"/>
          <w:color w:val="auto"/>
        </w:rPr>
      </w:pPr>
    </w:p>
    <w:p>
      <w:pPr>
        <w:jc w:val="both"/>
        <w:ind w:firstLine="1305"/>
        <w:spacing w:after="0"/>
        <w:tabs>
          <w:tab w:leader="none" w:pos="2219"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Net Income (but not loss) of any Person that is not a Restricted Subsidiary or that is accounted for by the equity method of accounting shall be included only to the extent of the amount of dividends or distributions paid in cash to the specified Person or a Wholly Owned Restricted Subsidiary of such Person;</w:t>
      </w:r>
    </w:p>
    <w:p>
      <w:pPr>
        <w:spacing w:after="0" w:line="213" w:lineRule="exact"/>
        <w:rPr>
          <w:rFonts w:ascii="Arial" w:cs="Arial" w:eastAsia="Arial" w:hAnsi="Arial"/>
          <w:sz w:val="22"/>
          <w:szCs w:val="22"/>
          <w:color w:val="auto"/>
        </w:rPr>
      </w:pPr>
    </w:p>
    <w:p>
      <w:pPr>
        <w:jc w:val="both"/>
        <w:ind w:firstLine="1305"/>
        <w:spacing w:after="0" w:line="236" w:lineRule="auto"/>
        <w:tabs>
          <w:tab w:leader="none" w:pos="2143"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Net Income of any Restricted Subsidiary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25" w:name="page26"/>
    <w:bookmarkEnd w:id="25"/>
    <w:p>
      <w:pPr>
        <w:ind w:firstLine="1305"/>
        <w:spacing w:after="0" w:line="328" w:lineRule="auto"/>
        <w:tabs>
          <w:tab w:leader="none" w:pos="2247"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Net Income (loss) of any Unrestricted Subsidiary shall be excluded, whether or not distributed to the specified Person or one of its Subsidiaries; and the cumulative effect of a change in accounting principles shall be excluded.</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Net Worth</w:t>
      </w:r>
      <w:r>
        <w:rPr>
          <w:rFonts w:ascii="Arial" w:cs="Arial" w:eastAsia="Arial" w:hAnsi="Arial"/>
          <w:sz w:val="22"/>
          <w:szCs w:val="22"/>
          <w:color w:val="auto"/>
        </w:rPr>
        <w:t>” means, with respect to any specified Person as of any date, the sum of:</w:t>
      </w:r>
    </w:p>
    <w:p>
      <w:pPr>
        <w:spacing w:after="0" w:line="233" w:lineRule="exact"/>
        <w:rPr>
          <w:sz w:val="20"/>
          <w:szCs w:val="20"/>
          <w:color w:val="auto"/>
        </w:rPr>
      </w:pPr>
    </w:p>
    <w:p>
      <w:pPr>
        <w:ind w:left="860" w:hanging="852"/>
        <w:spacing w:after="0"/>
        <w:tabs>
          <w:tab w:leader="none" w:pos="8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the consolidated equity of the common stockholders of such Person and its consolidated Subsidiaries as of such date; </w:t>
      </w:r>
      <w:r>
        <w:rPr>
          <w:rFonts w:ascii="Arial" w:cs="Arial" w:eastAsia="Arial" w:hAnsi="Arial"/>
          <w:sz w:val="19"/>
          <w:szCs w:val="19"/>
          <w:i w:val="1"/>
          <w:iCs w:val="1"/>
          <w:color w:val="auto"/>
        </w:rPr>
        <w:t>plus</w:t>
      </w:r>
    </w:p>
    <w:p>
      <w:pPr>
        <w:spacing w:after="0" w:line="267" w:lineRule="exact"/>
        <w:rPr>
          <w:rFonts w:ascii="Arial" w:cs="Arial" w:eastAsia="Arial" w:hAnsi="Arial"/>
          <w:sz w:val="19"/>
          <w:szCs w:val="19"/>
          <w:color w:val="auto"/>
        </w:rPr>
      </w:pPr>
    </w:p>
    <w:p>
      <w:pPr>
        <w:jc w:val="both"/>
        <w:ind w:firstLine="8"/>
        <w:spacing w:after="0" w:line="238" w:lineRule="auto"/>
        <w:tabs>
          <w:tab w:leader="none" w:pos="1005"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respective amounts reported on such Person’s balance sheet as of such date with respect to any series of preferred stock (other than 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212"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Total Debt</w:t>
      </w:r>
      <w:r>
        <w:rPr>
          <w:rFonts w:ascii="Arial" w:cs="Arial" w:eastAsia="Arial" w:hAnsi="Arial"/>
          <w:sz w:val="22"/>
          <w:szCs w:val="22"/>
          <w:color w:val="auto"/>
        </w:rPr>
        <w:t>” means at any date, the aggregate principal amount of all Indebtedness of Wynn Las Vegas and its Subsidiaries at such date, determined on a consolidated basis in accordance with GAAP.</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Continuing Directors</w:t>
      </w:r>
      <w:r>
        <w:rPr>
          <w:rFonts w:ascii="Arial" w:cs="Arial" w:eastAsia="Arial" w:hAnsi="Arial"/>
          <w:sz w:val="19"/>
          <w:szCs w:val="19"/>
          <w:color w:val="auto"/>
        </w:rPr>
        <w:t>” means, as of any date of determination, with respect to any Person, any member of the Board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Directors of such Person who:</w:t>
      </w:r>
    </w:p>
    <w:p>
      <w:pPr>
        <w:spacing w:after="0" w:line="215" w:lineRule="exact"/>
        <w:rPr>
          <w:sz w:val="20"/>
          <w:szCs w:val="20"/>
          <w:color w:val="auto"/>
        </w:rPr>
      </w:pPr>
    </w:p>
    <w:p>
      <w:pPr>
        <w:ind w:left="2160" w:hanging="855"/>
        <w:spacing w:after="0"/>
        <w:tabs>
          <w:tab w:leader="none" w:pos="21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was a member of such Board of Directors on the date hereof; or</w:t>
      </w:r>
    </w:p>
    <w:p>
      <w:pPr>
        <w:spacing w:after="0" w:line="233" w:lineRule="exact"/>
        <w:rPr>
          <w:rFonts w:ascii="Arial" w:cs="Arial" w:eastAsia="Arial" w:hAnsi="Arial"/>
          <w:sz w:val="22"/>
          <w:szCs w:val="22"/>
          <w:color w:val="auto"/>
        </w:rPr>
      </w:pPr>
    </w:p>
    <w:p>
      <w:pPr>
        <w:ind w:right="20" w:firstLine="1305"/>
        <w:spacing w:after="0" w:line="251" w:lineRule="auto"/>
        <w:tabs>
          <w:tab w:leader="none" w:pos="2286" w:val="left"/>
        </w:tabs>
        <w:numPr>
          <w:ilvl w:val="0"/>
          <w:numId w:val="19"/>
        </w:numPr>
        <w:rPr>
          <w:rFonts w:ascii="Arial" w:cs="Arial" w:eastAsia="Arial" w:hAnsi="Arial"/>
          <w:sz w:val="22"/>
          <w:szCs w:val="22"/>
          <w:color w:val="auto"/>
        </w:rPr>
      </w:pPr>
      <w:r>
        <w:rPr>
          <w:rFonts w:ascii="Arial" w:cs="Arial" w:eastAsia="Arial" w:hAnsi="Arial"/>
          <w:sz w:val="22"/>
          <w:szCs w:val="22"/>
          <w:color w:val="auto"/>
        </w:rPr>
        <w:t>was nominated for election or elected to such Board of Directors with the approval of a majority of the Continuing Directors who were members of such Board at the time of such nomination or election.</w:t>
      </w:r>
    </w:p>
    <w:p>
      <w:pPr>
        <w:spacing w:after="0" w:line="20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Control Agreements</w:t>
      </w:r>
      <w:r>
        <w:rPr>
          <w:rFonts w:ascii="Arial" w:cs="Arial" w:eastAsia="Arial" w:hAnsi="Arial"/>
          <w:sz w:val="19"/>
          <w:szCs w:val="19"/>
          <w:color w:val="auto"/>
        </w:rPr>
        <w:t>” mean (1) the Control Agreement, dated as of December 14, 2004, among Wynn Show Performers, the securities intermediary named therein and the Collateral Agent, (2) the Control Agreement, dated as of December 14, 2004, among Las Vegas Jet, LLC, the securities intermediary named therein and the Collateral Agent, (3) the Control Agreement, dated as of December 14, 2004, among Wynn Las Vegas, the securities intermediary named therein and the Collateral Agent, (4) the Collateral Account Control Agreement, dated as of September 18, 2008, among Wynn Las Vegas, the securities intermediary named therein and the Collateral Agent and (5) the Control Agreement, dated as of the date hereof, among Kevyn, LLC, the securities intermediary named therein and the Collateral Agent, each as amended, modified or otherwise supplemented from time to time in accordance with its terms, this Indenture and the other Collateral Documents.</w:t>
      </w:r>
    </w:p>
    <w:p>
      <w:pPr>
        <w:spacing w:after="0" w:line="18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Corporate Trust Office of the Trustee</w:t>
      </w:r>
      <w:r>
        <w:rPr>
          <w:rFonts w:ascii="Arial" w:cs="Arial" w:eastAsia="Arial" w:hAnsi="Arial"/>
          <w:sz w:val="22"/>
          <w:szCs w:val="22"/>
          <w:color w:val="auto"/>
        </w:rPr>
        <w:t>” means the address of the Trustee specified in Section 14.02 hereof or such other address as to which the Trustee may give notice to the Issuers.</w:t>
      </w:r>
    </w:p>
    <w:p>
      <w:pPr>
        <w:spacing w:after="0" w:line="20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Credit Agreement</w:t>
      </w:r>
      <w:r>
        <w:rPr>
          <w:rFonts w:ascii="Arial" w:cs="Arial" w:eastAsia="Arial" w:hAnsi="Arial"/>
          <w:sz w:val="19"/>
          <w:szCs w:val="19"/>
          <w:color w:val="auto"/>
        </w:rPr>
        <w:t>” means that certain Amended and Restated Credit Agreement, dated as of August 15, 2006, by and among Wynn Las Vegas, the lenders party thereto, Deutsche Bank Trust Company Americas, as administrative agent, issuing lender and swing line lender, Deutsche Bank Securities Inc., as joint book running manager and lead arranger, Banc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26" w:name="page27"/>
    <w:bookmarkEnd w:id="26"/>
    <w:p>
      <w:pPr>
        <w:jc w:val="both"/>
        <w:spacing w:after="0" w:line="275" w:lineRule="auto"/>
        <w:rPr>
          <w:sz w:val="20"/>
          <w:szCs w:val="20"/>
          <w:color w:val="auto"/>
        </w:rPr>
      </w:pPr>
      <w:r>
        <w:rPr>
          <w:rFonts w:ascii="Arial" w:cs="Arial" w:eastAsia="Arial" w:hAnsi="Arial"/>
          <w:sz w:val="19"/>
          <w:szCs w:val="19"/>
          <w:color w:val="auto"/>
        </w:rPr>
        <w:t>America Securities LLC, as joint book running manager and lead arranger, Bank of America, N.A. as syndication agent, JPMorgan Chase Bank, N.A., as joint documentation agent, J.P. Morgan Securities Inc., as joint book running manager and arranger, SG Americas Securities, LLC, as arranger and joint book running manager, Société Générale, as joint documentation agent, and, in each case as managing agent, Bank of Scotland, HSH Nordbank AG, The Royal Bank of Scotland plc and Wachovia Bank,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 nanced (whether with the same or different lenders or holders, including by means of sales of debt securities to institutional investors) from time to time.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Custodian</w:t>
      </w:r>
      <w:r>
        <w:rPr>
          <w:rFonts w:ascii="Arial" w:cs="Arial" w:eastAsia="Arial" w:hAnsi="Arial"/>
          <w:sz w:val="19"/>
          <w:szCs w:val="19"/>
          <w:color w:val="auto"/>
        </w:rPr>
        <w:t>” means the Trustee, as custodian with respect to the Notes in global form, or any successor entity thereto.</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Dealer Managers</w:t>
      </w:r>
      <w:r>
        <w:rPr>
          <w:rFonts w:ascii="Arial" w:cs="Arial" w:eastAsia="Arial" w:hAnsi="Arial"/>
          <w:sz w:val="19"/>
          <w:szCs w:val="19"/>
          <w:color w:val="auto"/>
        </w:rPr>
        <w:t>” means Deutsche Bank Securities, Inc., Banc of America Securities LLC and J.P. Morgan Securities Inc.</w:t>
      </w:r>
    </w:p>
    <w:p>
      <w:pPr>
        <w:spacing w:after="0" w:line="26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Dealership Lease Agreement</w:t>
      </w:r>
      <w:r>
        <w:rPr>
          <w:rFonts w:ascii="Arial" w:cs="Arial" w:eastAsia="Arial" w:hAnsi="Arial"/>
          <w:sz w:val="21"/>
          <w:szCs w:val="21"/>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Section 4.22 hereof.</w:t>
      </w:r>
    </w:p>
    <w:p>
      <w:pPr>
        <w:spacing w:after="0" w:line="20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Deeds of Trust</w:t>
      </w:r>
      <w:r>
        <w:rPr>
          <w:rFonts w:ascii="Arial" w:cs="Arial" w:eastAsia="Arial" w:hAnsi="Arial"/>
          <w:sz w:val="22"/>
          <w:szCs w:val="22"/>
          <w:color w:val="auto"/>
        </w:rPr>
        <w:t>” means the deeds of trust entered into by Wynn Las Vegas and/or any Guarantor, dated as of the date of this Indenture, and any other deeds of trust entered into by any such party after the date of this Indenture, in each case, for the benefit of Deutsche Bank Trust Company Americas, in its capacity as collateral agent for the benefit of the Trustee, the Holders and any other Secured Parties (as defined therein), in each case, to secure the obligations under this Indenture and the Notes in accordance with the provisions of this Indenture and the Collateral Documents, as amended, amended and restated, supplemented or otherwise modified from time to time.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Default</w:t>
      </w:r>
      <w:r>
        <w:rPr>
          <w:rFonts w:ascii="Arial" w:cs="Arial" w:eastAsia="Arial" w:hAnsi="Arial"/>
          <w:sz w:val="19"/>
          <w:szCs w:val="19"/>
          <w:color w:val="auto"/>
        </w:rPr>
        <w:t>” means any event that is, or with the passage of time or the giving of notice or both would be, an Event of Default.</w:t>
      </w:r>
    </w:p>
    <w:p>
      <w:pPr>
        <w:spacing w:after="0" w:line="2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Definitive Note</w:t>
      </w:r>
      <w:r>
        <w:rPr>
          <w:rFonts w:ascii="Arial" w:cs="Arial" w:eastAsia="Arial" w:hAnsi="Arial"/>
          <w:sz w:val="21"/>
          <w:szCs w:val="21"/>
          <w:color w:val="auto"/>
        </w:rPr>
        <w:t>” means a certificated Note registered in the name of the Holder thereof and issued in accordance with Section 2.06 hereof, substantially in the form of Exhibit A-1 hereto except that such Note shall not bear the Global Note Legend and shall not have the “Schedule of Exchanges of Interest in the Global Note” attached thereto.</w:t>
      </w:r>
    </w:p>
    <w:p>
      <w:pPr>
        <w:spacing w:after="0" w:line="19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Depositary</w:t>
      </w:r>
      <w:r>
        <w:rPr>
          <w:rFonts w:ascii="Arial" w:cs="Arial" w:eastAsia="Arial" w:hAnsi="Arial"/>
          <w:sz w:val="22"/>
          <w:szCs w:val="22"/>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7" w:name="page28"/>
    <w:bookmarkEnd w:id="27"/>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Designated Officer</w:t>
      </w:r>
      <w:r>
        <w:rPr>
          <w:rFonts w:ascii="Arial" w:cs="Arial" w:eastAsia="Arial" w:hAnsi="Arial"/>
          <w:sz w:val="22"/>
          <w:szCs w:val="22"/>
          <w:color w:val="auto"/>
        </w:rPr>
        <w:t>” means, with respect to any Person, the Chairman of the Board, the Chief Executive Officer, the President, the Chief Operating Officer, the Chief Financial Officer, the Treasurer, any Assistant Treasurer, the Controller, the Secretary or any Vice-President of such Person.</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Disbursement Agent</w:t>
      </w:r>
      <w:r>
        <w:rPr>
          <w:rFonts w:ascii="Arial" w:cs="Arial" w:eastAsia="Arial" w:hAnsi="Arial"/>
          <w:sz w:val="21"/>
          <w:szCs w:val="21"/>
          <w:color w:val="auto"/>
        </w:rPr>
        <w:t>” means Deutsche Bank Trust Company Americas, in its capacity as the disbursement agent under the Disbursement Agreement and its successors in such capacity pursuant to the Disbursement Agreement.</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Disbursement Agreement</w:t>
      </w:r>
      <w:r>
        <w:rPr>
          <w:rFonts w:ascii="Arial" w:cs="Arial" w:eastAsia="Arial" w:hAnsi="Arial"/>
          <w:sz w:val="19"/>
          <w:szCs w:val="19"/>
          <w:color w:val="auto"/>
        </w:rPr>
        <w:t>” means the Amended and Restated Master Disbursement Agreement, dated as of October 25, 2007, among Wynn Las Vegas, a representative of the lenders under the Credit Agreement and the Disbursement Agent in connection with the Projects, as amended, modified or otherwise supplemented from time to time in accordance with its terms.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Discharge</w:t>
      </w:r>
      <w:r>
        <w:rPr>
          <w:rFonts w:ascii="Arial" w:cs="Arial" w:eastAsia="Arial" w:hAnsi="Arial"/>
          <w:sz w:val="22"/>
          <w:szCs w:val="22"/>
          <w:color w:val="auto"/>
        </w:rPr>
        <w:t>” has the meaning given in the Intercreditor Agreement.</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Disqualified Stock</w:t>
      </w:r>
      <w:r>
        <w:rPr>
          <w:rFonts w:ascii="Arial" w:cs="Arial" w:eastAsia="Arial" w:hAnsi="Arial"/>
          <w:sz w:val="19"/>
          <w:szCs w:val="19"/>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(1) any Capital Stock that would constitute Disqualified Stock solely because the holders of the Capital Stock have the right to require Wynn Las Vegas to repurchase such Capital Stock upon the occurrence of a ch ange of control or an asset sale shall not constitute Disqualified Stock if the terms of such Capital Stock provide that Wynn Las Vegas may not repurchase or redeem any such Capital Stock pursuant to such provisions unless such repurchase or redemption complies with Section 4.07 hereof and (2) any Capital Stock shall not constitute Disqualified Stock solely because it is required to be redeemed under applicable Gaming Laws. The amount of Disqualified Stock deemed to be outstanding at any time for purposes of this indenture shall be the maximum amount that Wynn Las Vegas and its Restricted Subsidiaries may become obligated to pay upon the maturity of, or pursuant to any mandatory redemption provisions of, such Disqualified Stock, exclusive of accrued dividends.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Domestic Subsidiary</w:t>
      </w:r>
      <w:r>
        <w:rPr>
          <w:rFonts w:ascii="Arial" w:cs="Arial" w:eastAsia="Arial" w:hAnsi="Arial"/>
          <w:sz w:val="22"/>
          <w:szCs w:val="22"/>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Encore at Wynn Las Vegas</w:t>
      </w:r>
      <w:r>
        <w:rPr>
          <w:rFonts w:ascii="Arial" w:cs="Arial" w:eastAsia="Arial" w:hAnsi="Arial"/>
          <w:sz w:val="22"/>
          <w:szCs w:val="22"/>
          <w:color w:val="auto"/>
        </w:rPr>
        <w:t>” means the hotel tower, casino facility and retail and convention space that is part of Wynn Las Vegas and called “Encore at Wynn Las Vegas.”</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Entertainment Facility</w:t>
      </w:r>
      <w:r>
        <w:rPr>
          <w:rFonts w:ascii="Arial" w:cs="Arial" w:eastAsia="Arial" w:hAnsi="Arial"/>
          <w:sz w:val="22"/>
          <w:szCs w:val="22"/>
          <w:color w:val="auto"/>
        </w:rPr>
        <w:t>” means a showroom or entertainment facility adjoining the Wynn Las Vegas Resort and connected directly to such hotel.</w:t>
      </w:r>
    </w:p>
    <w:p>
      <w:pPr>
        <w:spacing w:after="0" w:line="200"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Equity Interests</w:t>
      </w:r>
      <w:r>
        <w:rPr>
          <w:rFonts w:ascii="Arial" w:cs="Arial" w:eastAsia="Arial" w:hAnsi="Arial"/>
          <w:sz w:val="22"/>
          <w:szCs w:val="22"/>
          <w:color w:val="auto"/>
        </w:rPr>
        <w:t>” means Capital Stock and all warrants, options or other rights to acquire Capital Stock (but excluding any debt security that is convertible into, or exchangeable for, Capital Stock).</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Euroclear</w:t>
      </w:r>
      <w:r>
        <w:rPr>
          <w:rFonts w:ascii="Arial" w:cs="Arial" w:eastAsia="Arial" w:hAnsi="Arial"/>
          <w:sz w:val="22"/>
          <w:szCs w:val="22"/>
          <w:color w:val="auto"/>
        </w:rPr>
        <w:t>” means Euroclear Bank, S.A./N.V., as operator of the Euroclear system.</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 of Loss</w:t>
      </w:r>
      <w:r>
        <w:rPr>
          <w:rFonts w:ascii="Arial" w:cs="Arial" w:eastAsia="Arial" w:hAnsi="Arial"/>
          <w:sz w:val="22"/>
          <w:szCs w:val="22"/>
          <w:color w:val="auto"/>
        </w:rPr>
        <w:t>” means, with respect to any property or asset (tangible or intangible, real or personal), whether in respect of a single event or a series of related events, any of the following:</w:t>
      </w:r>
    </w:p>
    <w:p>
      <w:pPr>
        <w:spacing w:after="0" w:line="200" w:lineRule="exact"/>
        <w:rPr>
          <w:sz w:val="20"/>
          <w:szCs w:val="20"/>
          <w:color w:val="auto"/>
        </w:rPr>
      </w:pPr>
    </w:p>
    <w:p>
      <w:pPr>
        <w:ind w:left="2160" w:hanging="855"/>
        <w:spacing w:after="0"/>
        <w:tabs>
          <w:tab w:leader="none" w:pos="21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any loss, destruction or damage of such property or asset;</w:t>
      </w:r>
    </w:p>
    <w:p>
      <w:pPr>
        <w:spacing w:after="0" w:line="233" w:lineRule="exact"/>
        <w:rPr>
          <w:rFonts w:ascii="Arial" w:cs="Arial" w:eastAsia="Arial" w:hAnsi="Arial"/>
          <w:sz w:val="22"/>
          <w:szCs w:val="22"/>
          <w:color w:val="auto"/>
        </w:rPr>
      </w:pPr>
    </w:p>
    <w:p>
      <w:pPr>
        <w:ind w:right="20" w:firstLine="1305"/>
        <w:spacing w:after="0" w:line="328" w:lineRule="auto"/>
        <w:tabs>
          <w:tab w:leader="none" w:pos="2275"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132" w:lineRule="exact"/>
        <w:rPr>
          <w:rFonts w:ascii="Arial" w:cs="Arial" w:eastAsia="Arial" w:hAnsi="Arial"/>
          <w:sz w:val="19"/>
          <w:szCs w:val="19"/>
          <w:color w:val="auto"/>
        </w:rPr>
      </w:pPr>
    </w:p>
    <w:p>
      <w:pPr>
        <w:ind w:left="2160" w:hanging="855"/>
        <w:spacing w:after="0"/>
        <w:tabs>
          <w:tab w:leader="none" w:pos="21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any settlement in lieu of clause (2) above.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Notes</w:t>
      </w:r>
      <w:r>
        <w:rPr>
          <w:rFonts w:ascii="Arial" w:cs="Arial" w:eastAsia="Arial" w:hAnsi="Arial"/>
          <w:sz w:val="22"/>
          <w:szCs w:val="22"/>
          <w:color w:val="auto"/>
        </w:rPr>
        <w:t>” means the Notes issued in the Exchange Offer pursuant to Section 2.06(f)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Offer</w:t>
      </w:r>
      <w:r>
        <w:rPr>
          <w:rFonts w:ascii="Arial" w:cs="Arial" w:eastAsia="Arial" w:hAnsi="Arial"/>
          <w:sz w:val="22"/>
          <w:szCs w:val="22"/>
          <w:color w:val="auto"/>
        </w:rPr>
        <w:t>” has the meaning set forth in the Registration Rights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Offer Registration Statement</w:t>
      </w:r>
      <w:r>
        <w:rPr>
          <w:rFonts w:ascii="Arial" w:cs="Arial" w:eastAsia="Arial" w:hAnsi="Arial"/>
          <w:sz w:val="22"/>
          <w:szCs w:val="22"/>
          <w:color w:val="auto"/>
        </w:rPr>
        <w:t>” has the meaning set forth in the Registration Rights Agreement.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Existing Indebtedness</w:t>
      </w:r>
      <w:r>
        <w:rPr>
          <w:rFonts w:ascii="Arial" w:cs="Arial" w:eastAsia="Arial" w:hAnsi="Arial"/>
          <w:sz w:val="22"/>
          <w:szCs w:val="22"/>
          <w:color w:val="auto"/>
        </w:rPr>
        <w:t>” means Indebtedness of Wynn Las Vegas or its Subsidiaries (other than Indebtedness under the Credit Agreement) in existence on the date of this Indenture, until such amounts are repaid or redeemed after giving effect to the Exchange Offer.</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Existing Stockholders</w:t>
      </w:r>
      <w:r>
        <w:rPr>
          <w:rFonts w:ascii="Arial" w:cs="Arial" w:eastAsia="Arial" w:hAnsi="Arial"/>
          <w:sz w:val="22"/>
          <w:szCs w:val="22"/>
          <w:color w:val="auto"/>
        </w:rPr>
        <w:t>” means Stephen A. Wynn and Aruze, USA, Inc.</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Fair Market Value</w:t>
      </w:r>
      <w:r>
        <w:rPr>
          <w:rFonts w:ascii="Arial" w:cs="Arial" w:eastAsia="Arial" w:hAnsi="Arial"/>
          <w:sz w:val="21"/>
          <w:szCs w:val="21"/>
          <w:color w:val="auto"/>
        </w:rPr>
        <w:t>” means the value that would be paid by a willing buyer to an unaffiliated willing seller in a transaction not involving distress or necessity of either party, determined in good faith by (1) an appropriate officer of Wynn Las Vegas, in the case of any value equal to or less than $10.0 million or (2) the Board of Directors of Wynn Capital, in the event of any value greater than $10.0 million (in each case, unless otherwise provided in this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First Lien Secured Obligations</w:t>
      </w:r>
      <w:r>
        <w:rPr>
          <w:rFonts w:ascii="Arial" w:cs="Arial" w:eastAsia="Arial" w:hAnsi="Arial"/>
          <w:sz w:val="22"/>
          <w:szCs w:val="22"/>
          <w:color w:val="auto"/>
        </w:rPr>
        <w:t>” has the meaning given to such term in the Intercreditor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First Lien Secured Parties</w:t>
      </w:r>
      <w:r>
        <w:rPr>
          <w:rFonts w:ascii="Arial" w:cs="Arial" w:eastAsia="Arial" w:hAnsi="Arial"/>
          <w:sz w:val="22"/>
          <w:szCs w:val="22"/>
          <w:color w:val="auto"/>
        </w:rPr>
        <w:t>” has the meaning given to such term in the Intercreditor Agreement.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Fixed Charge Coverage Ratio</w:t>
      </w:r>
      <w:r>
        <w:rPr>
          <w:rFonts w:ascii="Arial" w:cs="Arial" w:eastAsia="Arial" w:hAnsi="Arial"/>
          <w:sz w:val="22"/>
          <w:szCs w:val="22"/>
          <w:color w:val="auto"/>
        </w:rPr>
        <w:t>” means with respect to any specified Person for any period, the ratio of the Consolidated Cash Flow of such Person for such period to the Fixed Charges of such Person for such period. In the event that the specified Person or any of its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29" w:name="page30"/>
    <w:bookmarkEnd w:id="29"/>
    <w:p>
      <w:pPr>
        <w:jc w:val="both"/>
        <w:spacing w:after="0" w:line="234" w:lineRule="auto"/>
        <w:rPr>
          <w:sz w:val="20"/>
          <w:szCs w:val="20"/>
          <w:color w:val="auto"/>
        </w:rPr>
      </w:pPr>
      <w:r>
        <w:rPr>
          <w:rFonts w:ascii="Arial" w:cs="Arial" w:eastAsia="Arial" w:hAnsi="Arial"/>
          <w:sz w:val="22"/>
          <w:szCs w:val="22"/>
          <w:color w:val="auto"/>
        </w:rPr>
        <w:t>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shall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 e beginning of the applicable four-quarter reference period.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addition, for purposes of calculating the Fixed Charge Coverage Ratio:</w:t>
      </w:r>
    </w:p>
    <w:p>
      <w:pPr>
        <w:spacing w:after="0" w:line="233" w:lineRule="exact"/>
        <w:rPr>
          <w:sz w:val="20"/>
          <w:szCs w:val="20"/>
          <w:color w:val="auto"/>
        </w:rPr>
      </w:pPr>
    </w:p>
    <w:p>
      <w:pPr>
        <w:jc w:val="both"/>
        <w:ind w:firstLine="1305"/>
        <w:spacing w:after="0" w:line="248" w:lineRule="auto"/>
        <w:tabs>
          <w:tab w:leader="none" w:pos="2263" w:val="left"/>
        </w:tabs>
        <w:numPr>
          <w:ilvl w:val="0"/>
          <w:numId w:val="21"/>
        </w:numPr>
        <w:rPr>
          <w:rFonts w:ascii="Arial" w:cs="Arial" w:eastAsia="Arial" w:hAnsi="Arial"/>
          <w:sz w:val="21"/>
          <w:szCs w:val="21"/>
          <w:color w:val="auto"/>
        </w:rPr>
      </w:pPr>
      <w:r>
        <w:rPr>
          <w:rFonts w:ascii="Arial" w:cs="Arial" w:eastAsia="Arial" w:hAnsi="Arial"/>
          <w:sz w:val="21"/>
          <w:szCs w:val="21"/>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shall be given pro forma effect (in accordance with Regulation S-X under the Securities Act) as if they had occurred on the first day of the four-quarter reference period;</w:t>
      </w:r>
    </w:p>
    <w:p>
      <w:pPr>
        <w:spacing w:after="0" w:line="204" w:lineRule="exact"/>
        <w:rPr>
          <w:rFonts w:ascii="Arial" w:cs="Arial" w:eastAsia="Arial" w:hAnsi="Arial"/>
          <w:sz w:val="21"/>
          <w:szCs w:val="21"/>
          <w:color w:val="auto"/>
        </w:rPr>
      </w:pPr>
    </w:p>
    <w:p>
      <w:pPr>
        <w:ind w:firstLine="1305"/>
        <w:spacing w:after="0" w:line="328" w:lineRule="auto"/>
        <w:tabs>
          <w:tab w:leader="none" w:pos="2356"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Consolidated Cash Flow attributable to discontinued operations, as determined in accordance with GAAP, and operations or businesses (and ownership interests therein) disposed of prior to the Calculation Date, shall be excluded;</w:t>
      </w:r>
    </w:p>
    <w:p>
      <w:pPr>
        <w:spacing w:after="0" w:line="132" w:lineRule="exact"/>
        <w:rPr>
          <w:rFonts w:ascii="Arial" w:cs="Arial" w:eastAsia="Arial" w:hAnsi="Arial"/>
          <w:sz w:val="19"/>
          <w:szCs w:val="19"/>
          <w:color w:val="auto"/>
        </w:rPr>
      </w:pPr>
    </w:p>
    <w:p>
      <w:pPr>
        <w:jc w:val="both"/>
        <w:ind w:firstLine="1305"/>
        <w:spacing w:after="0" w:line="238" w:lineRule="auto"/>
        <w:tabs>
          <w:tab w:leader="none" w:pos="2273"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Fixed Charges attributable to discontinued operations, as determined in accordance with GAAP, and operations or businesses (and ownership interests therein) disposed of prior to the Calculation Date, shall be excluded, but only to the extent that the obligations giving rise to such Fixed Charges shall not be obligations of the specified Person or any of its Restricted Subsidiaries following the Calculation Date;</w:t>
      </w:r>
    </w:p>
    <w:p>
      <w:pPr>
        <w:spacing w:after="0" w:line="212" w:lineRule="exact"/>
        <w:rPr>
          <w:rFonts w:ascii="Arial" w:cs="Arial" w:eastAsia="Arial" w:hAnsi="Arial"/>
          <w:sz w:val="22"/>
          <w:szCs w:val="22"/>
          <w:color w:val="auto"/>
        </w:rPr>
      </w:pPr>
    </w:p>
    <w:p>
      <w:pPr>
        <w:ind w:firstLine="1305"/>
        <w:spacing w:after="0" w:line="251" w:lineRule="auto"/>
        <w:tabs>
          <w:tab w:leader="none" w:pos="2472"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any Person that is a Restricted Subsidiary on the Calculation Date shall be deemed to have been a Restricted Subsidiary at all times during such four-quarter period;</w:t>
      </w:r>
    </w:p>
    <w:p>
      <w:pPr>
        <w:spacing w:after="0" w:line="200" w:lineRule="exact"/>
        <w:rPr>
          <w:rFonts w:ascii="Arial" w:cs="Arial" w:eastAsia="Arial" w:hAnsi="Arial"/>
          <w:sz w:val="22"/>
          <w:szCs w:val="22"/>
          <w:color w:val="auto"/>
        </w:rPr>
      </w:pPr>
    </w:p>
    <w:p>
      <w:pPr>
        <w:ind w:firstLine="1305"/>
        <w:spacing w:after="0" w:line="251" w:lineRule="auto"/>
        <w:tabs>
          <w:tab w:leader="none" w:pos="2207"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any Person that is not a Restricted Subsidiary on the Calculation Date shall be deemed not to have been a Restricted Subsidiary at any time during such four-quarter period; and</w:t>
      </w:r>
    </w:p>
    <w:p>
      <w:pPr>
        <w:spacing w:after="0" w:line="200" w:lineRule="exact"/>
        <w:rPr>
          <w:rFonts w:ascii="Arial" w:cs="Arial" w:eastAsia="Arial" w:hAnsi="Arial"/>
          <w:sz w:val="22"/>
          <w:szCs w:val="22"/>
          <w:color w:val="auto"/>
        </w:rPr>
      </w:pPr>
    </w:p>
    <w:p>
      <w:pPr>
        <w:jc w:val="both"/>
        <w:ind w:firstLine="1305"/>
        <w:spacing w:after="0" w:line="238" w:lineRule="auto"/>
        <w:tabs>
          <w:tab w:leader="none" w:pos="233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if any Indebtedness bears a floating rate of interest, the interest expense on such Indebtedness shall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Fixed Charges</w:t>
      </w:r>
      <w:r>
        <w:rPr>
          <w:rFonts w:ascii="Arial" w:cs="Arial" w:eastAsia="Arial" w:hAnsi="Arial"/>
          <w:sz w:val="22"/>
          <w:szCs w:val="22"/>
          <w:color w:val="auto"/>
        </w:rPr>
        <w:t>” means, with respect to any specified Person for any period, the sum, without duplication,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30" w:name="page31"/>
    <w:bookmarkEnd w:id="30"/>
    <w:p>
      <w:pPr>
        <w:jc w:val="both"/>
        <w:ind w:firstLine="1305"/>
        <w:spacing w:after="0" w:line="248" w:lineRule="auto"/>
        <w:tabs>
          <w:tab w:leader="none" w:pos="2256" w:val="left"/>
        </w:tabs>
        <w:numPr>
          <w:ilvl w:val="0"/>
          <w:numId w:val="22"/>
        </w:numPr>
        <w:rPr>
          <w:rFonts w:ascii="Arial" w:cs="Arial" w:eastAsia="Arial" w:hAnsi="Arial"/>
          <w:sz w:val="21"/>
          <w:szCs w:val="21"/>
          <w:color w:val="auto"/>
        </w:rPr>
      </w:pPr>
      <w:r>
        <w:rPr>
          <w:rFonts w:ascii="Arial" w:cs="Arial" w:eastAsia="Arial" w:hAnsi="Arial"/>
          <w:sz w:val="21"/>
          <w:szCs w:val="21"/>
          <w:color w:val="auto"/>
        </w:rPr>
        <w:t xml:space="preserve">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21"/>
          <w:szCs w:val="21"/>
          <w:i w:val="1"/>
          <w:iCs w:val="1"/>
          <w:color w:val="auto"/>
        </w:rPr>
        <w:t>plus</w:t>
      </w:r>
    </w:p>
    <w:p>
      <w:pPr>
        <w:spacing w:after="0" w:line="204" w:lineRule="exact"/>
        <w:rPr>
          <w:rFonts w:ascii="Arial" w:cs="Arial" w:eastAsia="Arial" w:hAnsi="Arial"/>
          <w:sz w:val="21"/>
          <w:szCs w:val="21"/>
          <w:color w:val="auto"/>
        </w:rPr>
      </w:pPr>
    </w:p>
    <w:p>
      <w:pPr>
        <w:ind w:left="2160" w:hanging="855"/>
        <w:spacing w:after="0"/>
        <w:tabs>
          <w:tab w:leader="none" w:pos="21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consolidated interest expense of such Person and its Restricted Subsidiaries that was capitalized during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such period; </w:t>
      </w:r>
      <w:r>
        <w:rPr>
          <w:rFonts w:ascii="Arial" w:cs="Arial" w:eastAsia="Arial" w:hAnsi="Arial"/>
          <w:sz w:val="22"/>
          <w:szCs w:val="22"/>
          <w:i w:val="1"/>
          <w:iCs w:val="1"/>
          <w:color w:val="auto"/>
        </w:rPr>
        <w:t>plus</w:t>
      </w:r>
    </w:p>
    <w:p>
      <w:pPr>
        <w:spacing w:after="0" w:line="215" w:lineRule="exact"/>
        <w:rPr>
          <w:rFonts w:ascii="Arial" w:cs="Arial" w:eastAsia="Arial" w:hAnsi="Arial"/>
          <w:sz w:val="19"/>
          <w:szCs w:val="19"/>
          <w:color w:val="auto"/>
        </w:rPr>
      </w:pPr>
    </w:p>
    <w:p>
      <w:pPr>
        <w:jc w:val="both"/>
        <w:ind w:firstLine="1305"/>
        <w:spacing w:after="0"/>
        <w:tabs>
          <w:tab w:leader="none" w:pos="2249" w:val="left"/>
        </w:tabs>
        <w:numPr>
          <w:ilvl w:val="0"/>
          <w:numId w:val="22"/>
        </w:numPr>
        <w:rPr>
          <w:rFonts w:ascii="Arial" w:cs="Arial" w:eastAsia="Arial" w:hAnsi="Arial"/>
          <w:sz w:val="22"/>
          <w:szCs w:val="22"/>
          <w:color w:val="auto"/>
        </w:rPr>
      </w:pPr>
      <w:r>
        <w:rPr>
          <w:rFonts w:ascii="Arial" w:cs="Arial" w:eastAsia="Arial" w:hAnsi="Arial"/>
          <w:sz w:val="22"/>
          <w:szCs w:val="22"/>
          <w:color w:val="auto"/>
        </w:rPr>
        <w:t xml:space="preserve">any interest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22"/>
          <w:szCs w:val="22"/>
          <w:i w:val="1"/>
          <w:iCs w:val="1"/>
          <w:color w:val="auto"/>
        </w:rPr>
        <w:t>plus</w:t>
      </w:r>
    </w:p>
    <w:p>
      <w:pPr>
        <w:spacing w:after="0" w:line="213" w:lineRule="exact"/>
        <w:rPr>
          <w:rFonts w:ascii="Arial" w:cs="Arial" w:eastAsia="Arial" w:hAnsi="Arial"/>
          <w:sz w:val="22"/>
          <w:szCs w:val="22"/>
          <w:color w:val="auto"/>
        </w:rPr>
      </w:pPr>
    </w:p>
    <w:p>
      <w:pPr>
        <w:jc w:val="both"/>
        <w:ind w:firstLine="1305"/>
        <w:spacing w:after="0" w:line="277" w:lineRule="auto"/>
        <w:tabs>
          <w:tab w:leader="none" w:pos="2361"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 sed as a decimal, in each case, determined on a consolidated basis in accordance with GAAP.</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GAAP</w:t>
      </w:r>
      <w:r>
        <w:rPr>
          <w:rFonts w:ascii="Arial" w:cs="Arial" w:eastAsia="Arial" w:hAnsi="Arial"/>
          <w:sz w:val="21"/>
          <w:szCs w:val="21"/>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this Indenture.</w:t>
      </w:r>
    </w:p>
    <w:p>
      <w:pPr>
        <w:spacing w:after="0" w:line="20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Gaming Authority</w:t>
      </w:r>
      <w:r>
        <w:rPr>
          <w:rFonts w:ascii="Arial" w:cs="Arial" w:eastAsia="Arial" w:hAnsi="Arial"/>
          <w:sz w:val="19"/>
          <w:szCs w:val="19"/>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now or 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Gaming Facility</w:t>
      </w:r>
      <w:r>
        <w:rPr>
          <w:rFonts w:ascii="Arial" w:cs="Arial" w:eastAsia="Arial" w:hAnsi="Arial"/>
          <w:sz w:val="22"/>
          <w:szCs w:val="22"/>
          <w:color w:val="auto"/>
        </w:rPr>
        <w:t>” means any building or other structure used or expected to be used to enclose space in which a gaming operation is conducted and (1) is wholly or partially owned, directly or indirectly, by Wynn Las Vegas or any Restricted Subsidiary or (2) any portion 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31" w:name="page32"/>
    <w:bookmarkEnd w:id="31"/>
    <w:p>
      <w:pPr>
        <w:jc w:val="both"/>
        <w:ind w:right="20"/>
        <w:spacing w:after="0" w:line="251" w:lineRule="auto"/>
        <w:rPr>
          <w:sz w:val="20"/>
          <w:szCs w:val="20"/>
          <w:color w:val="auto"/>
        </w:rPr>
      </w:pPr>
      <w:r>
        <w:rPr>
          <w:rFonts w:ascii="Arial" w:cs="Arial" w:eastAsia="Arial" w:hAnsi="Arial"/>
          <w:sz w:val="22"/>
          <w:szCs w:val="22"/>
          <w:color w:val="auto"/>
        </w:rPr>
        <w:t>aspect of which is managed or used, or expected to be managed or used, by Wynn Las Vegas or any Restricted Subsidiary or Guarantor.</w:t>
      </w:r>
    </w:p>
    <w:p>
      <w:pPr>
        <w:spacing w:after="0" w:line="20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Gaming Law</w:t>
      </w:r>
      <w:r>
        <w:rPr>
          <w:rFonts w:ascii="Arial" w:cs="Arial" w:eastAsia="Arial" w:hAnsi="Arial"/>
          <w:sz w:val="19"/>
          <w:szCs w:val="19"/>
          <w:color w:val="auto"/>
        </w:rPr>
        <w:t>” means the gaming laws, rules, regulations or ordinances of any jurisdiction or jurisdictions to which Wynn Las Vegas or any of the Restricted Subsidiaries or Guarantors is, or may be, at any time after the date of this Indenture, subject.</w:t>
      </w:r>
    </w:p>
    <w:p>
      <w:pPr>
        <w:spacing w:after="0" w:line="13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Gaming License</w:t>
      </w:r>
      <w:r>
        <w:rPr>
          <w:rFonts w:ascii="Arial" w:cs="Arial" w:eastAsia="Arial" w:hAnsi="Arial"/>
          <w:sz w:val="22"/>
          <w:szCs w:val="22"/>
          <w:color w:val="auto"/>
        </w:rPr>
        <w:t>” means any license, permit, franchise or other authorization from any Gaming Authority necessary on the date of this Indenture or at any time thereafter to own, lease, operate or otherwise conduct the gaming business of Wynn Las Vegas or any of the Restricted Subsidiaries or Guarantors.</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 Legend</w:t>
      </w:r>
      <w:r>
        <w:rPr>
          <w:rFonts w:ascii="Arial" w:cs="Arial" w:eastAsia="Arial" w:hAnsi="Arial"/>
          <w:sz w:val="22"/>
          <w:szCs w:val="22"/>
          <w:color w:val="auto"/>
        </w:rPr>
        <w:t>” means the legend set forth in Section 2.06(g)(2), which is required to be placed on all Global Notes issued under this Indenture.</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Notes</w:t>
      </w:r>
      <w:r>
        <w:rPr>
          <w:rFonts w:ascii="Arial" w:cs="Arial" w:eastAsia="Arial" w:hAnsi="Arial"/>
          <w:sz w:val="22"/>
          <w:szCs w:val="22"/>
          <w:color w:val="auto"/>
        </w:rPr>
        <w:t>” means each of the global Notes issued in accordance with Section 2.01 and substantially in the form of Exhibit A-1 attached hereto that, except as otherwise provided in Section 2.01(b) hereof, bear the Global Note Legend and that have the “Schedule of Exchanges of Interests in the Global Note” attached thereto, and that are deposited with or on behalf of and registered in the name of the Depositary.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Golf Course</w:t>
      </w:r>
      <w:r>
        <w:rPr>
          <w:rFonts w:ascii="Arial" w:cs="Arial" w:eastAsia="Arial" w:hAnsi="Arial"/>
          <w:sz w:val="22"/>
          <w:szCs w:val="22"/>
          <w:color w:val="auto"/>
        </w:rPr>
        <w:t>” means the 18-hole championship golf course located on the Golf Course Land.</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Golf Course Land</w:t>
      </w:r>
      <w:r>
        <w:rPr>
          <w:rFonts w:ascii="Arial" w:cs="Arial" w:eastAsia="Arial" w:hAnsi="Arial"/>
          <w:sz w:val="22"/>
          <w:szCs w:val="22"/>
          <w:color w:val="auto"/>
        </w:rPr>
        <w:t>” means that portion of the Project Site described in Exhibit Q-3 to the Disbursement Agreement designated as the Golf Course Land (both the fee interest and leasehold interest estates) in the Collateral Documents, together with all improvements thereon and all rights appurtenant thereto.</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Golf Course Lease</w:t>
      </w:r>
      <w:r>
        <w:rPr>
          <w:rFonts w:ascii="Arial" w:cs="Arial" w:eastAsia="Arial" w:hAnsi="Arial"/>
          <w:sz w:val="22"/>
          <w:szCs w:val="22"/>
          <w:color w:val="auto"/>
        </w:rPr>
        <w:t>” means the Golf Course Lease, dated as of December 14, 2004, between Wynn Golf, as lessor, and Wynn Las Vegas, as lessee, with respect to the lease of land on the Golf Course, as amended, modified or otherwise supplemented from time to time in any manner that is not in contravention of Section 4.22 hereof.</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Government Securities</w:t>
      </w:r>
      <w:r>
        <w:rPr>
          <w:rFonts w:ascii="Arial" w:cs="Arial" w:eastAsia="Arial" w:hAnsi="Arial"/>
          <w:sz w:val="22"/>
          <w:szCs w:val="22"/>
          <w:color w:val="auto"/>
        </w:rPr>
        <w:t>” means securities that are:</w:t>
      </w:r>
    </w:p>
    <w:p>
      <w:pPr>
        <w:spacing w:after="0" w:line="233" w:lineRule="exact"/>
        <w:rPr>
          <w:sz w:val="20"/>
          <w:szCs w:val="20"/>
          <w:color w:val="auto"/>
        </w:rPr>
      </w:pPr>
    </w:p>
    <w:p>
      <w:pPr>
        <w:ind w:left="2200" w:hanging="895"/>
        <w:spacing w:after="0"/>
        <w:tabs>
          <w:tab w:leader="none" w:pos="22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direct obligations of the United States of America for the timely payment of which its full faith and credit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is pledged; or</w:t>
      </w:r>
    </w:p>
    <w:p>
      <w:pPr>
        <w:spacing w:after="0" w:line="215" w:lineRule="exact"/>
        <w:rPr>
          <w:sz w:val="20"/>
          <w:szCs w:val="20"/>
          <w:color w:val="auto"/>
        </w:rPr>
      </w:pPr>
    </w:p>
    <w:p>
      <w:pPr>
        <w:jc w:val="both"/>
        <w:ind w:firstLine="1305"/>
        <w:spacing w:after="0"/>
        <w:tabs>
          <w:tab w:leader="none" w:pos="239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32" w:name="page33"/>
    <w:bookmarkEnd w:id="32"/>
    <w:p>
      <w:pPr>
        <w:jc w:val="both"/>
        <w:spacing w:after="0"/>
        <w:rPr>
          <w:sz w:val="20"/>
          <w:szCs w:val="20"/>
          <w:color w:val="auto"/>
        </w:rPr>
      </w:pPr>
      <w:r>
        <w:rPr>
          <w:rFonts w:ascii="Arial" w:cs="Arial" w:eastAsia="Arial" w:hAnsi="Arial"/>
          <w:sz w:val="22"/>
          <w:szCs w:val="22"/>
          <w:color w:val="auto"/>
        </w:rPr>
        <w:t>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Government Transfers</w:t>
      </w:r>
      <w:r>
        <w:rPr>
          <w:rFonts w:ascii="Arial" w:cs="Arial" w:eastAsia="Arial" w:hAnsi="Arial"/>
          <w:sz w:val="22"/>
          <w:szCs w:val="22"/>
          <w:color w:val="auto"/>
        </w:rPr>
        <w:t>” means:</w:t>
      </w:r>
    </w:p>
    <w:p>
      <w:pPr>
        <w:spacing w:after="0" w:line="233" w:lineRule="exact"/>
        <w:rPr>
          <w:sz w:val="20"/>
          <w:szCs w:val="20"/>
          <w:color w:val="auto"/>
        </w:rPr>
      </w:pPr>
    </w:p>
    <w:p>
      <w:pPr>
        <w:jc w:val="both"/>
        <w:ind w:firstLine="1305"/>
        <w:spacing w:after="0"/>
        <w:tabs>
          <w:tab w:leader="none" w:pos="2303"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213" w:lineRule="exact"/>
        <w:rPr>
          <w:rFonts w:ascii="Arial" w:cs="Arial" w:eastAsia="Arial" w:hAnsi="Arial"/>
          <w:sz w:val="22"/>
          <w:szCs w:val="22"/>
          <w:color w:val="auto"/>
        </w:rPr>
      </w:pPr>
    </w:p>
    <w:p>
      <w:pPr>
        <w:jc w:val="both"/>
        <w:ind w:firstLine="1305"/>
        <w:spacing w:after="0" w:line="235" w:lineRule="auto"/>
        <w:tabs>
          <w:tab w:leader="none" w:pos="2199"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Guarantee</w:t>
      </w:r>
      <w:r>
        <w:rPr>
          <w:rFonts w:ascii="Arial" w:cs="Arial" w:eastAsia="Arial" w:hAnsi="Arial"/>
          <w:sz w:val="22"/>
          <w:szCs w:val="22"/>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Guarantor</w:t>
      </w:r>
      <w:r>
        <w:rPr>
          <w:rFonts w:ascii="Arial" w:cs="Arial" w:eastAsia="Arial" w:hAnsi="Arial"/>
          <w:sz w:val="22"/>
          <w:szCs w:val="22"/>
          <w:color w:val="auto"/>
        </w:rPr>
        <w:t>” means each of:</w:t>
      </w:r>
    </w:p>
    <w:p>
      <w:pPr>
        <w:spacing w:after="0" w:line="233" w:lineRule="exact"/>
        <w:rPr>
          <w:sz w:val="20"/>
          <w:szCs w:val="20"/>
          <w:color w:val="auto"/>
        </w:rPr>
      </w:pPr>
    </w:p>
    <w:p>
      <w:pPr>
        <w:ind w:left="2160" w:hanging="855"/>
        <w:spacing w:after="0"/>
        <w:tabs>
          <w:tab w:leader="none" w:pos="2160"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Restricted Subsidiaries that are Domestic Subsidiaries, other than Immaterial Subsidiaries, and</w:t>
      </w:r>
    </w:p>
    <w:p>
      <w:pPr>
        <w:spacing w:after="0" w:line="244" w:lineRule="exact"/>
        <w:rPr>
          <w:rFonts w:ascii="Arial" w:cs="Arial" w:eastAsia="Arial" w:hAnsi="Arial"/>
          <w:sz w:val="21"/>
          <w:szCs w:val="21"/>
          <w:color w:val="auto"/>
        </w:rPr>
      </w:pPr>
    </w:p>
    <w:p>
      <w:pPr>
        <w:ind w:firstLine="1305"/>
        <w:spacing w:after="0" w:line="251" w:lineRule="auto"/>
        <w:tabs>
          <w:tab w:leader="none" w:pos="2206"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any other Person that provides a Guarantee by executing a supplemental indenture in accordance with the provisions of this Indenture,</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and, except to the extent the applicable Note Guarantee is released in accordance with the applicable provisions of this Indenture, their respective successors and assigns (other than the Issuers). A Person shall cease to be a Guarantor following the release of its Note Guarantee as described in Sections 11.05 and 11.06 hereof.</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Hedging Obligations</w:t>
      </w:r>
      <w:r>
        <w:rPr>
          <w:rFonts w:ascii="Arial" w:cs="Arial" w:eastAsia="Arial" w:hAnsi="Arial"/>
          <w:sz w:val="22"/>
          <w:szCs w:val="22"/>
          <w:color w:val="auto"/>
        </w:rPr>
        <w:t>” means, with respect to any specified Person, the obligations of such Person under:</w:t>
      </w:r>
    </w:p>
    <w:p>
      <w:pPr>
        <w:spacing w:after="0" w:line="233" w:lineRule="exact"/>
        <w:rPr>
          <w:sz w:val="20"/>
          <w:szCs w:val="20"/>
          <w:color w:val="auto"/>
        </w:rPr>
      </w:pPr>
    </w:p>
    <w:p>
      <w:pPr>
        <w:ind w:firstLine="1305"/>
        <w:spacing w:after="0" w:line="251" w:lineRule="auto"/>
        <w:tabs>
          <w:tab w:leader="none" w:pos="2253" w:val="left"/>
        </w:tabs>
        <w:numPr>
          <w:ilvl w:val="0"/>
          <w:numId w:val="27"/>
        </w:numPr>
        <w:rPr>
          <w:rFonts w:ascii="Arial" w:cs="Arial" w:eastAsia="Arial" w:hAnsi="Arial"/>
          <w:sz w:val="22"/>
          <w:szCs w:val="22"/>
          <w:color w:val="auto"/>
        </w:rPr>
      </w:pPr>
      <w:r>
        <w:rPr>
          <w:rFonts w:ascii="Arial" w:cs="Arial" w:eastAsia="Arial" w:hAnsi="Arial"/>
          <w:sz w:val="22"/>
          <w:szCs w:val="22"/>
          <w:color w:val="auto"/>
        </w:rPr>
        <w:t>interest rate swap agreements (whether from fixed to floating or from floating to fixed), interest rate cap agreements and interest rate collar agreements;</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33" w:name="page34"/>
    <w:bookmarkEnd w:id="33"/>
    <w:p>
      <w:pPr>
        <w:ind w:firstLine="1305"/>
        <w:spacing w:after="0" w:line="251" w:lineRule="auto"/>
        <w:tabs>
          <w:tab w:leader="none" w:pos="2511" w:val="left"/>
        </w:tabs>
        <w:numPr>
          <w:ilvl w:val="0"/>
          <w:numId w:val="28"/>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rates and/or commodity prices.</w:t>
      </w:r>
    </w:p>
    <w:p>
      <w:pPr>
        <w:spacing w:after="0" w:line="200"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means any registered holder, from time to time, of the Notes. Only registered holders shall have any rights under this Indenture.</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Home Site Land</w:t>
      </w:r>
      <w:r>
        <w:rPr>
          <w:rFonts w:ascii="Arial" w:cs="Arial" w:eastAsia="Arial" w:hAnsi="Arial"/>
          <w:sz w:val="22"/>
          <w:szCs w:val="22"/>
          <w:color w:val="auto"/>
        </w:rPr>
        <w:t>” means a tract of land (not to exceed 20 acres) located on the Golf Course Land where residential and non-gaming related developments may be built, after the release of the Trustee’s Liens (for the benefit of the Holders) thereon in accordance with Section 10.03(d) hereof.</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IAI Global Note</w:t>
      </w:r>
      <w:r>
        <w:rPr>
          <w:rFonts w:ascii="Arial" w:cs="Arial" w:eastAsia="Arial" w:hAnsi="Arial"/>
          <w:sz w:val="19"/>
          <w:szCs w:val="19"/>
          <w:color w:val="auto"/>
        </w:rPr>
        <w:t>” means a Global Note substantially in the form of Exhibit A-1 hereto bearing the Global Note Legend and the Private Placement Legend and deposited with or on behalf of and registered in the name of the Depositary or its nominee that shall be issued in a denomination equal to the outstanding principal amount of the Notes sold to Institutional Accredited Investors.</w:t>
      </w:r>
    </w:p>
    <w:p>
      <w:pPr>
        <w:spacing w:after="0" w:line="16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Immaterial Subsidiary</w:t>
      </w:r>
      <w:r>
        <w:rPr>
          <w:rFonts w:ascii="Arial" w:cs="Arial" w:eastAsia="Arial" w:hAnsi="Arial"/>
          <w:sz w:val="22"/>
          <w:szCs w:val="22"/>
          <w:color w:val="auto"/>
        </w:rPr>
        <w:t>” means, as of any date, any Restricted Subsidiary whose total assets, as of that date, are less than $500,000 and whose total revenues for the most recent 12-month period do not exceed $500,000; provided that a Restricted Subsidiary shall not be considered to be an Immaterial Subsidiary if it, directly or indirectly, guarantees or otherwise provides direct credit support for any Indebtedness of Wynn Las Vegas.</w:t>
      </w:r>
    </w:p>
    <w:p>
      <w:pPr>
        <w:spacing w:after="0" w:line="212"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Indebtedness</w:t>
      </w:r>
      <w:r>
        <w:rPr>
          <w:rFonts w:ascii="Arial" w:cs="Arial" w:eastAsia="Arial" w:hAnsi="Arial"/>
          <w:sz w:val="22"/>
          <w:szCs w:val="22"/>
          <w:color w:val="auto"/>
        </w:rPr>
        <w:t>” means, with respect to any specified Person, any indebtedness of such Person (excluding accrued expenses and trade payables), whether or not contingent:</w:t>
      </w:r>
    </w:p>
    <w:p>
      <w:pPr>
        <w:spacing w:after="0" w:line="200" w:lineRule="exact"/>
        <w:rPr>
          <w:sz w:val="20"/>
          <w:szCs w:val="20"/>
          <w:color w:val="auto"/>
        </w:rPr>
      </w:pPr>
    </w:p>
    <w:p>
      <w:pPr>
        <w:ind w:left="2160" w:hanging="855"/>
        <w:spacing w:after="0"/>
        <w:tabs>
          <w:tab w:leader="none" w:pos="21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 respect of borrowed money;</w:t>
      </w:r>
    </w:p>
    <w:p>
      <w:pPr>
        <w:spacing w:after="0" w:line="233" w:lineRule="exact"/>
        <w:rPr>
          <w:rFonts w:ascii="Arial" w:cs="Arial" w:eastAsia="Arial" w:hAnsi="Arial"/>
          <w:sz w:val="22"/>
          <w:szCs w:val="22"/>
          <w:color w:val="auto"/>
        </w:rPr>
      </w:pPr>
    </w:p>
    <w:p>
      <w:pPr>
        <w:ind w:right="20" w:firstLine="1305"/>
        <w:spacing w:after="0" w:line="251" w:lineRule="auto"/>
        <w:tabs>
          <w:tab w:leader="none" w:pos="2477" w:val="left"/>
        </w:tabs>
        <w:numPr>
          <w:ilvl w:val="0"/>
          <w:numId w:val="29"/>
        </w:numPr>
        <w:rPr>
          <w:rFonts w:ascii="Arial" w:cs="Arial" w:eastAsia="Arial" w:hAnsi="Arial"/>
          <w:sz w:val="22"/>
          <w:szCs w:val="22"/>
          <w:color w:val="auto"/>
        </w:rPr>
      </w:pPr>
      <w:r>
        <w:rPr>
          <w:rFonts w:ascii="Arial" w:cs="Arial" w:eastAsia="Arial" w:hAnsi="Arial"/>
          <w:sz w:val="22"/>
          <w:szCs w:val="22"/>
          <w:color w:val="auto"/>
        </w:rPr>
        <w:t>evidenced by bonds, notes, debentures or similar instruments or letters of credit (or reimbursement agreements in respect thereof);</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 respect of banker’s acceptances;</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representing Capital Lease Obligations or Attributable Debt;</w:t>
      </w:r>
    </w:p>
    <w:p>
      <w:pPr>
        <w:spacing w:after="0" w:line="233" w:lineRule="exact"/>
        <w:rPr>
          <w:rFonts w:ascii="Arial" w:cs="Arial" w:eastAsia="Arial" w:hAnsi="Arial"/>
          <w:sz w:val="22"/>
          <w:szCs w:val="22"/>
          <w:color w:val="auto"/>
        </w:rPr>
      </w:pPr>
    </w:p>
    <w:p>
      <w:pPr>
        <w:ind w:right="20" w:firstLine="1305"/>
        <w:spacing w:after="0" w:line="251" w:lineRule="auto"/>
        <w:tabs>
          <w:tab w:leader="none" w:pos="2258"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representing the balance deferred and unpaid of the purchase price of any property or services due more than six months after such property is acquired or such services are completed; or</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representing any Hedging Obligations,</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22"/>
          <w:szCs w:val="22"/>
          <w:color w:val="auto"/>
        </w:rPr>
        <w:t>The amount of any Indebtedness outstanding as of any date shall be:</w:t>
      </w:r>
    </w:p>
    <w:p>
      <w:pPr>
        <w:spacing w:after="0" w:line="233" w:lineRule="exact"/>
        <w:rPr>
          <w:sz w:val="20"/>
          <w:szCs w:val="20"/>
          <w:color w:val="auto"/>
        </w:rPr>
      </w:pPr>
    </w:p>
    <w:p>
      <w:pPr>
        <w:ind w:left="2160" w:hanging="855"/>
        <w:spacing w:after="0"/>
        <w:tabs>
          <w:tab w:leader="none" w:pos="21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accreted value of the Indebtedness, in the case of any Indebtedness issued with original issue discount;</w:t>
      </w:r>
    </w:p>
    <w:p>
      <w:pPr>
        <w:spacing w:after="0" w:line="267" w:lineRule="exact"/>
        <w:rPr>
          <w:rFonts w:ascii="Arial" w:cs="Arial" w:eastAsia="Arial" w:hAnsi="Arial"/>
          <w:sz w:val="19"/>
          <w:szCs w:val="19"/>
          <w:color w:val="auto"/>
        </w:rPr>
      </w:pPr>
    </w:p>
    <w:p>
      <w:pPr>
        <w:ind w:firstLine="1305"/>
        <w:spacing w:after="0" w:line="251" w:lineRule="auto"/>
        <w:tabs>
          <w:tab w:leader="none" w:pos="2209"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principal amount of the Indebtedness, together with any interest on the Indebtedness that is more than 30 days past due, in the case of any other Indebtedness;</w:t>
      </w:r>
    </w:p>
    <w:p>
      <w:pPr>
        <w:spacing w:after="0" w:line="200" w:lineRule="exact"/>
        <w:rPr>
          <w:rFonts w:ascii="Arial" w:cs="Arial" w:eastAsia="Arial" w:hAnsi="Arial"/>
          <w:sz w:val="22"/>
          <w:szCs w:val="22"/>
          <w:color w:val="auto"/>
        </w:rPr>
      </w:pPr>
    </w:p>
    <w:p>
      <w:pPr>
        <w:ind w:left="2280" w:hanging="975"/>
        <w:spacing w:after="0"/>
        <w:tabs>
          <w:tab w:leader="none" w:pos="22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 the case of a Guarantee of Indebtedness, the maximum amount of the Indebtedness guaranteed under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Guarantee; and</w:t>
      </w:r>
    </w:p>
    <w:p>
      <w:pPr>
        <w:spacing w:after="0" w:line="215" w:lineRule="exact"/>
        <w:rPr>
          <w:rFonts w:ascii="Arial" w:cs="Arial" w:eastAsia="Arial" w:hAnsi="Arial"/>
          <w:sz w:val="19"/>
          <w:szCs w:val="19"/>
          <w:color w:val="auto"/>
        </w:rPr>
      </w:pPr>
    </w:p>
    <w:p>
      <w:pPr>
        <w:ind w:left="2160" w:hanging="855"/>
        <w:spacing w:after="0"/>
        <w:tabs>
          <w:tab w:leader="none" w:pos="21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 the case of Indebtedness of others secured by a Lien on any asset of the specified Person, the lesser of:</w:t>
      </w:r>
    </w:p>
    <w:p>
      <w:pPr>
        <w:spacing w:after="0" w:line="267" w:lineRule="exact"/>
        <w:rPr>
          <w:rFonts w:ascii="Arial" w:cs="Arial" w:eastAsia="Arial" w:hAnsi="Arial"/>
          <w:sz w:val="19"/>
          <w:szCs w:val="19"/>
          <w:color w:val="auto"/>
        </w:rPr>
      </w:pPr>
    </w:p>
    <w:p>
      <w:pPr>
        <w:ind w:firstLine="2130"/>
        <w:spacing w:after="0" w:line="251" w:lineRule="auto"/>
        <w:tabs>
          <w:tab w:leader="none" w:pos="3335" w:val="left"/>
        </w:tabs>
        <w:numPr>
          <w:ilvl w:val="2"/>
          <w:numId w:val="30"/>
        </w:numPr>
        <w:rPr>
          <w:rFonts w:ascii="Arial" w:cs="Arial" w:eastAsia="Arial" w:hAnsi="Arial"/>
          <w:sz w:val="22"/>
          <w:szCs w:val="22"/>
          <w:color w:val="auto"/>
        </w:rPr>
      </w:pPr>
      <w:r>
        <w:rPr>
          <w:rFonts w:ascii="Arial" w:cs="Arial" w:eastAsia="Arial" w:hAnsi="Arial"/>
          <w:sz w:val="22"/>
          <w:szCs w:val="22"/>
          <w:color w:val="auto"/>
        </w:rPr>
        <w:t>the face amount of such Indebtedness (plus, in the case of any letter of credit or similar instrument, the amount of any reimbursement obligations in respect thereof), and</w:t>
      </w:r>
    </w:p>
    <w:p>
      <w:pPr>
        <w:spacing w:after="0" w:line="200" w:lineRule="exact"/>
        <w:rPr>
          <w:rFonts w:ascii="Arial" w:cs="Arial" w:eastAsia="Arial" w:hAnsi="Arial"/>
          <w:sz w:val="22"/>
          <w:szCs w:val="22"/>
          <w:color w:val="auto"/>
        </w:rPr>
      </w:pPr>
    </w:p>
    <w:p>
      <w:pPr>
        <w:ind w:left="2900" w:hanging="839"/>
        <w:spacing w:after="0"/>
        <w:tabs>
          <w:tab w:leader="none" w:pos="29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Fair Market Value of the asset(s) subject to such Lien.</w:t>
      </w:r>
    </w:p>
    <w:p>
      <w:pPr>
        <w:spacing w:after="0" w:line="233" w:lineRule="exact"/>
        <w:rPr>
          <w:sz w:val="20"/>
          <w:szCs w:val="20"/>
          <w:color w:val="auto"/>
        </w:rPr>
      </w:pPr>
    </w:p>
    <w:p>
      <w:pPr>
        <w:jc w:val="both"/>
        <w:ind w:left="660" w:right="20" w:firstLine="648"/>
        <w:spacing w:after="0"/>
        <w:rPr>
          <w:sz w:val="20"/>
          <w:szCs w:val="20"/>
          <w:color w:val="auto"/>
        </w:rPr>
      </w:pPr>
      <w:r>
        <w:rPr>
          <w:rFonts w:ascii="Arial" w:cs="Arial" w:eastAsia="Arial" w:hAnsi="Arial"/>
          <w:sz w:val="22"/>
          <w:szCs w:val="22"/>
          <w:color w:val="auto"/>
        </w:rPr>
        <w:t>Notwithstanding anything contained in this Indenture to the contrary, any obligation of the Issuers or the Restricted Subsidiaries incurred in the ordinary course of business in respect of casino chips or similar instruments shall not constitute “Indebtedness” for any purpose under this Indenture.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means this Indenture, as amended or supplemented from time to time.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Indirect Participant</w:t>
      </w:r>
      <w:r>
        <w:rPr>
          <w:rFonts w:ascii="Arial" w:cs="Arial" w:eastAsia="Arial" w:hAnsi="Arial"/>
          <w:sz w:val="22"/>
          <w:szCs w:val="22"/>
          <w:color w:val="auto"/>
        </w:rPr>
        <w:t>” means a Person who holds a beneficial interest in a Global Note through a Participant.</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Notes</w:t>
      </w:r>
      <w:r>
        <w:rPr>
          <w:rFonts w:ascii="Arial" w:cs="Arial" w:eastAsia="Arial" w:hAnsi="Arial"/>
          <w:sz w:val="22"/>
          <w:szCs w:val="22"/>
          <w:color w:val="auto"/>
        </w:rPr>
        <w:t>” means the first $382,010,000 aggregate principal amount of Notes issued under this Indenture on the date of this Indenture.</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Institutional Accredited Investor</w:t>
      </w:r>
      <w:r>
        <w:rPr>
          <w:rFonts w:ascii="Arial" w:cs="Arial" w:eastAsia="Arial" w:hAnsi="Arial"/>
          <w:sz w:val="22"/>
          <w:szCs w:val="22"/>
          <w:color w:val="auto"/>
        </w:rPr>
        <w:t>” means an institution that is an “accredited investor” as defined in Rule 501(a)(1), (2), (3) or (7) under the Securities Act, who are not also QIBs.</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Intercreditor Agreement</w:t>
      </w:r>
      <w:r>
        <w:rPr>
          <w:rFonts w:ascii="Arial" w:cs="Arial" w:eastAsia="Arial" w:hAnsi="Arial"/>
          <w:sz w:val="22"/>
          <w:szCs w:val="22"/>
          <w:color w:val="auto"/>
        </w:rPr>
        <w:t>” means the Intercreditor Agreement, dated as of December 14, 2004, among the trustee for the 2014 Notes, the trustee for the 2017 Notes, the Trustee, the administrative agent under the Credit Agreement, the Collateral Agent and the other parties thereto from time to time, as such agreement may be amended, modified, restated or supplemented in accordance with the terms of this Indenture.</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Investments</w:t>
      </w:r>
      <w:r>
        <w:rPr>
          <w:rFonts w:ascii="Arial" w:cs="Arial" w:eastAsia="Arial" w:hAnsi="Arial"/>
          <w:sz w:val="22"/>
          <w:szCs w:val="22"/>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35" w:name="page36"/>
    <w:bookmarkEnd w:id="35"/>
    <w:p>
      <w:pPr>
        <w:jc w:val="both"/>
        <w:spacing w:after="0" w:line="273" w:lineRule="auto"/>
        <w:rPr>
          <w:sz w:val="20"/>
          <w:szCs w:val="20"/>
          <w:color w:val="auto"/>
        </w:rPr>
      </w:pPr>
      <w:r>
        <w:rPr>
          <w:rFonts w:ascii="Arial" w:cs="Arial" w:eastAsia="Arial" w:hAnsi="Arial"/>
          <w:sz w:val="19"/>
          <w:szCs w:val="19"/>
          <w:color w:val="auto"/>
        </w:rPr>
        <w:t>or would be classified as investments on a balance sheet prepared in accordance with GAAP. If Wynn Las Vegas or any of the Restricted Subsidiaries sells or otherwise disposes of any Equity Interests of any direct or indirect Restricted Subsidiary of Wynn Las Vegas such that, after giving effect to any such sale or disposition, such Person is no longer a Restricted Subsidiary of Wynn Las Vegas, Wynn Las Vegas shall be deemed to have made an Investment on the date of any such sale or disposition equal to the Fair Market Value of Wynn Las Vegas’ Investments in such Restricted Subsidiary that were not sold or disposed of in an amount determined as provided in Section 4.07 hereof. The acquisition by Wynn Las Vegas or any of the Restricted Subsidiaries that holds an Investment in a third Person shall be deemed to be an Investmen t by Wynn Las Vegas or such Restricted Subsidiary in such third Person in an amount equal to the Fair Market Value of the Investments held by the acquired Person in such third Person in an amount determined as provided in Section 4.07 hereof. Except as otherwise provided in this Indenture, the amount of an Investment shall be determined at the time the Investment is made and without giving effect to subsequent changes in value.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Issuers</w:t>
      </w:r>
      <w:r>
        <w:rPr>
          <w:rFonts w:ascii="Arial" w:cs="Arial" w:eastAsia="Arial" w:hAnsi="Arial"/>
          <w:sz w:val="22"/>
          <w:szCs w:val="22"/>
          <w:color w:val="auto"/>
        </w:rPr>
        <w:t>” means Wynn Las Vegas and Wynn Capital.</w:t>
      </w:r>
    </w:p>
    <w:p>
      <w:pPr>
        <w:spacing w:after="0" w:line="23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Koval Land</w:t>
      </w:r>
      <w:r>
        <w:rPr>
          <w:rFonts w:ascii="Arial" w:cs="Arial" w:eastAsia="Arial" w:hAnsi="Arial"/>
          <w:sz w:val="22"/>
          <w:szCs w:val="22"/>
          <w:color w:val="auto"/>
        </w:rPr>
        <w:t>” means the approximately 18 acres of land located across from the Projects on Koval Lane and Sands Avenue, which is used for employee parking and other ancillary uses.</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Holiday</w:t>
      </w:r>
      <w:r>
        <w:rPr>
          <w:rFonts w:ascii="Arial" w:cs="Arial" w:eastAsia="Arial" w:hAnsi="Arial"/>
          <w:sz w:val="22"/>
          <w:szCs w:val="22"/>
          <w:color w:val="auto"/>
        </w:rPr>
        <w:t>”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Lien</w:t>
      </w:r>
      <w:r>
        <w:rPr>
          <w:rFonts w:ascii="Arial" w:cs="Arial" w:eastAsia="Arial" w:hAnsi="Arial"/>
          <w:sz w:val="22"/>
          <w:szCs w:val="22"/>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this Indenture.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Liquidated Damages</w:t>
      </w:r>
      <w:r>
        <w:rPr>
          <w:rFonts w:ascii="Arial" w:cs="Arial" w:eastAsia="Arial" w:hAnsi="Arial"/>
          <w:sz w:val="21"/>
          <w:szCs w:val="21"/>
          <w:color w:val="auto"/>
        </w:rPr>
        <w:t>” means all liquidated damages then owing pursuant to the Registration Rights Agreement.</w:t>
      </w:r>
    </w:p>
    <w:p>
      <w:pPr>
        <w:spacing w:after="0" w:line="24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Macau Project</w:t>
      </w:r>
      <w:r>
        <w:rPr>
          <w:rFonts w:ascii="Arial" w:cs="Arial" w:eastAsia="Arial" w:hAnsi="Arial"/>
          <w:sz w:val="22"/>
          <w:szCs w:val="22"/>
          <w:color w:val="auto"/>
        </w:rPr>
        <w:t>” means the casino and hotel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 together with the Encore project adjacent thereto.</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Management Agreement</w:t>
      </w:r>
      <w:r>
        <w:rPr>
          <w:rFonts w:ascii="Arial" w:cs="Arial" w:eastAsia="Arial" w:hAnsi="Arial"/>
          <w:sz w:val="22"/>
          <w:szCs w:val="22"/>
          <w:color w:val="auto"/>
        </w:rPr>
        <w:t>” means the Management Agreement, dated as of December 14, 2004, among Wynn Resorts, as manager, the Issuers and the Restricted Subsidiaries, as amended, modified or supplemented from time to time in any manner not in contravention of Section 4.22 hereof.</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36" w:name="page37"/>
    <w:bookmarkEnd w:id="36"/>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Management Fees</w:t>
      </w:r>
      <w:r>
        <w:rPr>
          <w:rFonts w:ascii="Arial" w:cs="Arial" w:eastAsia="Arial" w:hAnsi="Arial"/>
          <w:sz w:val="19"/>
          <w:szCs w:val="19"/>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6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Management Fees Subordination Agreement</w:t>
      </w:r>
      <w:r>
        <w:rPr>
          <w:rFonts w:ascii="Arial" w:cs="Arial" w:eastAsia="Arial" w:hAnsi="Arial"/>
          <w:sz w:val="22"/>
          <w:szCs w:val="22"/>
          <w:color w:val="auto"/>
        </w:rPr>
        <w:t>” means the Management Fees Subordination Agreement, dated as of the date of this Indenture, by and among Wynn Resorts, the Issuers, the Guarantors and the Trustee.</w:t>
      </w:r>
    </w:p>
    <w:p>
      <w:pPr>
        <w:spacing w:after="0" w:line="200"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Moody’s</w:t>
      </w:r>
      <w:r>
        <w:rPr>
          <w:rFonts w:ascii="Arial" w:cs="Arial" w:eastAsia="Arial" w:hAnsi="Arial"/>
          <w:sz w:val="19"/>
          <w:szCs w:val="19"/>
          <w:color w:val="auto"/>
        </w:rPr>
        <w:t>” means Moody’s Investors Service, Inc., or any successor to its statistical rating business, except that any reference to a particular rating by Moody’s shall be deemed to be a reference to the corresponding rating by any such successor.</w:t>
      </w:r>
    </w:p>
    <w:p>
      <w:pPr>
        <w:spacing w:after="0" w:line="13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Net Income</w:t>
      </w:r>
      <w:r>
        <w:rPr>
          <w:rFonts w:ascii="Arial" w:cs="Arial" w:eastAsia="Arial" w:hAnsi="Arial"/>
          <w:sz w:val="22"/>
          <w:szCs w:val="22"/>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215" w:lineRule="exact"/>
        <w:rPr>
          <w:sz w:val="20"/>
          <w:szCs w:val="20"/>
          <w:color w:val="auto"/>
        </w:rPr>
      </w:pPr>
    </w:p>
    <w:p>
      <w:pPr>
        <w:jc w:val="both"/>
        <w:ind w:firstLine="1305"/>
        <w:spacing w:after="0" w:line="297" w:lineRule="auto"/>
        <w:tabs>
          <w:tab w:leader="none" w:pos="2204" w:val="left"/>
        </w:tabs>
        <w:numPr>
          <w:ilvl w:val="0"/>
          <w:numId w:val="31"/>
        </w:numPr>
        <w:rPr>
          <w:rFonts w:ascii="Arial" w:cs="Arial" w:eastAsia="Arial" w:hAnsi="Arial"/>
          <w:sz w:val="19"/>
          <w:szCs w:val="19"/>
          <w:color w:val="auto"/>
        </w:rPr>
      </w:pPr>
      <w:r>
        <w:rPr>
          <w:rFonts w:ascii="Arial" w:cs="Arial" w:eastAsia="Arial" w:hAnsi="Arial"/>
          <w:sz w:val="19"/>
          <w:szCs w:val="19"/>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161" w:lineRule="exact"/>
        <w:rPr>
          <w:rFonts w:ascii="Arial" w:cs="Arial" w:eastAsia="Arial" w:hAnsi="Arial"/>
          <w:sz w:val="19"/>
          <w:szCs w:val="19"/>
          <w:color w:val="auto"/>
        </w:rPr>
      </w:pPr>
    </w:p>
    <w:p>
      <w:pPr>
        <w:ind w:left="2540" w:hanging="1235"/>
        <w:spacing w:after="0"/>
        <w:tabs>
          <w:tab w:leader="none" w:pos="2540" w:val="left"/>
        </w:tabs>
        <w:numPr>
          <w:ilvl w:val="0"/>
          <w:numId w:val="31"/>
        </w:numPr>
        <w:rPr>
          <w:rFonts w:ascii="Arial" w:cs="Arial" w:eastAsia="Arial" w:hAnsi="Arial"/>
          <w:sz w:val="21"/>
          <w:szCs w:val="21"/>
          <w:color w:val="auto"/>
        </w:rPr>
      </w:pPr>
      <w:r>
        <w:rPr>
          <w:rFonts w:ascii="Arial" w:cs="Arial" w:eastAsia="Arial" w:hAnsi="Arial"/>
          <w:sz w:val="21"/>
          <w:szCs w:val="21"/>
          <w:color w:val="auto"/>
        </w:rPr>
        <w:t>any extraordinary gain (or loss), together with any related provision for the Tax Amount on such</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extraordinary gain (or loss).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Net Loss Proceeds</w:t>
      </w:r>
      <w:r>
        <w:rPr>
          <w:rFonts w:ascii="Arial" w:cs="Arial" w:eastAsia="Arial" w:hAnsi="Arial"/>
          <w:sz w:val="22"/>
          <w:szCs w:val="22"/>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213" w:lineRule="exact"/>
        <w:rPr>
          <w:sz w:val="20"/>
          <w:szCs w:val="20"/>
          <w:color w:val="auto"/>
        </w:rPr>
      </w:pPr>
    </w:p>
    <w:p>
      <w:pPr>
        <w:ind w:firstLine="1305"/>
        <w:spacing w:after="0" w:line="251" w:lineRule="auto"/>
        <w:tabs>
          <w:tab w:leader="none" w:pos="2297"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direct costs in recovery of such Net Loss Proceeds (including, without limitation, legal, accounting, appraisal and insurance adjuster fees and any relocation expenses incurred as a result thereof),</w:t>
      </w:r>
    </w:p>
    <w:p>
      <w:pPr>
        <w:spacing w:after="0" w:line="200" w:lineRule="exact"/>
        <w:rPr>
          <w:rFonts w:ascii="Arial" w:cs="Arial" w:eastAsia="Arial" w:hAnsi="Arial"/>
          <w:sz w:val="22"/>
          <w:szCs w:val="22"/>
          <w:color w:val="auto"/>
        </w:rPr>
      </w:pPr>
    </w:p>
    <w:p>
      <w:pPr>
        <w:jc w:val="both"/>
        <w:ind w:firstLine="1305"/>
        <w:spacing w:after="0" w:line="236" w:lineRule="auto"/>
        <w:tabs>
          <w:tab w:leader="none" w:pos="2143" w:val="left"/>
        </w:tabs>
        <w:numPr>
          <w:ilvl w:val="0"/>
          <w:numId w:val="32"/>
        </w:numPr>
        <w:rPr>
          <w:rFonts w:ascii="Arial" w:cs="Arial" w:eastAsia="Arial" w:hAnsi="Arial"/>
          <w:sz w:val="22"/>
          <w:szCs w:val="22"/>
          <w:color w:val="auto"/>
        </w:rPr>
      </w:pPr>
      <w:r>
        <w:rPr>
          <w:rFonts w:ascii="Arial" w:cs="Arial" w:eastAsia="Arial" w:hAnsi="Arial"/>
          <w:sz w:val="22"/>
          <w:szCs w:val="22"/>
          <w:color w:val="auto"/>
        </w:rPr>
        <w:t>amounts required to be and actually applied to the repayment of Indebtedness (other than Indebtedness that is subordinated in right of payment to the Notes or the Note Guarantees) permitted under this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 as to the relative ranking of security interests, and</w:t>
      </w:r>
    </w:p>
    <w:p>
      <w:pPr>
        <w:spacing w:after="0" w:line="214" w:lineRule="exact"/>
        <w:rPr>
          <w:rFonts w:ascii="Arial" w:cs="Arial" w:eastAsia="Arial" w:hAnsi="Arial"/>
          <w:sz w:val="22"/>
          <w:szCs w:val="22"/>
          <w:color w:val="auto"/>
        </w:rPr>
      </w:pPr>
    </w:p>
    <w:p>
      <w:pPr>
        <w:ind w:left="2160" w:hanging="855"/>
        <w:spacing w:after="0"/>
        <w:tabs>
          <w:tab w:leader="none" w:pos="21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taxes or Tax Amount paid or payable as a result of the receipt of such cash proceeds.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37" w:name="page38"/>
    <w:bookmarkEnd w:id="37"/>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Net Proceeds</w:t>
      </w:r>
      <w:r>
        <w:rPr>
          <w:rFonts w:ascii="Arial" w:cs="Arial" w:eastAsia="Arial" w:hAnsi="Arial"/>
          <w:sz w:val="22"/>
          <w:szCs w:val="22"/>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spacing w:after="0" w:line="213" w:lineRule="exact"/>
        <w:rPr>
          <w:sz w:val="20"/>
          <w:szCs w:val="20"/>
          <w:color w:val="auto"/>
        </w:rPr>
      </w:pPr>
    </w:p>
    <w:p>
      <w:pPr>
        <w:jc w:val="both"/>
        <w:ind w:firstLine="1305"/>
        <w:spacing w:after="0" w:line="238" w:lineRule="auto"/>
        <w:tabs>
          <w:tab w:leader="none" w:pos="2178"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direct costs relating to such Asset Sale, including, without limitation, legal, accounting and investment banking fees, and sales commissions, and any relocation expenses incurred as a result of the Asset Sale and the provision for taxes or Tax Amount paid or payable as a result of the Asset Sale, in each case, after taking into account any available tax credits or deductions and any tax sharing arrangements,</w:t>
      </w:r>
    </w:p>
    <w:p>
      <w:pPr>
        <w:spacing w:after="0" w:line="212" w:lineRule="exact"/>
        <w:rPr>
          <w:rFonts w:ascii="Arial" w:cs="Arial" w:eastAsia="Arial" w:hAnsi="Arial"/>
          <w:sz w:val="22"/>
          <w:szCs w:val="22"/>
          <w:color w:val="auto"/>
        </w:rPr>
      </w:pPr>
    </w:p>
    <w:p>
      <w:pPr>
        <w:jc w:val="both"/>
        <w:ind w:firstLine="1305"/>
        <w:spacing w:after="0" w:line="236" w:lineRule="auto"/>
        <w:tabs>
          <w:tab w:leader="none" w:pos="2159" w:val="left"/>
        </w:tabs>
        <w:numPr>
          <w:ilvl w:val="0"/>
          <w:numId w:val="33"/>
        </w:numPr>
        <w:rPr>
          <w:rFonts w:ascii="Arial" w:cs="Arial" w:eastAsia="Arial" w:hAnsi="Arial"/>
          <w:sz w:val="22"/>
          <w:szCs w:val="22"/>
          <w:color w:val="auto"/>
        </w:rPr>
      </w:pPr>
      <w:r>
        <w:rPr>
          <w:rFonts w:ascii="Arial" w:cs="Arial" w:eastAsia="Arial" w:hAnsi="Arial"/>
          <w:sz w:val="22"/>
          <w:szCs w:val="22"/>
          <w:color w:val="auto"/>
        </w:rPr>
        <w:t>amounts, if any, required to be, and in fact, applied to the prepayment of Indebtedness permitted under this Indenture (other than Indebtedness that is subordinated in right of payment to the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214" w:lineRule="exact"/>
        <w:rPr>
          <w:rFonts w:ascii="Arial" w:cs="Arial" w:eastAsia="Arial" w:hAnsi="Arial"/>
          <w:sz w:val="22"/>
          <w:szCs w:val="22"/>
          <w:color w:val="auto"/>
        </w:rPr>
      </w:pPr>
    </w:p>
    <w:p>
      <w:pPr>
        <w:ind w:left="2160" w:hanging="855"/>
        <w:spacing w:after="0"/>
        <w:tabs>
          <w:tab w:leader="none" w:pos="21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reserve for adjustment in respect of the sale price of such asset or assets established in accordance with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GAAP.</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Net Revenues</w:t>
      </w:r>
      <w:r>
        <w:rPr>
          <w:rFonts w:ascii="Arial" w:cs="Arial" w:eastAsia="Arial" w:hAnsi="Arial"/>
          <w:sz w:val="19"/>
          <w:szCs w:val="19"/>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Nevada Gaming Control Act</w:t>
      </w:r>
      <w:r>
        <w:rPr>
          <w:rFonts w:ascii="Arial" w:cs="Arial" w:eastAsia="Arial" w:hAnsi="Arial"/>
          <w:sz w:val="22"/>
          <w:szCs w:val="22"/>
          <w:color w:val="auto"/>
        </w:rPr>
        <w:t>” means Chapter 463 of the Nevada Revised Statutes.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Non-Recourse Debt</w:t>
      </w:r>
      <w:r>
        <w:rPr>
          <w:rFonts w:ascii="Arial" w:cs="Arial" w:eastAsia="Arial" w:hAnsi="Arial"/>
          <w:sz w:val="22"/>
          <w:szCs w:val="22"/>
          <w:color w:val="auto"/>
        </w:rPr>
        <w:t>” means Indebtedness:</w:t>
      </w:r>
    </w:p>
    <w:p>
      <w:pPr>
        <w:spacing w:after="0" w:line="233" w:lineRule="exact"/>
        <w:rPr>
          <w:sz w:val="20"/>
          <w:szCs w:val="20"/>
          <w:color w:val="auto"/>
        </w:rPr>
      </w:pPr>
    </w:p>
    <w:p>
      <w:pPr>
        <w:jc w:val="both"/>
        <w:ind w:firstLine="1305"/>
        <w:spacing w:after="0" w:line="238" w:lineRule="auto"/>
        <w:tabs>
          <w:tab w:leader="none" w:pos="2265" w:val="left"/>
        </w:tabs>
        <w:numPr>
          <w:ilvl w:val="0"/>
          <w:numId w:val="34"/>
        </w:numPr>
        <w:rPr>
          <w:rFonts w:ascii="Arial" w:cs="Arial" w:eastAsia="Arial" w:hAnsi="Arial"/>
          <w:sz w:val="22"/>
          <w:szCs w:val="22"/>
          <w:color w:val="auto"/>
        </w:rPr>
      </w:pPr>
      <w:r>
        <w:rPr>
          <w:rFonts w:ascii="Arial" w:cs="Arial" w:eastAsia="Arial" w:hAnsi="Arial"/>
          <w:sz w:val="22"/>
          <w:szCs w:val="22"/>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212" w:lineRule="exact"/>
        <w:rPr>
          <w:rFonts w:ascii="Arial" w:cs="Arial" w:eastAsia="Arial" w:hAnsi="Arial"/>
          <w:sz w:val="22"/>
          <w:szCs w:val="22"/>
          <w:color w:val="auto"/>
        </w:rPr>
      </w:pPr>
    </w:p>
    <w:p>
      <w:pPr>
        <w:jc w:val="both"/>
        <w:ind w:firstLine="1305"/>
        <w:spacing w:after="0" w:line="287" w:lineRule="auto"/>
        <w:tabs>
          <w:tab w:leader="none" w:pos="2302" w:val="left"/>
        </w:tabs>
        <w:numPr>
          <w:ilvl w:val="0"/>
          <w:numId w:val="34"/>
        </w:numPr>
        <w:rPr>
          <w:rFonts w:ascii="Arial" w:cs="Arial" w:eastAsia="Arial" w:hAnsi="Arial"/>
          <w:sz w:val="19"/>
          <w:szCs w:val="19"/>
          <w:color w:val="auto"/>
        </w:rPr>
      </w:pPr>
      <w:r>
        <w:rPr>
          <w:rFonts w:ascii="Arial" w:cs="Arial" w:eastAsia="Arial" w:hAnsi="Arial"/>
          <w:sz w:val="19"/>
          <w:szCs w:val="19"/>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170" w:lineRule="exact"/>
        <w:rPr>
          <w:rFonts w:ascii="Arial" w:cs="Arial" w:eastAsia="Arial" w:hAnsi="Arial"/>
          <w:sz w:val="19"/>
          <w:szCs w:val="19"/>
          <w:color w:val="auto"/>
        </w:rPr>
      </w:pPr>
    </w:p>
    <w:p>
      <w:pPr>
        <w:jc w:val="both"/>
        <w:ind w:firstLine="1305"/>
        <w:spacing w:after="0" w:line="258" w:lineRule="auto"/>
        <w:tabs>
          <w:tab w:leader="none" w:pos="2229" w:val="left"/>
        </w:tabs>
        <w:numPr>
          <w:ilvl w:val="0"/>
          <w:numId w:val="34"/>
        </w:numPr>
        <w:rPr>
          <w:rFonts w:ascii="Arial" w:cs="Arial" w:eastAsia="Arial" w:hAnsi="Arial"/>
          <w:sz w:val="21"/>
          <w:szCs w:val="21"/>
          <w:color w:val="auto"/>
        </w:rPr>
      </w:pPr>
      <w:r>
        <w:rPr>
          <w:rFonts w:ascii="Arial" w:cs="Arial" w:eastAsia="Arial" w:hAnsi="Arial"/>
          <w:sz w:val="21"/>
          <w:szCs w:val="21"/>
          <w:color w:val="auto"/>
        </w:rPr>
        <w:t>as to which the lenders have been notified in writing that they shall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Non-U.S. Person</w:t>
      </w:r>
      <w:r>
        <w:rPr>
          <w:rFonts w:ascii="Arial" w:cs="Arial" w:eastAsia="Arial" w:hAnsi="Arial"/>
          <w:sz w:val="22"/>
          <w:szCs w:val="22"/>
          <w:color w:val="auto"/>
        </w:rPr>
        <w:t>” means a Person who is not a U.S. Person.</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 Guarantee</w:t>
      </w:r>
      <w:r>
        <w:rPr>
          <w:rFonts w:ascii="Arial" w:cs="Arial" w:eastAsia="Arial" w:hAnsi="Arial"/>
          <w:sz w:val="22"/>
          <w:szCs w:val="22"/>
          <w:color w:val="auto"/>
        </w:rPr>
        <w:t>” means the Guarantee, by each Guarantor of the Issuers’ obligations under this Indenture and the Notes, executed pursuant to the provisions of this Indenture.</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Notes</w:t>
      </w:r>
      <w:r>
        <w:rPr>
          <w:rFonts w:ascii="Arial" w:cs="Arial" w:eastAsia="Arial" w:hAnsi="Arial"/>
          <w:sz w:val="22"/>
          <w:szCs w:val="22"/>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21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Obligations</w:t>
      </w:r>
      <w:r>
        <w:rPr>
          <w:rFonts w:ascii="Arial" w:cs="Arial" w:eastAsia="Arial" w:hAnsi="Arial"/>
          <w:sz w:val="22"/>
          <w:szCs w:val="22"/>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w:t>
      </w:r>
      <w:r>
        <w:rPr>
          <w:rFonts w:ascii="Arial" w:cs="Arial" w:eastAsia="Arial" w:hAnsi="Arial"/>
          <w:sz w:val="22"/>
          <w:szCs w:val="22"/>
          <w:color w:val="auto"/>
        </w:rPr>
        <w:t>” means:</w:t>
      </w:r>
    </w:p>
    <w:p>
      <w:pPr>
        <w:spacing w:after="0" w:line="233" w:lineRule="exact"/>
        <w:rPr>
          <w:sz w:val="20"/>
          <w:szCs w:val="20"/>
          <w:color w:val="auto"/>
        </w:rPr>
      </w:pPr>
    </w:p>
    <w:p>
      <w:pPr>
        <w:ind w:left="2160" w:hanging="855"/>
        <w:spacing w:after="0"/>
        <w:tabs>
          <w:tab w:leader="none" w:pos="21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with respect to a corporation, a Designated Officer of such corporation;</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35"/>
        </w:numPr>
        <w:rPr>
          <w:rFonts w:ascii="Arial" w:cs="Arial" w:eastAsia="Arial" w:hAnsi="Arial"/>
          <w:sz w:val="21"/>
          <w:szCs w:val="21"/>
          <w:color w:val="auto"/>
        </w:rPr>
      </w:pPr>
      <w:r>
        <w:rPr>
          <w:rFonts w:ascii="Arial" w:cs="Arial" w:eastAsia="Arial" w:hAnsi="Arial"/>
          <w:sz w:val="21"/>
          <w:szCs w:val="21"/>
          <w:color w:val="auto"/>
        </w:rPr>
        <w:t>with respect to a partnership, a Designated Officer of the general partner of such partnership; and</w:t>
      </w:r>
    </w:p>
    <w:p>
      <w:pPr>
        <w:spacing w:after="0" w:line="244" w:lineRule="exact"/>
        <w:rPr>
          <w:rFonts w:ascii="Arial" w:cs="Arial" w:eastAsia="Arial" w:hAnsi="Arial"/>
          <w:sz w:val="21"/>
          <w:szCs w:val="21"/>
          <w:color w:val="auto"/>
        </w:rPr>
      </w:pPr>
    </w:p>
    <w:p>
      <w:pPr>
        <w:jc w:val="both"/>
        <w:ind w:firstLine="1305"/>
        <w:spacing w:after="0"/>
        <w:tabs>
          <w:tab w:leader="none" w:pos="2291" w:val="left"/>
        </w:tabs>
        <w:numPr>
          <w:ilvl w:val="0"/>
          <w:numId w:val="35"/>
        </w:numPr>
        <w:rPr>
          <w:rFonts w:ascii="Arial" w:cs="Arial" w:eastAsia="Arial" w:hAnsi="Arial"/>
          <w:sz w:val="22"/>
          <w:szCs w:val="22"/>
          <w:color w:val="auto"/>
        </w:rPr>
      </w:pPr>
      <w:r>
        <w:rPr>
          <w:rFonts w:ascii="Arial" w:cs="Arial" w:eastAsia="Arial" w:hAnsi="Arial"/>
          <w:sz w:val="22"/>
          <w:szCs w:val="22"/>
          <w:color w:val="auto"/>
        </w:rPr>
        <w:t>with respect to a limited liability company, a Designated Officer of such limited liability company, or a Designated Officer of the manager or managing member of such limited liability company, as the case may be (or, if such manager or managing member is an individual, such individual).</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Officers’ Certificate</w:t>
      </w:r>
      <w:r>
        <w:rPr>
          <w:rFonts w:ascii="Arial" w:cs="Arial" w:eastAsia="Arial" w:hAnsi="Arial"/>
          <w:sz w:val="22"/>
          <w:szCs w:val="22"/>
          <w:color w:val="auto"/>
        </w:rPr>
        <w:t>” means, with respect to any Person, a certificate signed on behalf of such Person by:</w:t>
      </w:r>
    </w:p>
    <w:p>
      <w:pPr>
        <w:spacing w:after="0" w:line="233" w:lineRule="exact"/>
        <w:rPr>
          <w:sz w:val="20"/>
          <w:szCs w:val="20"/>
          <w:color w:val="auto"/>
        </w:rPr>
      </w:pPr>
    </w:p>
    <w:p>
      <w:pPr>
        <w:ind w:left="2160" w:hanging="855"/>
        <w:spacing w:after="0"/>
        <w:tabs>
          <w:tab w:leader="none" w:pos="21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with respect to a corporation, two Designated Officers of such corporation;</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with respect to a partnership, two Designated Officers of the general partner of such partnership; and</w:t>
      </w:r>
    </w:p>
    <w:p>
      <w:pPr>
        <w:spacing w:after="0" w:line="267" w:lineRule="exact"/>
        <w:rPr>
          <w:rFonts w:ascii="Arial" w:cs="Arial" w:eastAsia="Arial" w:hAnsi="Arial"/>
          <w:sz w:val="19"/>
          <w:szCs w:val="19"/>
          <w:color w:val="auto"/>
        </w:rPr>
      </w:pPr>
    </w:p>
    <w:p>
      <w:pPr>
        <w:ind w:firstLine="1305"/>
        <w:spacing w:after="0" w:line="328" w:lineRule="auto"/>
        <w:tabs>
          <w:tab w:leader="none" w:pos="2206" w:val="left"/>
        </w:tabs>
        <w:numPr>
          <w:ilvl w:val="0"/>
          <w:numId w:val="36"/>
        </w:numPr>
        <w:rPr>
          <w:rFonts w:ascii="Arial" w:cs="Arial" w:eastAsia="Arial" w:hAnsi="Arial"/>
          <w:sz w:val="19"/>
          <w:szCs w:val="19"/>
          <w:color w:val="auto"/>
        </w:rPr>
      </w:pPr>
      <w:r>
        <w:rPr>
          <w:rFonts w:ascii="Arial" w:cs="Arial" w:eastAsia="Arial" w:hAnsi="Arial"/>
          <w:sz w:val="19"/>
          <w:szCs w:val="19"/>
          <w:color w:val="auto"/>
        </w:rPr>
        <w:t>with respect to a limited liability company, two Designated Officers of the manager or managing member of such limited liability company, as the case may be (or, if such manager or managing member is an individual, such individual),</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each case, that meets the requirement of Section 14.05 hereof.</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Opinion of Counsel</w:t>
      </w:r>
      <w:r>
        <w:rPr>
          <w:rFonts w:ascii="Arial" w:cs="Arial" w:eastAsia="Arial" w:hAnsi="Arial"/>
          <w:sz w:val="22"/>
          <w:szCs w:val="22"/>
          <w:color w:val="auto"/>
        </w:rPr>
        <w:t>” means an opinion from legal counsel who is reasonably acceptable to the Trustee, that meets the requirements of Section 14.05 hereof. The counsel may be an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employee of or counsel to Wynn Las Vegas, any of the Restricted Subsidiaries as the case may be, or the Trustee.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Parent</w:t>
      </w:r>
      <w:r>
        <w:rPr>
          <w:rFonts w:ascii="Arial" w:cs="Arial" w:eastAsia="Arial" w:hAnsi="Arial"/>
          <w:sz w:val="22"/>
          <w:szCs w:val="22"/>
          <w:color w:val="auto"/>
        </w:rPr>
        <w:t>” means Wynn Resorts.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Pari Passu Debt</w:t>
      </w:r>
      <w:r>
        <w:rPr>
          <w:rFonts w:ascii="Arial" w:cs="Arial" w:eastAsia="Arial" w:hAnsi="Arial"/>
          <w:sz w:val="22"/>
          <w:szCs w:val="22"/>
          <w:color w:val="auto"/>
        </w:rPr>
        <w:t>” means any Indebtedness, other than Indebtedness incurred under the Credit Agreement, that is pari passu with the Notes containing provisions similar to those set forth in this Indenture with respect to offers to purchase or redeem with the proceeds of sales of assets or Events of Loss.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Participant</w:t>
      </w:r>
      <w:r>
        <w:rPr>
          <w:rFonts w:ascii="Arial" w:cs="Arial" w:eastAsia="Arial" w:hAnsi="Arial"/>
          <w:sz w:val="22"/>
          <w:szCs w:val="22"/>
          <w:color w:val="auto"/>
        </w:rPr>
        <w:t>” means, with respect to the Depositary, a Person who has an account with the Depositary.</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Pass Through Entity</w:t>
      </w:r>
      <w:r>
        <w:rPr>
          <w:rFonts w:ascii="Arial" w:cs="Arial" w:eastAsia="Arial" w:hAnsi="Arial"/>
          <w:sz w:val="21"/>
          <w:szCs w:val="21"/>
          <w:color w:val="auto"/>
        </w:rPr>
        <w:t>” means any of (1) a grantor trust for United States federal or state income tax purposes or (2) an entity treated as a partnership or a disregarded entity for United States federal or state income tax purposes.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Business</w:t>
      </w:r>
      <w:r>
        <w:rPr>
          <w:rFonts w:ascii="Arial" w:cs="Arial" w:eastAsia="Arial" w:hAnsi="Arial"/>
          <w:sz w:val="22"/>
          <w:szCs w:val="22"/>
          <w:color w:val="auto"/>
        </w:rPr>
        <w:t>” means:</w:t>
      </w:r>
    </w:p>
    <w:p>
      <w:pPr>
        <w:spacing w:after="0" w:line="233" w:lineRule="exact"/>
        <w:rPr>
          <w:sz w:val="20"/>
          <w:szCs w:val="20"/>
          <w:color w:val="auto"/>
        </w:rPr>
      </w:pPr>
    </w:p>
    <w:p>
      <w:pPr>
        <w:ind w:left="2160" w:hanging="855"/>
        <w:spacing w:after="0"/>
        <w:tabs>
          <w:tab w:leader="none" w:pos="21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gaming business;</w:t>
      </w:r>
    </w:p>
    <w:p>
      <w:pPr>
        <w:spacing w:after="0" w:line="233" w:lineRule="exact"/>
        <w:rPr>
          <w:rFonts w:ascii="Arial" w:cs="Arial" w:eastAsia="Arial" w:hAnsi="Arial"/>
          <w:sz w:val="22"/>
          <w:szCs w:val="22"/>
          <w:color w:val="auto"/>
        </w:rPr>
      </w:pPr>
    </w:p>
    <w:p>
      <w:pPr>
        <w:ind w:firstLine="1305"/>
        <w:spacing w:after="0" w:line="274" w:lineRule="auto"/>
        <w:tabs>
          <w:tab w:leader="none" w:pos="2220" w:val="left"/>
        </w:tabs>
        <w:numPr>
          <w:ilvl w:val="0"/>
          <w:numId w:val="37"/>
        </w:numPr>
        <w:rPr>
          <w:rFonts w:ascii="Arial" w:cs="Arial" w:eastAsia="Arial" w:hAnsi="Arial"/>
          <w:sz w:val="21"/>
          <w:szCs w:val="21"/>
          <w:color w:val="auto"/>
        </w:rPr>
      </w:pPr>
      <w:r>
        <w:rPr>
          <w:rFonts w:ascii="Arial" w:cs="Arial" w:eastAsia="Arial" w:hAnsi="Arial"/>
          <w:sz w:val="21"/>
          <w:szCs w:val="21"/>
          <w:color w:val="auto"/>
        </w:rPr>
        <w:t>all businesses whether or not licensed by a Gaming Authority which are necessary for, incident to, useful to, arising out of, supportive of or connected to the development, ownership or operation of a Gaming Facility;</w:t>
      </w:r>
    </w:p>
    <w:p>
      <w:pPr>
        <w:spacing w:after="0" w:line="177" w:lineRule="exact"/>
        <w:rPr>
          <w:rFonts w:ascii="Arial" w:cs="Arial" w:eastAsia="Arial" w:hAnsi="Arial"/>
          <w:sz w:val="21"/>
          <w:szCs w:val="21"/>
          <w:color w:val="auto"/>
        </w:rPr>
      </w:pPr>
    </w:p>
    <w:p>
      <w:pPr>
        <w:jc w:val="both"/>
        <w:ind w:firstLine="1305"/>
        <w:spacing w:after="0" w:line="236" w:lineRule="auto"/>
        <w:tabs>
          <w:tab w:leader="none" w:pos="2291" w:val="left"/>
        </w:tabs>
        <w:numPr>
          <w:ilvl w:val="0"/>
          <w:numId w:val="37"/>
        </w:numPr>
        <w:rPr>
          <w:rFonts w:ascii="Arial" w:cs="Arial" w:eastAsia="Arial" w:hAnsi="Arial"/>
          <w:sz w:val="22"/>
          <w:szCs w:val="22"/>
          <w:color w:val="auto"/>
        </w:rPr>
      </w:pPr>
      <w:r>
        <w:rPr>
          <w:rFonts w:ascii="Arial" w:cs="Arial" w:eastAsia="Arial" w:hAnsi="Arial"/>
          <w:sz w:val="22"/>
          <w:szCs w:val="22"/>
          <w:color w:val="auto"/>
        </w:rPr>
        <w:t>any development, construction, ownership or operation of lodging (including (i) any timeshare, interval ownership or similar development or (ii) 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214" w:lineRule="exact"/>
        <w:rPr>
          <w:rFonts w:ascii="Arial" w:cs="Arial" w:eastAsia="Arial" w:hAnsi="Arial"/>
          <w:sz w:val="22"/>
          <w:szCs w:val="22"/>
          <w:color w:val="auto"/>
        </w:rPr>
      </w:pPr>
    </w:p>
    <w:p>
      <w:pPr>
        <w:ind w:firstLine="1305"/>
        <w:spacing w:after="0" w:line="251" w:lineRule="auto"/>
        <w:tabs>
          <w:tab w:leader="none" w:pos="2545" w:val="left"/>
        </w:tabs>
        <w:numPr>
          <w:ilvl w:val="0"/>
          <w:numId w:val="37"/>
        </w:numPr>
        <w:rPr>
          <w:rFonts w:ascii="Arial" w:cs="Arial" w:eastAsia="Arial" w:hAnsi="Arial"/>
          <w:sz w:val="22"/>
          <w:szCs w:val="22"/>
          <w:color w:val="auto"/>
        </w:rPr>
      </w:pPr>
      <w:r>
        <w:rPr>
          <w:rFonts w:ascii="Arial" w:cs="Arial" w:eastAsia="Arial" w:hAnsi="Arial"/>
          <w:sz w:val="22"/>
          <w:szCs w:val="22"/>
          <w:color w:val="auto"/>
        </w:rPr>
        <w:t>any business (including any related and legally permissible internet business) that is a reasonable extension, development or expansion of any of the foregoing; and</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ownership by a Person of Capital Stock in its direct Wholly Owned Subsidiaries.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Permitted C-Corp. Conversion</w:t>
      </w:r>
      <w:r>
        <w:rPr>
          <w:rFonts w:ascii="Arial" w:cs="Arial" w:eastAsia="Arial" w:hAnsi="Arial"/>
          <w:sz w:val="19"/>
          <w:szCs w:val="19"/>
          <w:color w:val="auto"/>
        </w:rPr>
        <w:t>” means a transaction resulting in Wynn Las Vegas, the Completion Guarantor or any of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Restricted Subsidiaries becoming a subchapter “C” corporation under the Code, so long as, in connection with such transaction:</w:t>
      </w:r>
    </w:p>
    <w:p>
      <w:pPr>
        <w:spacing w:after="0" w:line="250" w:lineRule="exact"/>
        <w:rPr>
          <w:sz w:val="20"/>
          <w:szCs w:val="20"/>
          <w:color w:val="auto"/>
        </w:rPr>
      </w:pPr>
    </w:p>
    <w:p>
      <w:pPr>
        <w:jc w:val="both"/>
        <w:ind w:firstLine="1305"/>
        <w:spacing w:after="0" w:line="238" w:lineRule="auto"/>
        <w:tabs>
          <w:tab w:leader="none" w:pos="2341"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40" w:name="page41"/>
    <w:bookmarkEnd w:id="40"/>
    <w:p>
      <w:pPr>
        <w:jc w:val="both"/>
        <w:ind w:firstLine="1305"/>
        <w:spacing w:after="0" w:line="287" w:lineRule="auto"/>
        <w:tabs>
          <w:tab w:leader="none" w:pos="2177"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subchapter “C” corporation resulting from such transaction assumes in writing all of the obligations, if any, of the applicable entity under (a) this Indenture, the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170" w:lineRule="exact"/>
        <w:rPr>
          <w:rFonts w:ascii="Arial" w:cs="Arial" w:eastAsia="Arial" w:hAnsi="Arial"/>
          <w:sz w:val="19"/>
          <w:szCs w:val="19"/>
          <w:color w:val="auto"/>
        </w:rPr>
      </w:pPr>
    </w:p>
    <w:p>
      <w:pPr>
        <w:ind w:left="2160" w:hanging="855"/>
        <w:spacing w:after="0"/>
        <w:tabs>
          <w:tab w:leader="none" w:pos="2160"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subchapter “C” corporation resulting from such transaction complies with Section 4.25 hereof;</w:t>
      </w:r>
    </w:p>
    <w:p>
      <w:pPr>
        <w:spacing w:after="0" w:line="244" w:lineRule="exact"/>
        <w:rPr>
          <w:rFonts w:ascii="Arial" w:cs="Arial" w:eastAsia="Arial" w:hAnsi="Arial"/>
          <w:sz w:val="21"/>
          <w:szCs w:val="21"/>
          <w:color w:val="auto"/>
        </w:rPr>
      </w:pPr>
    </w:p>
    <w:p>
      <w:pPr>
        <w:jc w:val="both"/>
        <w:ind w:firstLine="1305"/>
        <w:spacing w:after="0" w:line="238" w:lineRule="auto"/>
        <w:tabs>
          <w:tab w:leader="none" w:pos="2451"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212" w:lineRule="exact"/>
        <w:rPr>
          <w:rFonts w:ascii="Arial" w:cs="Arial" w:eastAsia="Arial" w:hAnsi="Arial"/>
          <w:sz w:val="22"/>
          <w:szCs w:val="22"/>
          <w:color w:val="auto"/>
        </w:rPr>
      </w:pPr>
    </w:p>
    <w:p>
      <w:pPr>
        <w:ind w:left="2160" w:hanging="855"/>
        <w:spacing w:after="0"/>
        <w:tabs>
          <w:tab w:leader="none" w:pos="21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such transaction would not cause or result in a Default or an Event of Default;</w:t>
      </w:r>
    </w:p>
    <w:p>
      <w:pPr>
        <w:spacing w:after="0" w:line="233" w:lineRule="exact"/>
        <w:rPr>
          <w:rFonts w:ascii="Arial" w:cs="Arial" w:eastAsia="Arial" w:hAnsi="Arial"/>
          <w:sz w:val="22"/>
          <w:szCs w:val="22"/>
          <w:color w:val="auto"/>
        </w:rPr>
      </w:pPr>
    </w:p>
    <w:p>
      <w:pPr>
        <w:ind w:right="20" w:firstLine="1305"/>
        <w:spacing w:after="0" w:line="328" w:lineRule="auto"/>
        <w:tabs>
          <w:tab w:leader="none" w:pos="2247" w:val="left"/>
        </w:tabs>
        <w:numPr>
          <w:ilvl w:val="0"/>
          <w:numId w:val="39"/>
        </w:numPr>
        <w:rPr>
          <w:rFonts w:ascii="Arial" w:cs="Arial" w:eastAsia="Arial" w:hAnsi="Arial"/>
          <w:sz w:val="19"/>
          <w:szCs w:val="19"/>
          <w:color w:val="auto"/>
        </w:rPr>
      </w:pPr>
      <w:r>
        <w:rPr>
          <w:rFonts w:ascii="Arial" w:cs="Arial" w:eastAsia="Arial" w:hAnsi="Arial"/>
          <w:sz w:val="19"/>
          <w:szCs w:val="19"/>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132" w:lineRule="exact"/>
        <w:rPr>
          <w:rFonts w:ascii="Arial" w:cs="Arial" w:eastAsia="Arial" w:hAnsi="Arial"/>
          <w:sz w:val="19"/>
          <w:szCs w:val="19"/>
          <w:color w:val="auto"/>
        </w:rPr>
      </w:pPr>
    </w:p>
    <w:p>
      <w:pPr>
        <w:ind w:firstLine="1305"/>
        <w:spacing w:after="0" w:line="251" w:lineRule="auto"/>
        <w:tabs>
          <w:tab w:leader="none" w:pos="2153" w:val="left"/>
        </w:tabs>
        <w:numPr>
          <w:ilvl w:val="0"/>
          <w:numId w:val="39"/>
        </w:numPr>
        <w:rPr>
          <w:rFonts w:ascii="Arial" w:cs="Arial" w:eastAsia="Arial" w:hAnsi="Arial"/>
          <w:sz w:val="22"/>
          <w:szCs w:val="22"/>
          <w:color w:val="auto"/>
        </w:rPr>
      </w:pPr>
      <w:r>
        <w:rPr>
          <w:rFonts w:ascii="Arial" w:cs="Arial" w:eastAsia="Arial" w:hAnsi="Arial"/>
          <w:sz w:val="22"/>
          <w:szCs w:val="22"/>
          <w:color w:val="auto"/>
        </w:rPr>
        <w:t>such transaction does not require any Holder or Beneficial Owner of the Notes to obtain a Gaming License or be qualified or found suitable under the laws of any applicable gaming jurisdiction;</w:t>
      </w:r>
    </w:p>
    <w:p>
      <w:pPr>
        <w:spacing w:after="0" w:line="200" w:lineRule="exact"/>
        <w:rPr>
          <w:rFonts w:ascii="Arial" w:cs="Arial" w:eastAsia="Arial" w:hAnsi="Arial"/>
          <w:sz w:val="22"/>
          <w:szCs w:val="22"/>
          <w:color w:val="auto"/>
        </w:rPr>
      </w:pPr>
    </w:p>
    <w:p>
      <w:pPr>
        <w:jc w:val="both"/>
        <w:ind w:firstLine="1305"/>
        <w:spacing w:after="0" w:line="238" w:lineRule="auto"/>
        <w:tabs>
          <w:tab w:leader="none" w:pos="2149" w:val="left"/>
        </w:tabs>
        <w:numPr>
          <w:ilvl w:val="0"/>
          <w:numId w:val="39"/>
        </w:numPr>
        <w:rPr>
          <w:rFonts w:ascii="Arial" w:cs="Arial" w:eastAsia="Arial" w:hAnsi="Arial"/>
          <w:sz w:val="22"/>
          <w:szCs w:val="22"/>
          <w:color w:val="auto"/>
        </w:rPr>
      </w:pPr>
      <w:r>
        <w:rPr>
          <w:rFonts w:ascii="Arial" w:cs="Arial" w:eastAsia="Arial" w:hAnsi="Arial"/>
          <w:sz w:val="22"/>
          <w:szCs w:val="22"/>
          <w:color w:val="auto"/>
        </w:rPr>
        <w:t>Wynn Las Vegas shall have delivered to the Trustee an Opinion of Counsel of national repute in the United States reasonably acceptable to the Trustee confirming that neither Issuer, nor any Restricted Subsidiary, nor any Guarantor nor any of the Holders shall recognize income, gain or loss for United States federal or state income tax purposes as a result of such Permitted C-Corp. Conversion; and</w:t>
      </w:r>
    </w:p>
    <w:p>
      <w:pPr>
        <w:spacing w:after="0" w:line="212" w:lineRule="exact"/>
        <w:rPr>
          <w:rFonts w:ascii="Arial" w:cs="Arial" w:eastAsia="Arial" w:hAnsi="Arial"/>
          <w:sz w:val="22"/>
          <w:szCs w:val="22"/>
          <w:color w:val="auto"/>
        </w:rPr>
      </w:pPr>
    </w:p>
    <w:p>
      <w:pPr>
        <w:ind w:firstLine="1305"/>
        <w:spacing w:after="0" w:line="251" w:lineRule="auto"/>
        <w:tabs>
          <w:tab w:leader="none" w:pos="2261" w:val="left"/>
        </w:tabs>
        <w:numPr>
          <w:ilvl w:val="0"/>
          <w:numId w:val="39"/>
        </w:numPr>
        <w:rPr>
          <w:rFonts w:ascii="Arial" w:cs="Arial" w:eastAsia="Arial" w:hAnsi="Arial"/>
          <w:sz w:val="22"/>
          <w:szCs w:val="22"/>
          <w:color w:val="auto"/>
        </w:rPr>
      </w:pPr>
      <w:r>
        <w:rPr>
          <w:rFonts w:ascii="Arial" w:cs="Arial" w:eastAsia="Arial" w:hAnsi="Arial"/>
          <w:sz w:val="22"/>
          <w:szCs w:val="22"/>
          <w:color w:val="auto"/>
        </w:rPr>
        <w:t>Wynn Las Vegas shall have delivered to the Trustee a certificate of the Chief Financial Officer of Wynn Las Vegas confirming that the conditions in clauses (1) through (8) have been satisfied.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Investments</w:t>
      </w:r>
      <w:r>
        <w:rPr>
          <w:rFonts w:ascii="Arial" w:cs="Arial" w:eastAsia="Arial" w:hAnsi="Arial"/>
          <w:sz w:val="22"/>
          <w:szCs w:val="22"/>
          <w:color w:val="auto"/>
        </w:rPr>
        <w:t>” means:</w:t>
      </w:r>
    </w:p>
    <w:p>
      <w:pPr>
        <w:spacing w:after="0" w:line="233" w:lineRule="exact"/>
        <w:rPr>
          <w:sz w:val="20"/>
          <w:szCs w:val="20"/>
          <w:color w:val="auto"/>
        </w:rPr>
      </w:pPr>
    </w:p>
    <w:p>
      <w:pPr>
        <w:ind w:left="2280" w:hanging="975"/>
        <w:spacing w:after="0"/>
        <w:tabs>
          <w:tab w:leader="none" w:pos="228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any Investment by any entity in Wynn Las Vegas or in a Wholly Owned Restricted Subsidiary of Wynn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Las Vegas;</w:t>
      </w:r>
    </w:p>
    <w:p>
      <w:pPr>
        <w:spacing w:after="0" w:line="215" w:lineRule="exact"/>
        <w:rPr>
          <w:sz w:val="20"/>
          <w:szCs w:val="20"/>
          <w:color w:val="auto"/>
        </w:rPr>
      </w:pPr>
    </w:p>
    <w:p>
      <w:pPr>
        <w:ind w:left="2160" w:hanging="855"/>
        <w:spacing w:after="0"/>
        <w:tabs>
          <w:tab w:leader="none" w:pos="21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Investment in Cash Equivalents;</w:t>
      </w:r>
    </w:p>
    <w:p>
      <w:pPr>
        <w:spacing w:after="0" w:line="233" w:lineRule="exact"/>
        <w:rPr>
          <w:rFonts w:ascii="Arial" w:cs="Arial" w:eastAsia="Arial" w:hAnsi="Arial"/>
          <w:sz w:val="22"/>
          <w:szCs w:val="22"/>
          <w:color w:val="auto"/>
        </w:rPr>
      </w:pPr>
    </w:p>
    <w:p>
      <w:pPr>
        <w:jc w:val="both"/>
        <w:ind w:firstLine="1305"/>
        <w:spacing w:after="0"/>
        <w:tabs>
          <w:tab w:leader="none" w:pos="2153"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41" w:name="page42"/>
    <w:bookmarkEnd w:id="41"/>
    <w:p>
      <w:pPr>
        <w:ind w:left="2900" w:hanging="839"/>
        <w:spacing w:after="0"/>
        <w:tabs>
          <w:tab w:leader="none" w:pos="2900" w:val="left"/>
        </w:tabs>
        <w:numPr>
          <w:ilvl w:val="1"/>
          <w:numId w:val="42"/>
        </w:numPr>
        <w:rPr>
          <w:rFonts w:ascii="Arial" w:cs="Arial" w:eastAsia="Arial" w:hAnsi="Arial"/>
          <w:sz w:val="22"/>
          <w:szCs w:val="22"/>
          <w:color w:val="auto"/>
        </w:rPr>
      </w:pPr>
      <w:r>
        <w:rPr>
          <w:rFonts w:ascii="Arial" w:cs="Arial" w:eastAsia="Arial" w:hAnsi="Arial"/>
          <w:sz w:val="22"/>
          <w:szCs w:val="22"/>
          <w:color w:val="auto"/>
        </w:rPr>
        <w:t>such Person becomes a Wholly Owned Restricted Subsidiary of Wynn Las Vegas, or</w:t>
      </w:r>
    </w:p>
    <w:p>
      <w:pPr>
        <w:spacing w:after="0" w:line="233" w:lineRule="exact"/>
        <w:rPr>
          <w:rFonts w:ascii="Arial" w:cs="Arial" w:eastAsia="Arial" w:hAnsi="Arial"/>
          <w:sz w:val="22"/>
          <w:szCs w:val="22"/>
          <w:color w:val="auto"/>
        </w:rPr>
      </w:pPr>
    </w:p>
    <w:p>
      <w:pPr>
        <w:jc w:val="both"/>
        <w:ind w:firstLine="2081"/>
        <w:spacing w:after="0" w:line="258" w:lineRule="auto"/>
        <w:tabs>
          <w:tab w:leader="none" w:pos="3031" w:val="left"/>
        </w:tabs>
        <w:numPr>
          <w:ilvl w:val="2"/>
          <w:numId w:val="42"/>
        </w:numPr>
        <w:rPr>
          <w:rFonts w:ascii="Arial" w:cs="Arial" w:eastAsia="Arial" w:hAnsi="Arial"/>
          <w:sz w:val="21"/>
          <w:szCs w:val="21"/>
          <w:color w:val="auto"/>
        </w:rPr>
      </w:pPr>
      <w:r>
        <w:rPr>
          <w:rFonts w:ascii="Arial" w:cs="Arial" w:eastAsia="Arial" w:hAnsi="Arial"/>
          <w:sz w:val="21"/>
          <w:szCs w:val="21"/>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Section 5.01 hereof, if applicable;</w:t>
      </w:r>
    </w:p>
    <w:p>
      <w:pPr>
        <w:spacing w:after="0" w:line="193" w:lineRule="exact"/>
        <w:rPr>
          <w:rFonts w:ascii="Arial" w:cs="Arial" w:eastAsia="Arial" w:hAnsi="Arial"/>
          <w:sz w:val="21"/>
          <w:szCs w:val="21"/>
          <w:color w:val="auto"/>
        </w:rPr>
      </w:pPr>
    </w:p>
    <w:p>
      <w:pPr>
        <w:jc w:val="both"/>
        <w:ind w:firstLine="1305"/>
        <w:spacing w:after="0"/>
        <w:tabs>
          <w:tab w:leader="none" w:pos="22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Sections 4.10 or 4.16 hereof;</w:t>
      </w:r>
    </w:p>
    <w:p>
      <w:pPr>
        <w:spacing w:after="0" w:line="213" w:lineRule="exact"/>
        <w:rPr>
          <w:rFonts w:ascii="Arial" w:cs="Arial" w:eastAsia="Arial" w:hAnsi="Arial"/>
          <w:sz w:val="22"/>
          <w:szCs w:val="22"/>
          <w:color w:val="auto"/>
        </w:rPr>
      </w:pPr>
    </w:p>
    <w:p>
      <w:pPr>
        <w:ind w:left="2160" w:hanging="855"/>
        <w:spacing w:after="0"/>
        <w:tabs>
          <w:tab w:leader="none" w:pos="2160" w:val="left"/>
        </w:tabs>
        <w:numPr>
          <w:ilvl w:val="0"/>
          <w:numId w:val="43"/>
        </w:numPr>
        <w:rPr>
          <w:rFonts w:ascii="Arial" w:cs="Arial" w:eastAsia="Arial" w:hAnsi="Arial"/>
          <w:sz w:val="21"/>
          <w:szCs w:val="21"/>
          <w:color w:val="auto"/>
        </w:rPr>
      </w:pPr>
      <w:r>
        <w:rPr>
          <w:rFonts w:ascii="Arial" w:cs="Arial" w:eastAsia="Arial" w:hAnsi="Arial"/>
          <w:sz w:val="21"/>
          <w:szCs w:val="21"/>
          <w:color w:val="auto"/>
        </w:rPr>
        <w:t>Investment, solely in exchange for Equity Interests (other than Disqualified Stock) of Wynn Resorts;</w:t>
      </w:r>
    </w:p>
    <w:p>
      <w:pPr>
        <w:spacing w:after="0" w:line="244" w:lineRule="exact"/>
        <w:rPr>
          <w:rFonts w:ascii="Arial" w:cs="Arial" w:eastAsia="Arial" w:hAnsi="Arial"/>
          <w:sz w:val="21"/>
          <w:szCs w:val="21"/>
          <w:color w:val="auto"/>
        </w:rPr>
      </w:pPr>
    </w:p>
    <w:p>
      <w:pPr>
        <w:jc w:val="both"/>
        <w:ind w:firstLine="1305"/>
        <w:spacing w:after="0" w:line="238" w:lineRule="auto"/>
        <w:tabs>
          <w:tab w:leader="none" w:pos="223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12" w:lineRule="exact"/>
        <w:rPr>
          <w:rFonts w:ascii="Arial" w:cs="Arial" w:eastAsia="Arial" w:hAnsi="Arial"/>
          <w:sz w:val="22"/>
          <w:szCs w:val="22"/>
          <w:color w:val="auto"/>
        </w:rPr>
      </w:pPr>
    </w:p>
    <w:p>
      <w:pPr>
        <w:ind w:left="2160" w:hanging="855"/>
        <w:spacing w:after="0"/>
        <w:tabs>
          <w:tab w:leader="none" w:pos="21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any Investment in Hedging Obligations;</w:t>
      </w:r>
    </w:p>
    <w:p>
      <w:pPr>
        <w:spacing w:after="0" w:line="233" w:lineRule="exact"/>
        <w:rPr>
          <w:rFonts w:ascii="Arial" w:cs="Arial" w:eastAsia="Arial" w:hAnsi="Arial"/>
          <w:sz w:val="22"/>
          <w:szCs w:val="22"/>
          <w:color w:val="auto"/>
        </w:rPr>
      </w:pPr>
    </w:p>
    <w:p>
      <w:pPr>
        <w:jc w:val="both"/>
        <w:ind w:firstLine="1305"/>
        <w:spacing w:after="0"/>
        <w:tabs>
          <w:tab w:leader="none" w:pos="2335"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213" w:lineRule="exact"/>
        <w:rPr>
          <w:rFonts w:ascii="Arial" w:cs="Arial" w:eastAsia="Arial" w:hAnsi="Arial"/>
          <w:sz w:val="22"/>
          <w:szCs w:val="22"/>
          <w:color w:val="auto"/>
        </w:rPr>
      </w:pPr>
    </w:p>
    <w:p>
      <w:pPr>
        <w:ind w:left="2160" w:hanging="855"/>
        <w:spacing w:after="0"/>
        <w:tabs>
          <w:tab w:leader="none" w:pos="21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the extent constituting an Investment, repurchases of the Notes;</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jc w:val="both"/>
        <w:ind w:firstLine="1305"/>
        <w:spacing w:after="0"/>
        <w:tabs>
          <w:tab w:leader="none" w:pos="2198"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213" w:lineRule="exact"/>
        <w:rPr>
          <w:rFonts w:ascii="Arial" w:cs="Arial" w:eastAsia="Arial" w:hAnsi="Arial"/>
          <w:sz w:val="22"/>
          <w:szCs w:val="22"/>
          <w:color w:val="auto"/>
        </w:rPr>
      </w:pPr>
    </w:p>
    <w:p>
      <w:pPr>
        <w:ind w:firstLine="1305"/>
        <w:spacing w:after="0" w:line="274" w:lineRule="auto"/>
        <w:tabs>
          <w:tab w:leader="none" w:pos="2157" w:val="left"/>
        </w:tabs>
        <w:numPr>
          <w:ilvl w:val="0"/>
          <w:numId w:val="43"/>
        </w:numPr>
        <w:rPr>
          <w:rFonts w:ascii="Arial" w:cs="Arial" w:eastAsia="Arial" w:hAnsi="Arial"/>
          <w:sz w:val="21"/>
          <w:szCs w:val="21"/>
          <w:color w:val="auto"/>
        </w:rPr>
      </w:pPr>
      <w:r>
        <w:rPr>
          <w:rFonts w:ascii="Arial" w:cs="Arial" w:eastAsia="Arial" w:hAnsi="Arial"/>
          <w:sz w:val="21"/>
          <w:szCs w:val="21"/>
          <w:color w:val="auto"/>
        </w:rPr>
        <w:t>loans or advances to employees of Wynn Las Vegas or its Restricted Subsidiaries (other than the Principal) made in the ordinary course of business not exceeding $5.0 million in the aggregate outstanding at any time;</w:t>
      </w:r>
    </w:p>
    <w:p>
      <w:pPr>
        <w:spacing w:after="0" w:line="177" w:lineRule="exact"/>
        <w:rPr>
          <w:rFonts w:ascii="Arial" w:cs="Arial" w:eastAsia="Arial" w:hAnsi="Arial"/>
          <w:sz w:val="21"/>
          <w:szCs w:val="21"/>
          <w:color w:val="auto"/>
        </w:rPr>
      </w:pPr>
    </w:p>
    <w:p>
      <w:pPr>
        <w:jc w:val="both"/>
        <w:ind w:firstLine="1305"/>
        <w:spacing w:after="0"/>
        <w:tabs>
          <w:tab w:leader="none" w:pos="2157"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213" w:lineRule="exact"/>
        <w:rPr>
          <w:rFonts w:ascii="Arial" w:cs="Arial" w:eastAsia="Arial" w:hAnsi="Arial"/>
          <w:sz w:val="22"/>
          <w:szCs w:val="22"/>
          <w:color w:val="auto"/>
        </w:rPr>
      </w:pPr>
    </w:p>
    <w:p>
      <w:pPr>
        <w:ind w:firstLine="1305"/>
        <w:spacing w:after="0" w:line="251" w:lineRule="auto"/>
        <w:tabs>
          <w:tab w:leader="none" w:pos="2143"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assignment of gaming debts evidenced by a credit instrument, including what are commonly referred to as “markers,” to an Affiliate of Wynn Las Vegas for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2" w:name="page43"/>
    <w:bookmarkEnd w:id="42"/>
    <w:p>
      <w:pPr>
        <w:jc w:val="both"/>
        <w:spacing w:after="0" w:line="236" w:lineRule="auto"/>
        <w:rPr>
          <w:sz w:val="20"/>
          <w:szCs w:val="20"/>
          <w:color w:val="auto"/>
        </w:rPr>
      </w:pPr>
      <w:r>
        <w:rPr>
          <w:rFonts w:ascii="Arial" w:cs="Arial" w:eastAsia="Arial" w:hAnsi="Arial"/>
          <w:sz w:val="22"/>
          <w:szCs w:val="22"/>
          <w:color w:val="auto"/>
        </w:rPr>
        <w:t xml:space="preserve">the purpose of collecting amounts outstanding under such gaming debts or “markers” due to Wynn Las Vegas thereunder;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any Affiliate receiving any such assignment enters into a binding agreement to pay all amounts so collected back to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Wynn Las Vegas within 30 days of receipt of payment of such collected amounts;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that any such Affiliate is not, at the time of any such assignment, in default of its obligations under any such binding agreement previously delivered with respect to any such assignment.</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Junior Debt</w:t>
      </w:r>
      <w:r>
        <w:rPr>
          <w:rFonts w:ascii="Arial" w:cs="Arial" w:eastAsia="Arial" w:hAnsi="Arial"/>
          <w:sz w:val="22"/>
          <w:szCs w:val="22"/>
          <w:color w:val="auto"/>
        </w:rPr>
        <w:t>” means any secured Indebtedness, which is either subordinated in right of payment to the Notes or is secured by Liens with a lower priority than the Liens securing the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Liens</w:t>
      </w:r>
      <w:r>
        <w:rPr>
          <w:rFonts w:ascii="Arial" w:cs="Arial" w:eastAsia="Arial" w:hAnsi="Arial"/>
          <w:sz w:val="22"/>
          <w:szCs w:val="22"/>
          <w:color w:val="auto"/>
        </w:rPr>
        <w:t>” means:</w:t>
      </w:r>
    </w:p>
    <w:p>
      <w:pPr>
        <w:spacing w:after="0" w:line="233" w:lineRule="exact"/>
        <w:rPr>
          <w:sz w:val="20"/>
          <w:szCs w:val="20"/>
          <w:color w:val="auto"/>
        </w:rPr>
      </w:pPr>
    </w:p>
    <w:p>
      <w:pPr>
        <w:jc w:val="both"/>
        <w:ind w:firstLine="1305"/>
        <w:spacing w:after="0" w:line="238" w:lineRule="auto"/>
        <w:tabs>
          <w:tab w:leader="none" w:pos="2230" w:val="left"/>
        </w:tabs>
        <w:numPr>
          <w:ilvl w:val="0"/>
          <w:numId w:val="44"/>
        </w:numPr>
        <w:rPr>
          <w:rFonts w:ascii="Arial" w:cs="Arial" w:eastAsia="Arial" w:hAnsi="Arial"/>
          <w:sz w:val="22"/>
          <w:szCs w:val="22"/>
          <w:color w:val="auto"/>
        </w:rPr>
      </w:pPr>
      <w:r>
        <w:rPr>
          <w:rFonts w:ascii="Arial" w:cs="Arial" w:eastAsia="Arial" w:hAnsi="Arial"/>
          <w:sz w:val="22"/>
          <w:szCs w:val="22"/>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212" w:lineRule="exact"/>
        <w:rPr>
          <w:rFonts w:ascii="Arial" w:cs="Arial" w:eastAsia="Arial" w:hAnsi="Arial"/>
          <w:sz w:val="22"/>
          <w:szCs w:val="22"/>
          <w:color w:val="auto"/>
        </w:rPr>
      </w:pPr>
    </w:p>
    <w:p>
      <w:pPr>
        <w:ind w:right="20" w:firstLine="1305"/>
        <w:spacing w:after="0" w:line="251" w:lineRule="auto"/>
        <w:tabs>
          <w:tab w:leader="none" w:pos="2182" w:val="left"/>
        </w:tabs>
        <w:numPr>
          <w:ilvl w:val="0"/>
          <w:numId w:val="44"/>
        </w:numPr>
        <w:rPr>
          <w:rFonts w:ascii="Arial" w:cs="Arial" w:eastAsia="Arial" w:hAnsi="Arial"/>
          <w:sz w:val="22"/>
          <w:szCs w:val="22"/>
          <w:color w:val="auto"/>
        </w:rPr>
      </w:pPr>
      <w:r>
        <w:rPr>
          <w:rFonts w:ascii="Arial" w:cs="Arial" w:eastAsia="Arial" w:hAnsi="Arial"/>
          <w:sz w:val="22"/>
          <w:szCs w:val="22"/>
          <w:color w:val="auto"/>
        </w:rPr>
        <w:t>Liens in favor of Wynn Las Vegas or any of the Restricted Subsidiaries; provided if any such Liens are on any or all of the Collateral, such Liens are either:</w:t>
      </w:r>
    </w:p>
    <w:p>
      <w:pPr>
        <w:spacing w:after="0" w:line="200" w:lineRule="exact"/>
        <w:rPr>
          <w:rFonts w:ascii="Arial" w:cs="Arial" w:eastAsia="Arial" w:hAnsi="Arial"/>
          <w:sz w:val="22"/>
          <w:szCs w:val="22"/>
          <w:color w:val="auto"/>
        </w:rPr>
      </w:pPr>
    </w:p>
    <w:p>
      <w:pPr>
        <w:ind w:left="3000" w:hanging="924"/>
        <w:spacing w:after="0"/>
        <w:tabs>
          <w:tab w:leader="none" w:pos="3000" w:val="left"/>
        </w:tabs>
        <w:numPr>
          <w:ilvl w:val="1"/>
          <w:numId w:val="44"/>
        </w:numPr>
        <w:rPr>
          <w:rFonts w:ascii="Arial" w:cs="Arial" w:eastAsia="Arial" w:hAnsi="Arial"/>
          <w:sz w:val="19"/>
          <w:szCs w:val="19"/>
          <w:color w:val="auto"/>
        </w:rPr>
      </w:pPr>
      <w:r>
        <w:rPr>
          <w:rFonts w:ascii="Arial" w:cs="Arial" w:eastAsia="Arial" w:hAnsi="Arial"/>
          <w:sz w:val="19"/>
          <w:szCs w:val="19"/>
          <w:color w:val="auto"/>
        </w:rPr>
        <w:t>collaterally assigned to the Collateral Agent for the benefit of the Trustee and the Holders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Notes, or</w:t>
      </w:r>
    </w:p>
    <w:p>
      <w:pPr>
        <w:spacing w:after="0" w:line="215" w:lineRule="exact"/>
        <w:rPr>
          <w:rFonts w:ascii="Arial" w:cs="Arial" w:eastAsia="Arial" w:hAnsi="Arial"/>
          <w:sz w:val="19"/>
          <w:szCs w:val="19"/>
          <w:color w:val="auto"/>
        </w:rPr>
      </w:pPr>
    </w:p>
    <w:p>
      <w:pPr>
        <w:jc w:val="both"/>
        <w:ind w:firstLine="2069"/>
        <w:spacing w:after="0"/>
        <w:tabs>
          <w:tab w:leader="none" w:pos="2951" w:val="left"/>
        </w:tabs>
        <w:numPr>
          <w:ilvl w:val="1"/>
          <w:numId w:val="44"/>
        </w:numPr>
        <w:rPr>
          <w:rFonts w:ascii="Arial" w:cs="Arial" w:eastAsia="Arial" w:hAnsi="Arial"/>
          <w:sz w:val="22"/>
          <w:szCs w:val="22"/>
          <w:color w:val="auto"/>
        </w:rPr>
      </w:pPr>
      <w:r>
        <w:rPr>
          <w:rFonts w:ascii="Arial" w:cs="Arial" w:eastAsia="Arial" w:hAnsi="Arial"/>
          <w:sz w:val="22"/>
          <w:szCs w:val="22"/>
          <w:color w:val="auto"/>
        </w:rPr>
        <w:t>contractually subordinated to the security interests in favor of the Collateral Agent for the benefit of the Trustee for the benefit of the Holders of the Notes securing the obligations under the Notes, the Note Guarantees and the Credit Agreement;</w:t>
      </w:r>
    </w:p>
    <w:p>
      <w:pPr>
        <w:spacing w:after="0" w:line="213" w:lineRule="exact"/>
        <w:rPr>
          <w:rFonts w:ascii="Arial" w:cs="Arial" w:eastAsia="Arial" w:hAnsi="Arial"/>
          <w:sz w:val="22"/>
          <w:szCs w:val="22"/>
          <w:color w:val="auto"/>
        </w:rPr>
      </w:pPr>
    </w:p>
    <w:p>
      <w:pPr>
        <w:jc w:val="both"/>
        <w:ind w:firstLine="1305"/>
        <w:spacing w:after="0" w:line="258" w:lineRule="auto"/>
        <w:tabs>
          <w:tab w:leader="none" w:pos="2240" w:val="left"/>
        </w:tabs>
        <w:numPr>
          <w:ilvl w:val="0"/>
          <w:numId w:val="44"/>
        </w:numPr>
        <w:rPr>
          <w:rFonts w:ascii="Arial" w:cs="Arial" w:eastAsia="Arial" w:hAnsi="Arial"/>
          <w:sz w:val="21"/>
          <w:szCs w:val="21"/>
          <w:color w:val="auto"/>
        </w:rPr>
      </w:pPr>
      <w:r>
        <w:rPr>
          <w:rFonts w:ascii="Arial" w:cs="Arial" w:eastAsia="Arial" w:hAnsi="Arial"/>
          <w:sz w:val="21"/>
          <w:szCs w:val="21"/>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193" w:lineRule="exact"/>
        <w:rPr>
          <w:rFonts w:ascii="Arial" w:cs="Arial" w:eastAsia="Arial" w:hAnsi="Arial"/>
          <w:sz w:val="21"/>
          <w:szCs w:val="21"/>
          <w:color w:val="auto"/>
        </w:rPr>
      </w:pPr>
    </w:p>
    <w:p>
      <w:pPr>
        <w:ind w:firstLine="1305"/>
        <w:spacing w:after="0" w:line="251" w:lineRule="auto"/>
        <w:tabs>
          <w:tab w:leader="none" w:pos="2167" w:val="left"/>
        </w:tabs>
        <w:numPr>
          <w:ilvl w:val="0"/>
          <w:numId w:val="44"/>
        </w:numPr>
        <w:rPr>
          <w:rFonts w:ascii="Arial" w:cs="Arial" w:eastAsia="Arial" w:hAnsi="Arial"/>
          <w:sz w:val="22"/>
          <w:szCs w:val="22"/>
          <w:color w:val="auto"/>
        </w:rPr>
      </w:pPr>
      <w:r>
        <w:rPr>
          <w:rFonts w:ascii="Arial" w:cs="Arial" w:eastAsia="Arial" w:hAnsi="Arial"/>
          <w:sz w:val="22"/>
          <w:szCs w:val="22"/>
          <w:color w:val="auto"/>
        </w:rPr>
        <w:t>Liens existing on the date of this Indenture and disclosed in the title commitment for the Deeds of Trust or in the applicable schedule(s) to the Credit Agreement, as in effect on the date of this Indenture;</w:t>
      </w:r>
    </w:p>
    <w:p>
      <w:pPr>
        <w:spacing w:after="0" w:line="200" w:lineRule="exact"/>
        <w:rPr>
          <w:rFonts w:ascii="Arial" w:cs="Arial" w:eastAsia="Arial" w:hAnsi="Arial"/>
          <w:sz w:val="22"/>
          <w:szCs w:val="22"/>
          <w:color w:val="auto"/>
        </w:rPr>
      </w:pPr>
    </w:p>
    <w:p>
      <w:pPr>
        <w:jc w:val="both"/>
        <w:ind w:firstLine="1305"/>
        <w:spacing w:after="0" w:line="236" w:lineRule="auto"/>
        <w:tabs>
          <w:tab w:leader="none" w:pos="2582" w:val="left"/>
        </w:tabs>
        <w:numPr>
          <w:ilvl w:val="0"/>
          <w:numId w:val="44"/>
        </w:numPr>
        <w:rPr>
          <w:rFonts w:ascii="Arial" w:cs="Arial" w:eastAsia="Arial" w:hAnsi="Arial"/>
          <w:sz w:val="22"/>
          <w:szCs w:val="22"/>
          <w:color w:val="auto"/>
        </w:rPr>
      </w:pPr>
      <w:r>
        <w:rPr>
          <w:rFonts w:ascii="Arial" w:cs="Arial" w:eastAsia="Arial" w:hAnsi="Arial"/>
          <w:sz w:val="22"/>
          <w:szCs w:val="22"/>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3" w:name="page44"/>
    <w:bookmarkEnd w:id="43"/>
    <w:p>
      <w:pPr>
        <w:ind w:left="2160" w:hanging="855"/>
        <w:spacing w:after="0"/>
        <w:tabs>
          <w:tab w:leader="none" w:pos="21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Liens permitted under the Disbursement Agreement;</w:t>
      </w:r>
    </w:p>
    <w:p>
      <w:pPr>
        <w:spacing w:after="0" w:line="233" w:lineRule="exact"/>
        <w:rPr>
          <w:rFonts w:ascii="Arial" w:cs="Arial" w:eastAsia="Arial" w:hAnsi="Arial"/>
          <w:sz w:val="22"/>
          <w:szCs w:val="22"/>
          <w:color w:val="auto"/>
        </w:rPr>
      </w:pPr>
    </w:p>
    <w:p>
      <w:pPr>
        <w:jc w:val="both"/>
        <w:ind w:firstLine="1305"/>
        <w:spacing w:after="0" w:line="258" w:lineRule="auto"/>
        <w:tabs>
          <w:tab w:leader="none" w:pos="2148" w:val="left"/>
        </w:tabs>
        <w:numPr>
          <w:ilvl w:val="0"/>
          <w:numId w:val="45"/>
        </w:numPr>
        <w:rPr>
          <w:rFonts w:ascii="Arial" w:cs="Arial" w:eastAsia="Arial" w:hAnsi="Arial"/>
          <w:sz w:val="21"/>
          <w:szCs w:val="21"/>
          <w:color w:val="auto"/>
        </w:rPr>
      </w:pPr>
      <w:r>
        <w:rPr>
          <w:rFonts w:ascii="Arial" w:cs="Arial" w:eastAsia="Arial" w:hAnsi="Arial"/>
          <w:sz w:val="21"/>
          <w:szCs w:val="21"/>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193" w:lineRule="exact"/>
        <w:rPr>
          <w:rFonts w:ascii="Arial" w:cs="Arial" w:eastAsia="Arial" w:hAnsi="Arial"/>
          <w:sz w:val="21"/>
          <w:szCs w:val="21"/>
          <w:color w:val="auto"/>
        </w:rPr>
      </w:pPr>
    </w:p>
    <w:p>
      <w:pPr>
        <w:jc w:val="both"/>
        <w:ind w:firstLine="1305"/>
        <w:spacing w:after="0" w:line="236" w:lineRule="auto"/>
        <w:tabs>
          <w:tab w:leader="none" w:pos="22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Liens on the Collateral created by this Indenture and the Collateral Documents securing the Indebtedness and other Obligations under this Indenture and the Collateral Documents,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this clause (8) shall not be deemed to permit the extension of the Liens on the Collateral created by this Indenture and the Collateral Documents with respect to any Indebtedness incurred after the date of this Indenture as the result of the issuance of Additional Notes under this Indenture in compliance with Section 4.09 hereof;</w:t>
      </w:r>
    </w:p>
    <w:p>
      <w:pPr>
        <w:spacing w:after="0" w:line="214" w:lineRule="exact"/>
        <w:rPr>
          <w:rFonts w:ascii="Arial" w:cs="Arial" w:eastAsia="Arial" w:hAnsi="Arial"/>
          <w:sz w:val="22"/>
          <w:szCs w:val="22"/>
          <w:color w:val="auto"/>
        </w:rPr>
      </w:pPr>
    </w:p>
    <w:p>
      <w:pPr>
        <w:ind w:firstLine="1305"/>
        <w:spacing w:after="0" w:line="251" w:lineRule="auto"/>
        <w:tabs>
          <w:tab w:leader="none" w:pos="2209" w:val="left"/>
        </w:tabs>
        <w:numPr>
          <w:ilvl w:val="0"/>
          <w:numId w:val="45"/>
        </w:numPr>
        <w:rPr>
          <w:rFonts w:ascii="Arial" w:cs="Arial" w:eastAsia="Arial" w:hAnsi="Arial"/>
          <w:sz w:val="22"/>
          <w:szCs w:val="22"/>
          <w:color w:val="auto"/>
        </w:rPr>
      </w:pPr>
      <w:r>
        <w:rPr>
          <w:rFonts w:ascii="Arial" w:cs="Arial" w:eastAsia="Arial" w:hAnsi="Arial"/>
          <w:sz w:val="22"/>
          <w:szCs w:val="22"/>
          <w:color w:val="auto"/>
        </w:rPr>
        <w:t>Liens on the Collateral securing up to $1.0 billion of Indebtedness and other Obligations under the Credit Agreement that were permitted by the terms of this Indenture to be incurred;</w:t>
      </w:r>
    </w:p>
    <w:p>
      <w:pPr>
        <w:spacing w:after="0" w:line="200" w:lineRule="exact"/>
        <w:rPr>
          <w:rFonts w:ascii="Arial" w:cs="Arial" w:eastAsia="Arial" w:hAnsi="Arial"/>
          <w:sz w:val="22"/>
          <w:szCs w:val="22"/>
          <w:color w:val="auto"/>
        </w:rPr>
      </w:pPr>
    </w:p>
    <w:p>
      <w:pPr>
        <w:jc w:val="both"/>
        <w:ind w:firstLine="1305"/>
        <w:spacing w:after="0" w:line="277" w:lineRule="auto"/>
        <w:tabs>
          <w:tab w:leader="none" w:pos="2361"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Liens on property or assets to secure Indebtedness permitted by clause (7) of Section 4.09(b) hereof;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so long as such Indebtedness is not incurred under the Credit Agreement or through the issuance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Additional Notes under this Indenture, such Liens do not at any time encumber any assets or property other than the assets or property financed by such Indebtedness, and the proceeds (including insurance proceeds), products, rents, profits, accessions and replacements thereof or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to the extent that t he Indebtedness permitted by clause (7) of Section 4.09(b) hereof is incurred under the Credit Agreement or through the issuance of Additional Notes under this Indenture and the property or assets acquired with such Indebtedness becomes part of the Collateral, such Indebtedness may be secured by the Collateral;</w:t>
      </w:r>
    </w:p>
    <w:p>
      <w:pPr>
        <w:spacing w:after="0" w:line="179" w:lineRule="exact"/>
        <w:rPr>
          <w:rFonts w:ascii="Arial" w:cs="Arial" w:eastAsia="Arial" w:hAnsi="Arial"/>
          <w:sz w:val="19"/>
          <w:szCs w:val="19"/>
          <w:color w:val="auto"/>
        </w:rPr>
      </w:pPr>
    </w:p>
    <w:p>
      <w:pPr>
        <w:jc w:val="both"/>
        <w:ind w:firstLine="1305"/>
        <w:spacing w:after="0" w:line="297" w:lineRule="auto"/>
        <w:tabs>
          <w:tab w:leader="none" w:pos="21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161" w:lineRule="exact"/>
        <w:rPr>
          <w:rFonts w:ascii="Arial" w:cs="Arial" w:eastAsia="Arial" w:hAnsi="Arial"/>
          <w:sz w:val="19"/>
          <w:szCs w:val="19"/>
          <w:color w:val="auto"/>
        </w:rPr>
      </w:pPr>
    </w:p>
    <w:p>
      <w:pPr>
        <w:jc w:val="both"/>
        <w:ind w:firstLine="1305"/>
        <w:spacing w:after="0" w:line="297" w:lineRule="auto"/>
        <w:tabs>
          <w:tab w:leader="none" w:pos="2379" w:val="left"/>
        </w:tabs>
        <w:numPr>
          <w:ilvl w:val="0"/>
          <w:numId w:val="45"/>
        </w:numPr>
        <w:rPr>
          <w:rFonts w:ascii="Arial" w:cs="Arial" w:eastAsia="Arial" w:hAnsi="Arial"/>
          <w:sz w:val="19"/>
          <w:szCs w:val="19"/>
          <w:color w:val="auto"/>
        </w:rPr>
      </w:pPr>
      <w:r>
        <w:rPr>
          <w:rFonts w:ascii="Arial" w:cs="Arial" w:eastAsia="Arial" w:hAnsi="Arial"/>
          <w:sz w:val="19"/>
          <w:szCs w:val="19"/>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161" w:lineRule="exact"/>
        <w:rPr>
          <w:rFonts w:ascii="Arial" w:cs="Arial" w:eastAsia="Arial" w:hAnsi="Arial"/>
          <w:sz w:val="19"/>
          <w:szCs w:val="19"/>
          <w:color w:val="auto"/>
        </w:rPr>
      </w:pPr>
    </w:p>
    <w:p>
      <w:pPr>
        <w:ind w:right="20" w:firstLine="1305"/>
        <w:spacing w:after="0" w:line="274" w:lineRule="auto"/>
        <w:tabs>
          <w:tab w:leader="none" w:pos="2250" w:val="left"/>
        </w:tabs>
        <w:numPr>
          <w:ilvl w:val="0"/>
          <w:numId w:val="45"/>
        </w:numPr>
        <w:rPr>
          <w:rFonts w:ascii="Arial" w:cs="Arial" w:eastAsia="Arial" w:hAnsi="Arial"/>
          <w:sz w:val="21"/>
          <w:szCs w:val="21"/>
          <w:color w:val="auto"/>
        </w:rPr>
      </w:pPr>
      <w:r>
        <w:rPr>
          <w:rFonts w:ascii="Arial" w:cs="Arial" w:eastAsia="Arial" w:hAnsi="Arial"/>
          <w:sz w:val="21"/>
          <w:szCs w:val="21"/>
          <w:color w:val="auto"/>
        </w:rPr>
        <w:t>Liens on Equity Interests in Unrestricted Subsidiaries of Wynn Las Vegas but only to the extent that the recourse of the lender on any Indebtedness which such Lien secures is limited to such Equity Interests;</w:t>
      </w:r>
    </w:p>
    <w:p>
      <w:pPr>
        <w:spacing w:after="0" w:line="177" w:lineRule="exact"/>
        <w:rPr>
          <w:rFonts w:ascii="Arial" w:cs="Arial" w:eastAsia="Arial" w:hAnsi="Arial"/>
          <w:sz w:val="21"/>
          <w:szCs w:val="21"/>
          <w:color w:val="auto"/>
        </w:rPr>
      </w:pPr>
    </w:p>
    <w:p>
      <w:pPr>
        <w:ind w:firstLine="1305"/>
        <w:spacing w:after="0" w:line="251" w:lineRule="auto"/>
        <w:tabs>
          <w:tab w:leader="none" w:pos="2224" w:val="left"/>
        </w:tabs>
        <w:numPr>
          <w:ilvl w:val="0"/>
          <w:numId w:val="45"/>
        </w:numPr>
        <w:rPr>
          <w:rFonts w:ascii="Arial" w:cs="Arial" w:eastAsia="Arial" w:hAnsi="Arial"/>
          <w:sz w:val="22"/>
          <w:szCs w:val="22"/>
          <w:color w:val="auto"/>
        </w:rPr>
      </w:pPr>
      <w:r>
        <w:rPr>
          <w:rFonts w:ascii="Arial" w:cs="Arial" w:eastAsia="Arial" w:hAnsi="Arial"/>
          <w:sz w:val="22"/>
          <w:szCs w:val="22"/>
          <w:color w:val="auto"/>
        </w:rPr>
        <w:t>Liens on assets or property of Wynn Las Vegas or any of the Restricted Subsidiaries arising by reason of any attachment or judgment not constituting an Event of Default under this Indenture, so long as: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4" w:name="page45"/>
    <w:bookmarkEnd w:id="44"/>
    <w:p>
      <w:pPr>
        <w:ind w:left="2900" w:hanging="839"/>
        <w:spacing w:after="0"/>
        <w:tabs>
          <w:tab w:leader="none" w:pos="29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such Liens are being contested in good faith by appropriate proceedings, and</w:t>
      </w:r>
    </w:p>
    <w:p>
      <w:pPr>
        <w:spacing w:after="0" w:line="233" w:lineRule="exact"/>
        <w:rPr>
          <w:rFonts w:ascii="Arial" w:cs="Arial" w:eastAsia="Arial" w:hAnsi="Arial"/>
          <w:sz w:val="22"/>
          <w:szCs w:val="22"/>
          <w:color w:val="auto"/>
        </w:rPr>
      </w:pPr>
    </w:p>
    <w:p>
      <w:pPr>
        <w:ind w:right="20" w:firstLine="2069"/>
        <w:spacing w:after="0" w:line="251" w:lineRule="auto"/>
        <w:tabs>
          <w:tab w:leader="none" w:pos="2949" w:val="left"/>
        </w:tabs>
        <w:numPr>
          <w:ilvl w:val="1"/>
          <w:numId w:val="46"/>
        </w:numPr>
        <w:rPr>
          <w:rFonts w:ascii="Arial" w:cs="Arial" w:eastAsia="Arial" w:hAnsi="Arial"/>
          <w:sz w:val="22"/>
          <w:szCs w:val="22"/>
          <w:color w:val="auto"/>
        </w:rPr>
      </w:pPr>
      <w:r>
        <w:rPr>
          <w:rFonts w:ascii="Arial" w:cs="Arial" w:eastAsia="Arial" w:hAnsi="Arial"/>
          <w:sz w:val="22"/>
          <w:szCs w:val="22"/>
          <w:color w:val="auto"/>
        </w:rPr>
        <w:t>such Liens are adequately bonded or adequate reserves have been established on the books of the applicable Person in accordance with GAAP;</w:t>
      </w:r>
    </w:p>
    <w:p>
      <w:pPr>
        <w:spacing w:after="0" w:line="200" w:lineRule="exact"/>
        <w:rPr>
          <w:rFonts w:ascii="Arial" w:cs="Arial" w:eastAsia="Arial" w:hAnsi="Arial"/>
          <w:sz w:val="22"/>
          <w:szCs w:val="22"/>
          <w:color w:val="auto"/>
        </w:rPr>
      </w:pPr>
    </w:p>
    <w:p>
      <w:pPr>
        <w:jc w:val="both"/>
        <w:ind w:firstLine="1305"/>
        <w:spacing w:after="0" w:line="287" w:lineRule="auto"/>
        <w:tabs>
          <w:tab w:leader="none" w:pos="2143" w:val="left"/>
        </w:tabs>
        <w:numPr>
          <w:ilvl w:val="0"/>
          <w:numId w:val="47"/>
        </w:numPr>
        <w:rPr>
          <w:rFonts w:ascii="Arial" w:cs="Arial" w:eastAsia="Arial" w:hAnsi="Arial"/>
          <w:sz w:val="19"/>
          <w:szCs w:val="19"/>
          <w:color w:val="auto"/>
        </w:rPr>
      </w:pPr>
      <w:r>
        <w:rPr>
          <w:rFonts w:ascii="Arial" w:cs="Arial" w:eastAsia="Arial" w:hAnsi="Arial"/>
          <w:sz w:val="19"/>
          <w:szCs w:val="19"/>
          <w:color w:val="auto"/>
        </w:rPr>
        <w:t>to the extent constituting Liens, ground leases and subleases in respect of the real property owned or leased by Wynn Las Vegas or any of the Restricted Subsidiaries, to the extent that such ground leases and subleases are permitted under this Indenture and the Collateral Documents and any leasehold mortgage on the lessee’s leasehold interest in the underlying real property in favor of any party financing the lessee under any such lease or sublease, so long as:</w:t>
      </w:r>
    </w:p>
    <w:p>
      <w:pPr>
        <w:spacing w:after="0" w:line="170" w:lineRule="exact"/>
        <w:rPr>
          <w:rFonts w:ascii="Arial" w:cs="Arial" w:eastAsia="Arial" w:hAnsi="Arial"/>
          <w:sz w:val="19"/>
          <w:szCs w:val="19"/>
          <w:color w:val="auto"/>
        </w:rPr>
      </w:pPr>
    </w:p>
    <w:p>
      <w:pPr>
        <w:ind w:firstLine="2074"/>
        <w:spacing w:after="0" w:line="251" w:lineRule="auto"/>
        <w:tabs>
          <w:tab w:leader="none" w:pos="2972" w:val="left"/>
        </w:tabs>
        <w:numPr>
          <w:ilvl w:val="2"/>
          <w:numId w:val="47"/>
        </w:numPr>
        <w:rPr>
          <w:rFonts w:ascii="Arial" w:cs="Arial" w:eastAsia="Arial" w:hAnsi="Arial"/>
          <w:sz w:val="22"/>
          <w:szCs w:val="22"/>
          <w:color w:val="auto"/>
        </w:rPr>
      </w:pPr>
      <w:r>
        <w:rPr>
          <w:rFonts w:ascii="Arial" w:cs="Arial" w:eastAsia="Arial" w:hAnsi="Arial"/>
          <w:sz w:val="22"/>
          <w:szCs w:val="22"/>
          <w:color w:val="auto"/>
        </w:rPr>
        <w:t>neither Issuer nor any of the Restricted Subsidiaries is liable for the payment of any principal of, or interest, premiums or fees on, such financing, and</w:t>
      </w:r>
    </w:p>
    <w:p>
      <w:pPr>
        <w:spacing w:after="0" w:line="200" w:lineRule="exact"/>
        <w:rPr>
          <w:rFonts w:ascii="Arial" w:cs="Arial" w:eastAsia="Arial" w:hAnsi="Arial"/>
          <w:sz w:val="22"/>
          <w:szCs w:val="22"/>
          <w:color w:val="auto"/>
        </w:rPr>
      </w:pPr>
    </w:p>
    <w:p>
      <w:pPr>
        <w:ind w:firstLine="2069"/>
        <w:spacing w:after="0" w:line="251" w:lineRule="auto"/>
        <w:tabs>
          <w:tab w:leader="none" w:pos="2951" w:val="left"/>
        </w:tabs>
        <w:numPr>
          <w:ilvl w:val="2"/>
          <w:numId w:val="47"/>
        </w:numPr>
        <w:rPr>
          <w:rFonts w:ascii="Arial" w:cs="Arial" w:eastAsia="Arial" w:hAnsi="Arial"/>
          <w:sz w:val="22"/>
          <w:szCs w:val="22"/>
          <w:color w:val="auto"/>
        </w:rPr>
      </w:pPr>
      <w:r>
        <w:rPr>
          <w:rFonts w:ascii="Arial" w:cs="Arial" w:eastAsia="Arial" w:hAnsi="Arial"/>
          <w:sz w:val="22"/>
          <w:szCs w:val="22"/>
          <w:color w:val="auto"/>
        </w:rPr>
        <w:t>the affected lease and leasehold mortgage are expressly made subject and subordinate to the Lien of the applicable mortgage securing the Notes, or a Note Guarantee, as the case may be;</w:t>
      </w:r>
    </w:p>
    <w:p>
      <w:pPr>
        <w:spacing w:after="0" w:line="200" w:lineRule="exact"/>
        <w:rPr>
          <w:rFonts w:ascii="Arial" w:cs="Arial" w:eastAsia="Arial" w:hAnsi="Arial"/>
          <w:sz w:val="22"/>
          <w:szCs w:val="22"/>
          <w:color w:val="auto"/>
        </w:rPr>
      </w:pPr>
    </w:p>
    <w:p>
      <w:pPr>
        <w:jc w:val="both"/>
        <w:ind w:firstLine="1305"/>
        <w:spacing w:after="0" w:line="238" w:lineRule="auto"/>
        <w:tabs>
          <w:tab w:leader="none" w:pos="2230" w:val="left"/>
        </w:tabs>
        <w:numPr>
          <w:ilvl w:val="0"/>
          <w:numId w:val="47"/>
        </w:numPr>
        <w:rPr>
          <w:rFonts w:ascii="Arial" w:cs="Arial" w:eastAsia="Arial" w:hAnsi="Arial"/>
          <w:sz w:val="22"/>
          <w:szCs w:val="22"/>
          <w:color w:val="auto"/>
        </w:rPr>
      </w:pPr>
      <w:r>
        <w:rPr>
          <w:rFonts w:ascii="Arial" w:cs="Arial" w:eastAsia="Arial" w:hAnsi="Arial"/>
          <w:sz w:val="22"/>
          <w:szCs w:val="22"/>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12" w:lineRule="exact"/>
        <w:rPr>
          <w:rFonts w:ascii="Arial" w:cs="Arial" w:eastAsia="Arial" w:hAnsi="Arial"/>
          <w:sz w:val="22"/>
          <w:szCs w:val="22"/>
          <w:color w:val="auto"/>
        </w:rPr>
      </w:pPr>
    </w:p>
    <w:p>
      <w:pPr>
        <w:ind w:left="2280" w:hanging="975"/>
        <w:spacing w:after="0"/>
        <w:tabs>
          <w:tab w:leader="none" w:pos="2280" w:val="left"/>
        </w:tabs>
        <w:numPr>
          <w:ilvl w:val="0"/>
          <w:numId w:val="47"/>
        </w:numPr>
        <w:rPr>
          <w:rFonts w:ascii="Arial" w:cs="Arial" w:eastAsia="Arial" w:hAnsi="Arial"/>
          <w:sz w:val="19"/>
          <w:szCs w:val="19"/>
          <w:color w:val="auto"/>
        </w:rPr>
      </w:pPr>
      <w:r>
        <w:rPr>
          <w:rFonts w:ascii="Arial" w:cs="Arial" w:eastAsia="Arial" w:hAnsi="Arial"/>
          <w:sz w:val="19"/>
          <w:szCs w:val="19"/>
          <w:color w:val="auto"/>
        </w:rPr>
        <w:t>Liens securing Permitted Refinancing Indebtedness incurred in accordance with Section 4.09 hereof, so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long as:</w:t>
      </w:r>
    </w:p>
    <w:p>
      <w:pPr>
        <w:spacing w:after="0" w:line="215" w:lineRule="exact"/>
        <w:rPr>
          <w:rFonts w:ascii="Arial" w:cs="Arial" w:eastAsia="Arial" w:hAnsi="Arial"/>
          <w:sz w:val="19"/>
          <w:szCs w:val="19"/>
          <w:color w:val="auto"/>
        </w:rPr>
      </w:pPr>
    </w:p>
    <w:p>
      <w:pPr>
        <w:ind w:firstLine="2062"/>
        <w:spacing w:after="0" w:line="251" w:lineRule="auto"/>
        <w:tabs>
          <w:tab w:leader="none" w:pos="2893"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Permitted Refinancing Indebtedness being incurred is secured by a Lien of equivalent or lesser priority than the Indebtedness being refinanced, and</w:t>
      </w:r>
    </w:p>
    <w:p>
      <w:pPr>
        <w:spacing w:after="0" w:line="200" w:lineRule="exact"/>
        <w:rPr>
          <w:rFonts w:ascii="Arial" w:cs="Arial" w:eastAsia="Arial" w:hAnsi="Arial"/>
          <w:sz w:val="22"/>
          <w:szCs w:val="22"/>
          <w:color w:val="auto"/>
        </w:rPr>
      </w:pPr>
    </w:p>
    <w:p>
      <w:pPr>
        <w:jc w:val="both"/>
        <w:ind w:firstLine="2081"/>
        <w:spacing w:after="0"/>
        <w:tabs>
          <w:tab w:leader="none" w:pos="3028" w:val="left"/>
        </w:tabs>
        <w:numPr>
          <w:ilvl w:val="2"/>
          <w:numId w:val="48"/>
        </w:numPr>
        <w:rPr>
          <w:rFonts w:ascii="Arial" w:cs="Arial" w:eastAsia="Arial" w:hAnsi="Arial"/>
          <w:sz w:val="22"/>
          <w:szCs w:val="22"/>
          <w:color w:val="auto"/>
        </w:rPr>
      </w:pPr>
      <w:r>
        <w:rPr>
          <w:rFonts w:ascii="Arial" w:cs="Arial" w:eastAsia="Arial" w:hAnsi="Arial"/>
          <w:sz w:val="22"/>
          <w:szCs w:val="22"/>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213" w:lineRule="exact"/>
        <w:rPr>
          <w:rFonts w:ascii="Arial" w:cs="Arial" w:eastAsia="Arial" w:hAnsi="Arial"/>
          <w:sz w:val="22"/>
          <w:szCs w:val="22"/>
          <w:color w:val="auto"/>
        </w:rPr>
      </w:pPr>
    </w:p>
    <w:p>
      <w:pPr>
        <w:jc w:val="both"/>
        <w:ind w:firstLine="1305"/>
        <w:spacing w:after="0"/>
        <w:tabs>
          <w:tab w:leader="none" w:pos="2148" w:val="left"/>
        </w:tabs>
        <w:numPr>
          <w:ilvl w:val="0"/>
          <w:numId w:val="49"/>
        </w:numPr>
        <w:rPr>
          <w:rFonts w:ascii="Arial" w:cs="Arial" w:eastAsia="Arial" w:hAnsi="Arial"/>
          <w:sz w:val="22"/>
          <w:szCs w:val="22"/>
          <w:color w:val="auto"/>
        </w:rPr>
      </w:pPr>
      <w:r>
        <w:rPr>
          <w:rFonts w:ascii="Arial" w:cs="Arial" w:eastAsia="Arial" w:hAnsi="Arial"/>
          <w:sz w:val="22"/>
          <w:szCs w:val="22"/>
          <w:color w:val="auto"/>
        </w:rPr>
        <w:t>Liens securing Indebtedness incurred in accordance with clauses (10) and/or (16) of Section 4.09(b) hereof and, to the extent such Indebtedness is incurred under the Credit Agreement, Liens securing Indebtedness incurred in accordance with clause (11) of Section 4.09(b) hereof;</w:t>
      </w:r>
    </w:p>
    <w:p>
      <w:pPr>
        <w:spacing w:after="0" w:line="213" w:lineRule="exact"/>
        <w:rPr>
          <w:rFonts w:ascii="Arial" w:cs="Arial" w:eastAsia="Arial" w:hAnsi="Arial"/>
          <w:sz w:val="22"/>
          <w:szCs w:val="22"/>
          <w:color w:val="auto"/>
        </w:rPr>
      </w:pPr>
    </w:p>
    <w:p>
      <w:pPr>
        <w:ind w:left="2200" w:hanging="895"/>
        <w:spacing w:after="0"/>
        <w:tabs>
          <w:tab w:leader="none" w:pos="2200" w:val="left"/>
        </w:tabs>
        <w:numPr>
          <w:ilvl w:val="0"/>
          <w:numId w:val="49"/>
        </w:numPr>
        <w:rPr>
          <w:rFonts w:ascii="Arial" w:cs="Arial" w:eastAsia="Arial" w:hAnsi="Arial"/>
          <w:sz w:val="19"/>
          <w:szCs w:val="19"/>
          <w:color w:val="auto"/>
        </w:rPr>
      </w:pPr>
      <w:r>
        <w:rPr>
          <w:rFonts w:ascii="Arial" w:cs="Arial" w:eastAsia="Arial" w:hAnsi="Arial"/>
          <w:sz w:val="19"/>
          <w:szCs w:val="19"/>
          <w:color w:val="auto"/>
        </w:rPr>
        <w:t>Liens created or expressly contemplated by the Affiliate Agreements, so long as such Liens do not secure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Indebtedness;</w:t>
      </w:r>
    </w:p>
    <w:p>
      <w:pPr>
        <w:spacing w:after="0" w:line="215" w:lineRule="exact"/>
        <w:rPr>
          <w:rFonts w:ascii="Arial" w:cs="Arial" w:eastAsia="Arial" w:hAnsi="Arial"/>
          <w:sz w:val="19"/>
          <w:szCs w:val="19"/>
          <w:color w:val="auto"/>
        </w:rPr>
      </w:pPr>
    </w:p>
    <w:p>
      <w:pPr>
        <w:ind w:left="2340" w:hanging="1035"/>
        <w:spacing w:after="0"/>
        <w:tabs>
          <w:tab w:leader="none" w:pos="23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Liens securing Hedging Obligations permitted to be incurred in accordance with clause (5) of Section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4.09(b) hereof;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5" w:name="page46"/>
    <w:bookmarkEnd w:id="45"/>
    <w:p>
      <w:pPr>
        <w:jc w:val="both"/>
        <w:ind w:firstLine="1305"/>
        <w:spacing w:after="0"/>
        <w:tabs>
          <w:tab w:leader="none" w:pos="2177" w:val="left"/>
        </w:tabs>
        <w:numPr>
          <w:ilvl w:val="0"/>
          <w:numId w:val="50"/>
        </w:numPr>
        <w:rPr>
          <w:rFonts w:ascii="Arial" w:cs="Arial" w:eastAsia="Arial" w:hAnsi="Arial"/>
          <w:sz w:val="22"/>
          <w:szCs w:val="22"/>
          <w:color w:val="auto"/>
        </w:rPr>
      </w:pPr>
      <w:r>
        <w:rPr>
          <w:rFonts w:ascii="Arial" w:cs="Arial" w:eastAsia="Arial" w:hAnsi="Arial"/>
          <w:sz w:val="22"/>
          <w:szCs w:val="22"/>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213" w:lineRule="exact"/>
        <w:rPr>
          <w:rFonts w:ascii="Arial" w:cs="Arial" w:eastAsia="Arial" w:hAnsi="Arial"/>
          <w:sz w:val="22"/>
          <w:szCs w:val="22"/>
          <w:color w:val="auto"/>
        </w:rPr>
      </w:pPr>
    </w:p>
    <w:p>
      <w:pPr>
        <w:jc w:val="both"/>
        <w:ind w:firstLine="1305"/>
        <w:spacing w:after="0" w:line="249" w:lineRule="auto"/>
        <w:tabs>
          <w:tab w:leader="none" w:pos="2355" w:val="left"/>
        </w:tabs>
        <w:numPr>
          <w:ilvl w:val="0"/>
          <w:numId w:val="50"/>
        </w:numPr>
        <w:rPr>
          <w:rFonts w:ascii="Arial" w:cs="Arial" w:eastAsia="Arial" w:hAnsi="Arial"/>
          <w:sz w:val="21"/>
          <w:szCs w:val="21"/>
          <w:color w:val="auto"/>
        </w:rPr>
      </w:pPr>
      <w:r>
        <w:rPr>
          <w:rFonts w:ascii="Arial" w:cs="Arial" w:eastAsia="Arial" w:hAnsi="Arial"/>
          <w:sz w:val="21"/>
          <w:szCs w:val="21"/>
          <w:color w:val="auto"/>
        </w:rPr>
        <w:t>Liens on cash disbursed pursuant to the Disbursement Agreement and deposited with, or held for the account of, Wynn Las Vegas or any of the Restricted Subsidiaries securing reimbursement obligations under performance bonds, guaranties, trade letters of credit, bankers’ acceptances or similar instruments permitted under clause (10) of Section 4.09(b) hereof, granted by Wynn Las Vegas or any of the Restricted Subsidiaries in favor of the issuers of such performance bonds, guaranties, trade letters of credit or bankers’ acceptances, so long as:</w:t>
      </w:r>
    </w:p>
    <w:p>
      <w:pPr>
        <w:spacing w:after="0" w:line="205" w:lineRule="exact"/>
        <w:rPr>
          <w:rFonts w:ascii="Arial" w:cs="Arial" w:eastAsia="Arial" w:hAnsi="Arial"/>
          <w:sz w:val="21"/>
          <w:szCs w:val="21"/>
          <w:color w:val="auto"/>
        </w:rPr>
      </w:pPr>
    </w:p>
    <w:p>
      <w:pPr>
        <w:ind w:left="3020" w:hanging="940"/>
        <w:spacing w:after="0"/>
        <w:tabs>
          <w:tab w:leader="none" w:pos="3020" w:val="left"/>
        </w:tabs>
        <w:numPr>
          <w:ilvl w:val="1"/>
          <w:numId w:val="50"/>
        </w:numPr>
        <w:rPr>
          <w:rFonts w:ascii="Arial" w:cs="Arial" w:eastAsia="Arial" w:hAnsi="Arial"/>
          <w:sz w:val="19"/>
          <w:szCs w:val="19"/>
          <w:color w:val="auto"/>
        </w:rPr>
      </w:pPr>
      <w:r>
        <w:rPr>
          <w:rFonts w:ascii="Arial" w:cs="Arial" w:eastAsia="Arial" w:hAnsi="Arial"/>
          <w:sz w:val="19"/>
          <w:szCs w:val="19"/>
          <w:color w:val="auto"/>
        </w:rPr>
        <w:t>any cash disbursed to secure such reimbursement obligations is invested in Permitted Securities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only, and</w:t>
      </w:r>
    </w:p>
    <w:p>
      <w:pPr>
        <w:spacing w:after="0" w:line="215" w:lineRule="exact"/>
        <w:rPr>
          <w:rFonts w:ascii="Arial" w:cs="Arial" w:eastAsia="Arial" w:hAnsi="Arial"/>
          <w:sz w:val="19"/>
          <w:szCs w:val="19"/>
          <w:color w:val="auto"/>
        </w:rPr>
      </w:pPr>
    </w:p>
    <w:p>
      <w:pPr>
        <w:jc w:val="both"/>
        <w:ind w:firstLine="2080"/>
        <w:spacing w:after="0" w:line="258" w:lineRule="auto"/>
        <w:tabs>
          <w:tab w:leader="none" w:pos="3024" w:val="left"/>
        </w:tabs>
        <w:numPr>
          <w:ilvl w:val="1"/>
          <w:numId w:val="50"/>
        </w:numPr>
        <w:rPr>
          <w:rFonts w:ascii="Arial" w:cs="Arial" w:eastAsia="Arial" w:hAnsi="Arial"/>
          <w:sz w:val="21"/>
          <w:szCs w:val="21"/>
          <w:color w:val="auto"/>
        </w:rPr>
      </w:pPr>
      <w:r>
        <w:rPr>
          <w:rFonts w:ascii="Arial" w:cs="Arial" w:eastAsia="Arial" w:hAnsi="Arial"/>
          <w:sz w:val="21"/>
          <w:szCs w:val="21"/>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193" w:lineRule="exact"/>
        <w:rPr>
          <w:rFonts w:ascii="Arial" w:cs="Arial" w:eastAsia="Arial" w:hAnsi="Arial"/>
          <w:sz w:val="21"/>
          <w:szCs w:val="21"/>
          <w:color w:val="auto"/>
        </w:rPr>
      </w:pPr>
    </w:p>
    <w:p>
      <w:pPr>
        <w:ind w:firstLine="1305"/>
        <w:spacing w:after="0" w:line="251" w:lineRule="auto"/>
        <w:tabs>
          <w:tab w:leader="none" w:pos="2188" w:val="left"/>
        </w:tabs>
        <w:numPr>
          <w:ilvl w:val="0"/>
          <w:numId w:val="50"/>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w:t>
      </w:r>
    </w:p>
    <w:p>
      <w:pPr>
        <w:spacing w:after="0" w:line="200" w:lineRule="exact"/>
        <w:rPr>
          <w:rFonts w:ascii="Arial" w:cs="Arial" w:eastAsia="Arial" w:hAnsi="Arial"/>
          <w:sz w:val="22"/>
          <w:szCs w:val="22"/>
          <w:color w:val="auto"/>
        </w:rPr>
      </w:pPr>
    </w:p>
    <w:p>
      <w:pPr>
        <w:jc w:val="both"/>
        <w:ind w:firstLine="1305"/>
        <w:spacing w:after="0"/>
        <w:tabs>
          <w:tab w:leader="none" w:pos="2256" w:val="left"/>
        </w:tabs>
        <w:numPr>
          <w:ilvl w:val="0"/>
          <w:numId w:val="50"/>
        </w:numPr>
        <w:rPr>
          <w:rFonts w:ascii="Arial" w:cs="Arial" w:eastAsia="Arial" w:hAnsi="Arial"/>
          <w:sz w:val="22"/>
          <w:szCs w:val="22"/>
          <w:color w:val="auto"/>
        </w:rPr>
      </w:pPr>
      <w:r>
        <w:rPr>
          <w:rFonts w:ascii="Arial" w:cs="Arial" w:eastAsia="Arial" w:hAnsi="Arial"/>
          <w:sz w:val="22"/>
          <w:szCs w:val="22"/>
          <w:color w:val="auto"/>
        </w:rPr>
        <w:t>Liens to secure additional Indebtedness incurred at any time other than during a Collateral Release Period which is permitted to be incurred pursuant to Section 4.09(a) or clause (8) of Section 4.09(b) hereof which liens may be of equal or lesser priority as the liens securing the Notes;</w:t>
      </w:r>
    </w:p>
    <w:p>
      <w:pPr>
        <w:spacing w:after="0" w:line="213" w:lineRule="exact"/>
        <w:rPr>
          <w:rFonts w:ascii="Arial" w:cs="Arial" w:eastAsia="Arial" w:hAnsi="Arial"/>
          <w:sz w:val="22"/>
          <w:szCs w:val="22"/>
          <w:color w:val="auto"/>
        </w:rPr>
      </w:pPr>
    </w:p>
    <w:p>
      <w:pPr>
        <w:jc w:val="both"/>
        <w:ind w:firstLine="1305"/>
        <w:spacing w:after="0" w:line="238" w:lineRule="auto"/>
        <w:tabs>
          <w:tab w:leader="none" w:pos="2244" w:val="left"/>
        </w:tabs>
        <w:numPr>
          <w:ilvl w:val="0"/>
          <w:numId w:val="50"/>
        </w:numPr>
        <w:rPr>
          <w:rFonts w:ascii="Arial" w:cs="Arial" w:eastAsia="Arial" w:hAnsi="Arial"/>
          <w:sz w:val="22"/>
          <w:szCs w:val="22"/>
          <w:color w:val="auto"/>
        </w:rPr>
      </w:pPr>
      <w:r>
        <w:rPr>
          <w:rFonts w:ascii="Arial" w:cs="Arial" w:eastAsia="Arial" w:hAnsi="Arial"/>
          <w:sz w:val="22"/>
          <w:szCs w:val="22"/>
          <w:color w:val="auto"/>
        </w:rPr>
        <w:t>Liens to secure additional Indebtedness incurred at any time during a Collateral Release Period which is permitted to be incurred pursuant to Section 4.09(a) or clause (1) of Section 4.09(b) hereof; provided that the aggregate amount of such secured Indebtedness at the time of incurrence does not exceed $100.0 million at any one time (collectively for all assets and property subject to such Liens);</w:t>
      </w:r>
    </w:p>
    <w:p>
      <w:pPr>
        <w:spacing w:after="0" w:line="212" w:lineRule="exact"/>
        <w:rPr>
          <w:rFonts w:ascii="Arial" w:cs="Arial" w:eastAsia="Arial" w:hAnsi="Arial"/>
          <w:sz w:val="22"/>
          <w:szCs w:val="22"/>
          <w:color w:val="auto"/>
        </w:rPr>
      </w:pPr>
    </w:p>
    <w:p>
      <w:pPr>
        <w:ind w:firstLine="1305"/>
        <w:spacing w:after="0" w:line="251" w:lineRule="auto"/>
        <w:tabs>
          <w:tab w:leader="none" w:pos="2391" w:val="left"/>
        </w:tabs>
        <w:numPr>
          <w:ilvl w:val="0"/>
          <w:numId w:val="50"/>
        </w:numPr>
        <w:rPr>
          <w:rFonts w:ascii="Arial" w:cs="Arial" w:eastAsia="Arial" w:hAnsi="Arial"/>
          <w:sz w:val="22"/>
          <w:szCs w:val="22"/>
          <w:color w:val="auto"/>
        </w:rPr>
      </w:pPr>
      <w:r>
        <w:rPr>
          <w:rFonts w:ascii="Arial" w:cs="Arial" w:eastAsia="Arial" w:hAnsi="Arial"/>
          <w:sz w:val="22"/>
          <w:szCs w:val="22"/>
          <w:color w:val="auto"/>
        </w:rPr>
        <w:t>Liens on the Aircraft Assets to secure Indebtedness of World Travel, LLC, which is permitted to be incurred pursuant to clause (15) of Section 4.09(b) hereof;</w:t>
      </w:r>
    </w:p>
    <w:p>
      <w:pPr>
        <w:spacing w:after="0" w:line="200" w:lineRule="exact"/>
        <w:rPr>
          <w:rFonts w:ascii="Arial" w:cs="Arial" w:eastAsia="Arial" w:hAnsi="Arial"/>
          <w:sz w:val="22"/>
          <w:szCs w:val="22"/>
          <w:color w:val="auto"/>
        </w:rPr>
      </w:pPr>
    </w:p>
    <w:p>
      <w:pPr>
        <w:jc w:val="both"/>
        <w:ind w:firstLine="1305"/>
        <w:spacing w:after="0" w:line="258" w:lineRule="auto"/>
        <w:tabs>
          <w:tab w:leader="none" w:pos="2201" w:val="left"/>
        </w:tabs>
        <w:numPr>
          <w:ilvl w:val="0"/>
          <w:numId w:val="50"/>
        </w:numPr>
        <w:rPr>
          <w:rFonts w:ascii="Arial" w:cs="Arial" w:eastAsia="Arial" w:hAnsi="Arial"/>
          <w:sz w:val="21"/>
          <w:szCs w:val="21"/>
          <w:color w:val="auto"/>
        </w:rPr>
      </w:pPr>
      <w:r>
        <w:rPr>
          <w:rFonts w:ascii="Arial" w:cs="Arial" w:eastAsia="Arial" w:hAnsi="Arial"/>
          <w:sz w:val="21"/>
          <w:szCs w:val="21"/>
          <w:color w:val="auto"/>
        </w:rPr>
        <w:t>Liens not specified in clauses (1) through (25) above and not otherwise permitted by Section 4.12 hereof, so long as the aggregate outstanding principal amount of the obligations secured by all such Liens in the aggregate does not exceed $10.0 million at any one time (collectively for all assets and property subject to such Liens);</w:t>
      </w:r>
    </w:p>
    <w:p>
      <w:pPr>
        <w:spacing w:after="0" w:line="193" w:lineRule="exact"/>
        <w:rPr>
          <w:rFonts w:ascii="Arial" w:cs="Arial" w:eastAsia="Arial" w:hAnsi="Arial"/>
          <w:sz w:val="21"/>
          <w:szCs w:val="21"/>
          <w:color w:val="auto"/>
        </w:rPr>
      </w:pPr>
    </w:p>
    <w:p>
      <w:pPr>
        <w:ind w:left="2160" w:hanging="855"/>
        <w:spacing w:after="0"/>
        <w:tabs>
          <w:tab w:leader="none" w:pos="21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jc w:val="both"/>
        <w:ind w:firstLine="1305"/>
        <w:spacing w:after="0"/>
        <w:tabs>
          <w:tab w:leader="none" w:pos="2156" w:val="left"/>
        </w:tabs>
        <w:numPr>
          <w:ilvl w:val="0"/>
          <w:numId w:val="50"/>
        </w:numPr>
        <w:rPr>
          <w:rFonts w:ascii="Arial" w:cs="Arial" w:eastAsia="Arial" w:hAnsi="Arial"/>
          <w:sz w:val="22"/>
          <w:szCs w:val="22"/>
          <w:color w:val="auto"/>
        </w:rPr>
      </w:pPr>
      <w:r>
        <w:rPr>
          <w:rFonts w:ascii="Arial" w:cs="Arial" w:eastAsia="Arial" w:hAnsi="Arial"/>
          <w:sz w:val="22"/>
          <w:szCs w:val="22"/>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6" w:name="page47"/>
    <w:bookmarkEnd w:id="46"/>
    <w:p>
      <w:pPr>
        <w:ind w:left="2160" w:hanging="855"/>
        <w:spacing w:after="0"/>
        <w:tabs>
          <w:tab w:leader="none" w:pos="21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Liens securing the 2014 Notes; and</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Liens securing the 2017 Notes.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Refinancing Indebtedness</w:t>
      </w:r>
      <w:r>
        <w:rPr>
          <w:rFonts w:ascii="Arial" w:cs="Arial" w:eastAsia="Arial" w:hAnsi="Arial"/>
          <w:sz w:val="22"/>
          <w:szCs w:val="22"/>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212" w:lineRule="exact"/>
        <w:rPr>
          <w:sz w:val="20"/>
          <w:szCs w:val="20"/>
          <w:color w:val="auto"/>
        </w:rPr>
      </w:pPr>
    </w:p>
    <w:p>
      <w:pPr>
        <w:jc w:val="both"/>
        <w:ind w:firstLine="1305"/>
        <w:spacing w:after="0" w:line="282" w:lineRule="auto"/>
        <w:tabs>
          <w:tab w:leader="none" w:pos="2279"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shall not exceed the then current Fair Market Value of the asset so encumbered;</w:t>
      </w:r>
    </w:p>
    <w:p>
      <w:pPr>
        <w:spacing w:after="0" w:line="174" w:lineRule="exact"/>
        <w:rPr>
          <w:rFonts w:ascii="Arial" w:cs="Arial" w:eastAsia="Arial" w:hAnsi="Arial"/>
          <w:sz w:val="19"/>
          <w:szCs w:val="19"/>
          <w:color w:val="auto"/>
        </w:rPr>
      </w:pPr>
    </w:p>
    <w:p>
      <w:pPr>
        <w:jc w:val="both"/>
        <w:ind w:firstLine="1305"/>
        <w:spacing w:after="0"/>
        <w:tabs>
          <w:tab w:leader="none" w:pos="2165" w:val="left"/>
        </w:tabs>
        <w:numPr>
          <w:ilvl w:val="0"/>
          <w:numId w:val="52"/>
        </w:numPr>
        <w:rPr>
          <w:rFonts w:ascii="Arial" w:cs="Arial" w:eastAsia="Arial" w:hAnsi="Arial"/>
          <w:sz w:val="22"/>
          <w:szCs w:val="22"/>
          <w:color w:val="auto"/>
        </w:rPr>
      </w:pPr>
      <w:r>
        <w:rPr>
          <w:rFonts w:ascii="Arial" w:cs="Arial" w:eastAsia="Arial" w:hAnsi="Arial"/>
          <w:sz w:val="22"/>
          <w:szCs w:val="22"/>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213" w:lineRule="exact"/>
        <w:rPr>
          <w:rFonts w:ascii="Arial" w:cs="Arial" w:eastAsia="Arial" w:hAnsi="Arial"/>
          <w:sz w:val="22"/>
          <w:szCs w:val="22"/>
          <w:color w:val="auto"/>
        </w:rPr>
      </w:pPr>
    </w:p>
    <w:p>
      <w:pPr>
        <w:jc w:val="both"/>
        <w:ind w:firstLine="1305"/>
        <w:spacing w:after="0" w:line="249" w:lineRule="auto"/>
        <w:tabs>
          <w:tab w:leader="none" w:pos="2167" w:val="left"/>
        </w:tabs>
        <w:numPr>
          <w:ilvl w:val="0"/>
          <w:numId w:val="52"/>
        </w:numPr>
        <w:rPr>
          <w:rFonts w:ascii="Arial" w:cs="Arial" w:eastAsia="Arial" w:hAnsi="Arial"/>
          <w:sz w:val="21"/>
          <w:szCs w:val="21"/>
          <w:color w:val="auto"/>
        </w:rPr>
      </w:pPr>
      <w:r>
        <w:rPr>
          <w:rFonts w:ascii="Arial" w:cs="Arial" w:eastAsia="Arial" w:hAnsi="Arial"/>
          <w:sz w:val="21"/>
          <w:szCs w:val="21"/>
          <w:color w:val="auto"/>
        </w:rPr>
        <w:t>if the Indebtedness being extended, refinanced, renewed, replaced, defeased or refunded is subordinated in right of payment to the Notes or the Note Guarantees, such Permitted Refinancing Indebtedness has a final maturity date later than the final maturity date of, and is subordinated in right of payment to, the Notes or the Note Guarantees, as applicable, on terms at least as favorable, taken as a whole, to the Holders of Notes as those contained in the documentation governing the Indebtedness being extended, refinanced, renewed, replaced, defeased or refunded; and</w:t>
      </w:r>
    </w:p>
    <w:p>
      <w:pPr>
        <w:spacing w:after="0" w:line="205" w:lineRule="exact"/>
        <w:rPr>
          <w:rFonts w:ascii="Arial" w:cs="Arial" w:eastAsia="Arial" w:hAnsi="Arial"/>
          <w:sz w:val="21"/>
          <w:szCs w:val="21"/>
          <w:color w:val="auto"/>
        </w:rPr>
      </w:pPr>
    </w:p>
    <w:p>
      <w:pPr>
        <w:ind w:firstLine="1305"/>
        <w:spacing w:after="0" w:line="251" w:lineRule="auto"/>
        <w:tabs>
          <w:tab w:leader="none" w:pos="2446" w:val="left"/>
        </w:tabs>
        <w:numPr>
          <w:ilvl w:val="0"/>
          <w:numId w:val="52"/>
        </w:numPr>
        <w:rPr>
          <w:rFonts w:ascii="Arial" w:cs="Arial" w:eastAsia="Arial" w:hAnsi="Arial"/>
          <w:sz w:val="22"/>
          <w:szCs w:val="22"/>
          <w:color w:val="auto"/>
        </w:rPr>
      </w:pPr>
      <w:r>
        <w:rPr>
          <w:rFonts w:ascii="Arial" w:cs="Arial" w:eastAsia="Arial" w:hAnsi="Arial"/>
          <w:sz w:val="22"/>
          <w:szCs w:val="22"/>
          <w:color w:val="auto"/>
        </w:rPr>
        <w:t>such Indebtedness is incurred by the Person that is the obligor on the Indebtedness being extended, refinanced, renewed, replaced, defeased or refunded.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Securities</w:t>
      </w:r>
      <w:r>
        <w:rPr>
          <w:rFonts w:ascii="Arial" w:cs="Arial" w:eastAsia="Arial" w:hAnsi="Arial"/>
          <w:sz w:val="22"/>
          <w:szCs w:val="22"/>
          <w:color w:val="auto"/>
        </w:rPr>
        <w:t>” means:</w:t>
      </w:r>
    </w:p>
    <w:p>
      <w:pPr>
        <w:spacing w:after="0" w:line="233" w:lineRule="exact"/>
        <w:rPr>
          <w:sz w:val="20"/>
          <w:szCs w:val="20"/>
          <w:color w:val="auto"/>
        </w:rPr>
      </w:pPr>
    </w:p>
    <w:p>
      <w:pPr>
        <w:jc w:val="both"/>
        <w:ind w:firstLine="1305"/>
        <w:spacing w:after="0"/>
        <w:tabs>
          <w:tab w:leader="none" w:pos="2155" w:val="left"/>
        </w:tabs>
        <w:numPr>
          <w:ilvl w:val="0"/>
          <w:numId w:val="53"/>
        </w:numPr>
        <w:rPr>
          <w:rFonts w:ascii="Arial" w:cs="Arial" w:eastAsia="Arial" w:hAnsi="Arial"/>
          <w:sz w:val="22"/>
          <w:szCs w:val="22"/>
          <w:color w:val="auto"/>
        </w:rPr>
      </w:pPr>
      <w:r>
        <w:rPr>
          <w:rFonts w:ascii="Arial" w:cs="Arial" w:eastAsia="Arial" w:hAnsi="Arial"/>
          <w:sz w:val="22"/>
          <w:szCs w:val="22"/>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213" w:lineRule="exact"/>
        <w:rPr>
          <w:rFonts w:ascii="Arial" w:cs="Arial" w:eastAsia="Arial" w:hAnsi="Arial"/>
          <w:sz w:val="22"/>
          <w:szCs w:val="22"/>
          <w:color w:val="auto"/>
        </w:rPr>
      </w:pPr>
    </w:p>
    <w:p>
      <w:pPr>
        <w:ind w:firstLine="1305"/>
        <w:spacing w:after="0" w:line="251" w:lineRule="auto"/>
        <w:tabs>
          <w:tab w:leader="none" w:pos="2366" w:val="left"/>
        </w:tabs>
        <w:numPr>
          <w:ilvl w:val="0"/>
          <w:numId w:val="53"/>
        </w:numPr>
        <w:rPr>
          <w:rFonts w:ascii="Arial" w:cs="Arial" w:eastAsia="Arial" w:hAnsi="Arial"/>
          <w:sz w:val="22"/>
          <w:szCs w:val="22"/>
          <w:color w:val="auto"/>
        </w:rPr>
      </w:pPr>
      <w:r>
        <w:rPr>
          <w:rFonts w:ascii="Arial" w:cs="Arial" w:eastAsia="Arial" w:hAnsi="Arial"/>
          <w:sz w:val="22"/>
          <w:szCs w:val="22"/>
          <w:color w:val="auto"/>
        </w:rPr>
        <w:t>shares of money market, mutual or similar funds, including funds managed or offered by the Trustee, which invest exclusively in assets satisfying the requirements of clause (1) of this definition; or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7" w:name="page48"/>
    <w:bookmarkEnd w:id="47"/>
    <w:p>
      <w:pPr>
        <w:ind w:left="2160" w:hanging="855"/>
        <w:spacing w:after="0"/>
        <w:tabs>
          <w:tab w:leader="none" w:pos="21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shares of, or an investment in, the JPMorgan Federal Money Market Fund.</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Person</w:t>
      </w:r>
      <w:r>
        <w:rPr>
          <w:rFonts w:ascii="Arial" w:cs="Arial" w:eastAsia="Arial" w:hAnsi="Arial"/>
          <w:sz w:val="21"/>
          <w:szCs w:val="21"/>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this Indenture.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Phase II Final Completion</w:t>
      </w:r>
      <w:r>
        <w:rPr>
          <w:rFonts w:ascii="Arial" w:cs="Arial" w:eastAsia="Arial" w:hAnsi="Arial"/>
          <w:sz w:val="22"/>
          <w:szCs w:val="22"/>
          <w:color w:val="auto"/>
        </w:rPr>
        <w:t>” has the meaning given that term in the Disbursement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Phase II Final Completion Date</w:t>
      </w:r>
      <w:r>
        <w:rPr>
          <w:rFonts w:ascii="Arial" w:cs="Arial" w:eastAsia="Arial" w:hAnsi="Arial"/>
          <w:sz w:val="22"/>
          <w:szCs w:val="22"/>
          <w:color w:val="auto"/>
        </w:rPr>
        <w:t>” means the date on which Phase II Final Completion occurs.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Phase II Project Budget</w:t>
      </w:r>
      <w:r>
        <w:rPr>
          <w:rFonts w:ascii="Arial" w:cs="Arial" w:eastAsia="Arial" w:hAnsi="Arial"/>
          <w:sz w:val="19"/>
          <w:szCs w:val="19"/>
          <w:color w:val="auto"/>
        </w:rPr>
        <w:t>” means the Phase II Project Budget approved in accordance with the Disbursement Agreement.</w:t>
      </w:r>
    </w:p>
    <w:p>
      <w:pPr>
        <w:spacing w:after="0" w:line="26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Pledge and Security Agreement</w:t>
      </w:r>
      <w:r>
        <w:rPr>
          <w:rFonts w:ascii="Arial" w:cs="Arial" w:eastAsia="Arial" w:hAnsi="Arial"/>
          <w:sz w:val="21"/>
          <w:szCs w:val="21"/>
          <w:color w:val="auto"/>
        </w:rPr>
        <w:t>” means the Pledge and Security Agreement, dated as of the date of this Indenture, made by the Issuers, the Guarantors, Wynn Resorts Holdings and the other grantors from time to time party thereto, in favor of Deutsche Bank Trust Company Americas, as collateral agent, to secure the obligations under this Indenture and the Notes, as amended, amended and restated, supplemented or otherwise modified from time to time.</w:t>
      </w:r>
    </w:p>
    <w:p>
      <w:pPr>
        <w:spacing w:after="0" w:line="20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Point of Diversion</w:t>
      </w:r>
      <w:r>
        <w:rPr>
          <w:rFonts w:ascii="Arial" w:cs="Arial" w:eastAsia="Arial" w:hAnsi="Arial"/>
          <w:sz w:val="22"/>
          <w:szCs w:val="22"/>
          <w:color w:val="auto"/>
        </w:rPr>
        <w:t>” means, with respect to any water permit, the location designated under such water permit where a well can be located for the draw of water under such water permit.</w:t>
      </w:r>
    </w:p>
    <w:p>
      <w:pPr>
        <w:spacing w:after="0" w:line="20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Presumed Tax Liability</w:t>
      </w:r>
      <w:r>
        <w:rPr>
          <w:rFonts w:ascii="Arial" w:cs="Arial" w:eastAsia="Arial" w:hAnsi="Arial"/>
          <w:sz w:val="22"/>
          <w:szCs w:val="22"/>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21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Presumed Tax Rate</w:t>
      </w:r>
      <w:r>
        <w:rPr>
          <w:rFonts w:ascii="Arial" w:cs="Arial" w:eastAsia="Arial" w:hAnsi="Arial"/>
          <w:sz w:val="19"/>
          <w:szCs w:val="19"/>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 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8" w:name="page49"/>
    <w:bookmarkEnd w:id="48"/>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Primary Note Collateral</w:t>
      </w:r>
      <w:r>
        <w:rPr>
          <w:rFonts w:ascii="Arial" w:cs="Arial" w:eastAsia="Arial" w:hAnsi="Arial"/>
          <w:sz w:val="22"/>
          <w:szCs w:val="22"/>
          <w:color w:val="auto"/>
        </w:rPr>
        <w:t>” means all Collateral, together with the proceeds and products thereof (including, without limitation, the proceeds of Asset Sales).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Principal</w:t>
      </w:r>
      <w:r>
        <w:rPr>
          <w:rFonts w:ascii="Arial" w:cs="Arial" w:eastAsia="Arial" w:hAnsi="Arial"/>
          <w:sz w:val="22"/>
          <w:szCs w:val="22"/>
          <w:color w:val="auto"/>
        </w:rPr>
        <w:t>” means Stephen A. Wynn.</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Private Placement Legend</w:t>
      </w:r>
      <w:r>
        <w:rPr>
          <w:rFonts w:ascii="Arial" w:cs="Arial" w:eastAsia="Arial" w:hAnsi="Arial"/>
          <w:sz w:val="22"/>
          <w:szCs w:val="22"/>
          <w:color w:val="auto"/>
        </w:rPr>
        <w:t>” means the legend set forth in Section 2.06(g)(1) hereof to be placed on all Notes issued under this Indenture except where otherwise permitted by the provisions of this Indenture.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Project Credit Party</w:t>
      </w:r>
      <w:r>
        <w:rPr>
          <w:rFonts w:ascii="Arial" w:cs="Arial" w:eastAsia="Arial" w:hAnsi="Arial"/>
          <w:sz w:val="22"/>
          <w:szCs w:val="22"/>
          <w:color w:val="auto"/>
        </w:rPr>
        <w:t>” has the meaning given to such term in the Intercreditor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Project Lease and Easement Agreements</w:t>
      </w:r>
      <w:r>
        <w:rPr>
          <w:rFonts w:ascii="Arial" w:cs="Arial" w:eastAsia="Arial" w:hAnsi="Arial"/>
          <w:sz w:val="22"/>
          <w:szCs w:val="22"/>
          <w:color w:val="auto"/>
        </w:rPr>
        <w:t>” means:</w:t>
      </w:r>
    </w:p>
    <w:p>
      <w:pPr>
        <w:spacing w:after="0" w:line="233" w:lineRule="exact"/>
        <w:rPr>
          <w:sz w:val="20"/>
          <w:szCs w:val="20"/>
          <w:color w:val="auto"/>
        </w:rPr>
      </w:pPr>
    </w:p>
    <w:p>
      <w:pPr>
        <w:ind w:left="2160" w:hanging="855"/>
        <w:spacing w:after="0"/>
        <w:tabs>
          <w:tab w:leader="none" w:pos="21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Golf Course Lease and</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Dealership Lease Agreement.</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each case, as amended, modified or otherwise supplemented from time to time in any manner that is not in contravention of Section 4.22 hereof.</w:t>
      </w:r>
    </w:p>
    <w:p>
      <w:pPr>
        <w:spacing w:after="0" w:line="200"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Project Site</w:t>
      </w:r>
      <w:r>
        <w:rPr>
          <w:rFonts w:ascii="Arial" w:cs="Arial" w:eastAsia="Arial" w:hAnsi="Arial"/>
          <w:sz w:val="22"/>
          <w:szCs w:val="22"/>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Projects</w:t>
      </w:r>
      <w:r>
        <w:rPr>
          <w:rFonts w:ascii="Arial" w:cs="Arial" w:eastAsia="Arial" w:hAnsi="Arial"/>
          <w:sz w:val="22"/>
          <w:szCs w:val="22"/>
          <w:color w:val="auto"/>
        </w:rPr>
        <w:t>” means the Wynn Las Vegas Resort and Encore at Wynn Las Vegas.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Pro Rata Payment</w:t>
      </w:r>
      <w:r>
        <w:rPr>
          <w:rFonts w:ascii="Arial" w:cs="Arial" w:eastAsia="Arial" w:hAnsi="Arial"/>
          <w:sz w:val="22"/>
          <w:szCs w:val="22"/>
          <w:color w:val="auto"/>
        </w:rPr>
        <w:t>” has the meaning given to such term in the Intercreditor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QIB</w:t>
      </w:r>
      <w:r>
        <w:rPr>
          <w:rFonts w:ascii="Arial" w:cs="Arial" w:eastAsia="Arial" w:hAnsi="Arial"/>
          <w:sz w:val="22"/>
          <w:szCs w:val="22"/>
          <w:color w:val="auto"/>
        </w:rPr>
        <w:t>” means a “qualified institutional buyer” as defined in Rule 144A.</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Qualified Equity Offering</w:t>
      </w:r>
      <w:r>
        <w:rPr>
          <w:rFonts w:ascii="Arial" w:cs="Arial" w:eastAsia="Arial" w:hAnsi="Arial"/>
          <w:sz w:val="22"/>
          <w:szCs w:val="22"/>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capital contribution to Wynn Las Vegas.</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Qualifying Project</w:t>
      </w:r>
      <w:r>
        <w:rPr>
          <w:rFonts w:ascii="Arial" w:cs="Arial" w:eastAsia="Arial" w:hAnsi="Arial"/>
          <w:sz w:val="19"/>
          <w:szCs w:val="19"/>
          <w:color w:val="auto"/>
        </w:rPr>
        <w:t>” means the gaming and/or hotel projects of Wynn Resorts and its Subsidiaries which are operating or for which the financing for the development, construction and opening thereof has been obtained. For purposes of this definition, each of the Wynn Las Vegas Resort, Encore at Wynn Las Vegas and the Macau Project shall count as separate projects.</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Registration Rights Agreement</w:t>
      </w:r>
      <w:r>
        <w:rPr>
          <w:rFonts w:ascii="Arial" w:cs="Arial" w:eastAsia="Arial" w:hAnsi="Arial"/>
          <w:sz w:val="22"/>
          <w:szCs w:val="22"/>
          <w:color w:val="auto"/>
        </w:rPr>
        <w:t>” means the Registration Rights Agreement, dated as of the date of this Indenture, by and among, the Issuers, the Guarantors and the Dealer Managers, as such agreement may be amended, modified or supplemented from time to time and,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49" w:name="page50"/>
    <w:bookmarkEnd w:id="49"/>
    <w:p>
      <w:pPr>
        <w:jc w:val="both"/>
        <w:spacing w:after="0" w:line="297" w:lineRule="auto"/>
        <w:rPr>
          <w:sz w:val="20"/>
          <w:szCs w:val="20"/>
          <w:color w:val="auto"/>
        </w:rPr>
      </w:pPr>
      <w:r>
        <w:rPr>
          <w:rFonts w:ascii="Arial" w:cs="Arial" w:eastAsia="Arial" w:hAnsi="Arial"/>
          <w:sz w:val="19"/>
          <w:szCs w:val="19"/>
          <w:color w:val="auto"/>
        </w:rPr>
        <w:t>to Additional Notes, one or more registration rights agreements by and among the Issuers, the Guarantors and the other parties thereto, as such agreement(s) may be amended, modified or supplemented from time to time, relating to rights given by the Issuers and the Guarantors to the purchasers of Additional Notes to register such Additional Notes under the Securities Act.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w:t>
      </w:r>
      <w:r>
        <w:rPr>
          <w:rFonts w:ascii="Arial" w:cs="Arial" w:eastAsia="Arial" w:hAnsi="Arial"/>
          <w:sz w:val="22"/>
          <w:szCs w:val="22"/>
          <w:color w:val="auto"/>
        </w:rPr>
        <w:t>” means Regulation S promulgated under the Securities Act.</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Global Note</w:t>
      </w:r>
      <w:r>
        <w:rPr>
          <w:rFonts w:ascii="Arial" w:cs="Arial" w:eastAsia="Arial" w:hAnsi="Arial"/>
          <w:sz w:val="22"/>
          <w:szCs w:val="22"/>
          <w:color w:val="auto"/>
        </w:rPr>
        <w:t>” means a Regulation S Temporary Global Note or Regulation S Permanent Global Note, as appropriate.</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Permanent Global Note</w:t>
      </w:r>
      <w:r>
        <w:rPr>
          <w:rFonts w:ascii="Arial" w:cs="Arial" w:eastAsia="Arial" w:hAnsi="Arial"/>
          <w:sz w:val="22"/>
          <w:szCs w:val="22"/>
          <w:color w:val="auto"/>
        </w:rPr>
        <w:t>” means a permanent Global Note in the form of Exhibit A-1 hereto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Restricted Period.</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Temporary Global Note</w:t>
      </w:r>
      <w:r>
        <w:rPr>
          <w:rFonts w:ascii="Arial" w:cs="Arial" w:eastAsia="Arial" w:hAnsi="Arial"/>
          <w:sz w:val="22"/>
          <w:szCs w:val="22"/>
          <w:color w:val="auto"/>
        </w:rPr>
        <w:t>” means a temporary Global Note in the form of Exhibit A-2 hereto deposited with or on behalf of and registered in the name of the Depositary or its nominee, issued in a denomination equal to the outstanding principal amount of the Notes initially sold in reliance on Rule 903 of Regulation 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Related Party</w:t>
      </w:r>
      <w:r>
        <w:rPr>
          <w:rFonts w:ascii="Arial" w:cs="Arial" w:eastAsia="Arial" w:hAnsi="Arial"/>
          <w:sz w:val="22"/>
          <w:szCs w:val="22"/>
          <w:color w:val="auto"/>
        </w:rPr>
        <w:t>” means:</w:t>
      </w:r>
    </w:p>
    <w:p>
      <w:pPr>
        <w:spacing w:after="0" w:line="233" w:lineRule="exact"/>
        <w:rPr>
          <w:sz w:val="20"/>
          <w:szCs w:val="20"/>
          <w:color w:val="auto"/>
        </w:rPr>
      </w:pPr>
    </w:p>
    <w:p>
      <w:pPr>
        <w:ind w:firstLine="1305"/>
        <w:spacing w:after="0" w:line="251" w:lineRule="auto"/>
        <w:tabs>
          <w:tab w:leader="none" w:pos="2148"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controlling stockholder, 80% (or more) owned Subsidiary, or immediate family member (in the case of an individual) of any Principal; or</w:t>
      </w:r>
    </w:p>
    <w:p>
      <w:pPr>
        <w:spacing w:after="0" w:line="200" w:lineRule="exact"/>
        <w:rPr>
          <w:rFonts w:ascii="Arial" w:cs="Arial" w:eastAsia="Arial" w:hAnsi="Arial"/>
          <w:sz w:val="22"/>
          <w:szCs w:val="22"/>
          <w:color w:val="auto"/>
        </w:rPr>
      </w:pPr>
    </w:p>
    <w:p>
      <w:pPr>
        <w:jc w:val="both"/>
        <w:ind w:firstLine="1305"/>
        <w:spacing w:after="0" w:line="258" w:lineRule="auto"/>
        <w:tabs>
          <w:tab w:leader="none" w:pos="2737" w:val="left"/>
        </w:tabs>
        <w:numPr>
          <w:ilvl w:val="0"/>
          <w:numId w:val="56"/>
        </w:numPr>
        <w:rPr>
          <w:rFonts w:ascii="Arial" w:cs="Arial" w:eastAsia="Arial" w:hAnsi="Arial"/>
          <w:sz w:val="21"/>
          <w:szCs w:val="21"/>
          <w:color w:val="auto"/>
        </w:rPr>
      </w:pPr>
      <w:r>
        <w:rPr>
          <w:rFonts w:ascii="Arial" w:cs="Arial" w:eastAsia="Arial" w:hAnsi="Arial"/>
          <w:sz w:val="21"/>
          <w:szCs w:val="21"/>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Released Assets</w:t>
      </w:r>
      <w:r>
        <w:rPr>
          <w:rFonts w:ascii="Arial" w:cs="Arial" w:eastAsia="Arial" w:hAnsi="Arial"/>
          <w:sz w:val="19"/>
          <w:szCs w:val="19"/>
          <w:color w:val="auto"/>
        </w:rPr>
        <w:t>” means any item of Collateral for which conditions to its release are expressly set forth in this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Notes or a Note Guarantee pursuant to Section 10.03 hereof.</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Required Secured Parties</w:t>
      </w:r>
      <w:r>
        <w:rPr>
          <w:rFonts w:ascii="Arial" w:cs="Arial" w:eastAsia="Arial" w:hAnsi="Arial"/>
          <w:sz w:val="22"/>
          <w:szCs w:val="22"/>
          <w:color w:val="auto"/>
        </w:rPr>
        <w:t>” has the meaning given to such term in the Intercreditor Agreement.</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Responsible Officer</w:t>
      </w:r>
      <w:r>
        <w:rPr>
          <w:rFonts w:ascii="Arial" w:cs="Arial" w:eastAsia="Arial" w:hAnsi="Arial"/>
          <w:sz w:val="19"/>
          <w:szCs w:val="19"/>
          <w:color w:val="auto"/>
        </w:rPr>
        <w:t>,” when used with respect to the Trustee, means any officer within the corporate trust department of the Trustee located at the Corporate Trust Office of the Trustee (or any successor group of the Trustee) or any other officer of the Trustee customarily performing functions similar to those performed by any of the above designated officers and also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50" w:name="page51"/>
    <w:bookmarkEnd w:id="50"/>
    <w:p>
      <w:pPr>
        <w:jc w:val="both"/>
        <w:spacing w:after="0" w:line="251" w:lineRule="auto"/>
        <w:rPr>
          <w:sz w:val="20"/>
          <w:szCs w:val="20"/>
          <w:color w:val="auto"/>
        </w:rPr>
      </w:pPr>
      <w:r>
        <w:rPr>
          <w:rFonts w:ascii="Arial" w:cs="Arial" w:eastAsia="Arial" w:hAnsi="Arial"/>
          <w:sz w:val="22"/>
          <w:szCs w:val="22"/>
          <w:color w:val="auto"/>
        </w:rPr>
        <w:t>means, with respect to a particular corporate trust matter, any other officer to whom such matter is referred because of his knowledge of and familiarity with the particular subject.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Definitive Note</w:t>
      </w:r>
      <w:r>
        <w:rPr>
          <w:rFonts w:ascii="Arial" w:cs="Arial" w:eastAsia="Arial" w:hAnsi="Arial"/>
          <w:sz w:val="22"/>
          <w:szCs w:val="22"/>
          <w:color w:val="auto"/>
        </w:rPr>
        <w:t>” means a Definitive Note bearing the Private Placement Legend.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Global Note</w:t>
      </w:r>
      <w:r>
        <w:rPr>
          <w:rFonts w:ascii="Arial" w:cs="Arial" w:eastAsia="Arial" w:hAnsi="Arial"/>
          <w:sz w:val="22"/>
          <w:szCs w:val="22"/>
          <w:color w:val="auto"/>
        </w:rPr>
        <w:t>” means a Global Note bearing the Private Placement Legend.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Investment</w:t>
      </w:r>
      <w:r>
        <w:rPr>
          <w:rFonts w:ascii="Arial" w:cs="Arial" w:eastAsia="Arial" w:hAnsi="Arial"/>
          <w:sz w:val="22"/>
          <w:szCs w:val="22"/>
          <w:color w:val="auto"/>
        </w:rPr>
        <w:t>” means an Investment other than a Permitted Investment.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Period</w:t>
      </w:r>
      <w:r>
        <w:rPr>
          <w:rFonts w:ascii="Arial" w:cs="Arial" w:eastAsia="Arial" w:hAnsi="Arial"/>
          <w:sz w:val="22"/>
          <w:szCs w:val="22"/>
          <w:color w:val="auto"/>
        </w:rPr>
        <w:t>” means the 40-day distribution compliance period as defined in Regulation 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Subsidiary</w:t>
      </w:r>
      <w:r>
        <w:rPr>
          <w:rFonts w:ascii="Arial" w:cs="Arial" w:eastAsia="Arial" w:hAnsi="Arial"/>
          <w:sz w:val="22"/>
          <w:szCs w:val="22"/>
          <w:color w:val="auto"/>
        </w:rPr>
        <w:t>” means any Subsidiary of Wynn Las Vegas that is not an Unrestricted Subsidiary.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Retail Facility</w:t>
      </w:r>
      <w:r>
        <w:rPr>
          <w:rFonts w:ascii="Arial" w:cs="Arial" w:eastAsia="Arial" w:hAnsi="Arial"/>
          <w:sz w:val="22"/>
          <w:szCs w:val="22"/>
          <w:color w:val="auto"/>
        </w:rPr>
        <w:t>” means an up to approximately 60,000 square foot retail facility adjoining the Projects.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w:t>
      </w:r>
      <w:r>
        <w:rPr>
          <w:rFonts w:ascii="Arial" w:cs="Arial" w:eastAsia="Arial" w:hAnsi="Arial"/>
          <w:sz w:val="22"/>
          <w:szCs w:val="22"/>
          <w:color w:val="auto"/>
        </w:rPr>
        <w:t>” means Rule 144 promulgated under the Securities Act.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144A</w:t>
      </w:r>
      <w:r>
        <w:rPr>
          <w:rFonts w:ascii="Arial" w:cs="Arial" w:eastAsia="Arial" w:hAnsi="Arial"/>
          <w:sz w:val="22"/>
          <w:szCs w:val="22"/>
          <w:color w:val="auto"/>
        </w:rPr>
        <w:t>” means Rule 144A promulgated under the Securities Act.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903</w:t>
      </w:r>
      <w:r>
        <w:rPr>
          <w:rFonts w:ascii="Arial" w:cs="Arial" w:eastAsia="Arial" w:hAnsi="Arial"/>
          <w:sz w:val="22"/>
          <w:szCs w:val="22"/>
          <w:color w:val="auto"/>
        </w:rPr>
        <w:t>” means Rule 903 promulgated under the Securities Act.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904</w:t>
      </w:r>
      <w:r>
        <w:rPr>
          <w:rFonts w:ascii="Arial" w:cs="Arial" w:eastAsia="Arial" w:hAnsi="Arial"/>
          <w:sz w:val="22"/>
          <w:szCs w:val="22"/>
          <w:color w:val="auto"/>
        </w:rPr>
        <w:t>” means Rule 904 promulgated under the Securities Act.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S&amp;P</w:t>
      </w:r>
      <w:r>
        <w:rPr>
          <w:rFonts w:ascii="Arial" w:cs="Arial" w:eastAsia="Arial" w:hAnsi="Arial"/>
          <w:sz w:val="22"/>
          <w:szCs w:val="22"/>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Securities and Exchange Commission.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Security Agreements</w:t>
      </w:r>
      <w:r>
        <w:rPr>
          <w:rFonts w:ascii="Arial" w:cs="Arial" w:eastAsia="Arial" w:hAnsi="Arial"/>
          <w:sz w:val="22"/>
          <w:szCs w:val="22"/>
          <w:color w:val="auto"/>
        </w:rPr>
        <w:t>” means:</w:t>
      </w:r>
    </w:p>
    <w:p>
      <w:pPr>
        <w:spacing w:after="0" w:line="233" w:lineRule="exact"/>
        <w:rPr>
          <w:sz w:val="20"/>
          <w:szCs w:val="20"/>
          <w:color w:val="auto"/>
        </w:rPr>
      </w:pPr>
    </w:p>
    <w:p>
      <w:pPr>
        <w:ind w:left="2160" w:hanging="855"/>
        <w:spacing w:after="0"/>
        <w:tabs>
          <w:tab w:leader="none" w:pos="21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Pledge and Security Agreement, and</w:t>
      </w:r>
    </w:p>
    <w:p>
      <w:pPr>
        <w:spacing w:after="0" w:line="233" w:lineRule="exact"/>
        <w:rPr>
          <w:rFonts w:ascii="Arial" w:cs="Arial" w:eastAsia="Arial" w:hAnsi="Arial"/>
          <w:sz w:val="22"/>
          <w:szCs w:val="22"/>
          <w:color w:val="auto"/>
        </w:rPr>
      </w:pPr>
    </w:p>
    <w:p>
      <w:pPr>
        <w:ind w:firstLine="1305"/>
        <w:spacing w:after="0" w:line="251" w:lineRule="auto"/>
        <w:tabs>
          <w:tab w:leader="none" w:pos="2321"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other guarantee and collateral agreement entered into by either Issuer or any Restricted Subsidiary from time to time in accordance with the provisions of this Indenture,</w:t>
      </w:r>
    </w:p>
    <w:p>
      <w:pPr>
        <w:spacing w:after="0" w:line="20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 each case, as amended, modified or otherwise supplemented from time to time in accordance with their respective terms and with this Indenture and the other Collateral Documents.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Shared Security Documents</w:t>
      </w:r>
      <w:r>
        <w:rPr>
          <w:rFonts w:ascii="Arial" w:cs="Arial" w:eastAsia="Arial" w:hAnsi="Arial"/>
          <w:sz w:val="22"/>
          <w:szCs w:val="22"/>
          <w:color w:val="auto"/>
        </w:rPr>
        <w:t>” has the meaning given to such term in the Intercreditor Agreement.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Shelf Registration Statement</w:t>
      </w:r>
      <w:r>
        <w:rPr>
          <w:rFonts w:ascii="Arial" w:cs="Arial" w:eastAsia="Arial" w:hAnsi="Arial"/>
          <w:sz w:val="19"/>
          <w:szCs w:val="19"/>
          <w:color w:val="auto"/>
        </w:rPr>
        <w:t>” means the Shelf Registration Statement as defined in the Registration Rights Agreement.</w:t>
      </w:r>
    </w:p>
    <w:p>
      <w:pPr>
        <w:spacing w:after="0" w:line="26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Significant Restricted Subsidiary</w:t>
      </w:r>
      <w:r>
        <w:rPr>
          <w:rFonts w:ascii="Arial" w:cs="Arial" w:eastAsia="Arial" w:hAnsi="Arial"/>
          <w:sz w:val="22"/>
          <w:szCs w:val="22"/>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Solvent</w:t>
      </w:r>
      <w:r>
        <w:rPr>
          <w:rFonts w:ascii="Arial" w:cs="Arial" w:eastAsia="Arial" w:hAnsi="Arial"/>
          <w:sz w:val="22"/>
          <w:szCs w:val="22"/>
          <w:color w:val="auto"/>
        </w:rPr>
        <w:t>” means, when used with respect to any Person, as of any date of determination:</w:t>
      </w:r>
    </w:p>
    <w:p>
      <w:pPr>
        <w:spacing w:after="0" w:line="233" w:lineRule="exact"/>
        <w:rPr>
          <w:sz w:val="20"/>
          <w:szCs w:val="20"/>
          <w:color w:val="auto"/>
        </w:rPr>
      </w:pPr>
    </w:p>
    <w:p>
      <w:pPr>
        <w:jc w:val="both"/>
        <w:ind w:firstLine="1305"/>
        <w:spacing w:after="0" w:line="258" w:lineRule="auto"/>
        <w:tabs>
          <w:tab w:leader="none" w:pos="2207"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amount of the “present fair saleable value” of the assets of such Person shall, as of such date, exceeds the amount of all “liabilities of such Person, contingent or otherwise,” as of such date, as such quoted terms are determined in accordance with applicable federal and state laws governing determinations of the insolvency of debtors,</w:t>
      </w:r>
    </w:p>
    <w:p>
      <w:pPr>
        <w:spacing w:after="0" w:line="193" w:lineRule="exact"/>
        <w:rPr>
          <w:rFonts w:ascii="Arial" w:cs="Arial" w:eastAsia="Arial" w:hAnsi="Arial"/>
          <w:sz w:val="21"/>
          <w:szCs w:val="21"/>
          <w:color w:val="auto"/>
        </w:rPr>
      </w:pPr>
    </w:p>
    <w:p>
      <w:pPr>
        <w:ind w:firstLine="1305"/>
        <w:spacing w:after="0" w:line="251" w:lineRule="auto"/>
        <w:tabs>
          <w:tab w:leader="none" w:pos="2184" w:val="left"/>
        </w:tabs>
        <w:numPr>
          <w:ilvl w:val="0"/>
          <w:numId w:val="58"/>
        </w:numPr>
        <w:rPr>
          <w:rFonts w:ascii="Arial" w:cs="Arial" w:eastAsia="Arial" w:hAnsi="Arial"/>
          <w:sz w:val="22"/>
          <w:szCs w:val="22"/>
          <w:color w:val="auto"/>
        </w:rPr>
      </w:pPr>
      <w:r>
        <w:rPr>
          <w:rFonts w:ascii="Arial" w:cs="Arial" w:eastAsia="Arial" w:hAnsi="Arial"/>
          <w:sz w:val="22"/>
          <w:szCs w:val="22"/>
          <w:color w:val="auto"/>
        </w:rPr>
        <w:t>such Person does not reasonably expect that such person may be unable to pay the liability of such Person on its debts as such debts become absolute and matured,</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such Person shall not have, as of such date, an unreasonably small amount of capital with which to conduct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its business,</w:t>
      </w:r>
    </w:p>
    <w:p>
      <w:pPr>
        <w:spacing w:after="0" w:line="215" w:lineRule="exact"/>
        <w:rPr>
          <w:rFonts w:ascii="Arial" w:cs="Arial" w:eastAsia="Arial" w:hAnsi="Arial"/>
          <w:sz w:val="19"/>
          <w:szCs w:val="19"/>
          <w:color w:val="auto"/>
        </w:rPr>
      </w:pPr>
    </w:p>
    <w:p>
      <w:pPr>
        <w:ind w:left="2160" w:hanging="855"/>
        <w:spacing w:after="0"/>
        <w:tabs>
          <w:tab w:leader="none" w:pos="21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such Person shall be able to pay its undisputed debts generally as they mature, and</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such Person is not insolvent within the meaning of any applicable requirements of law.</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In addition, for purposes of this definition, (a) “debt” means liability on a “claim,” and (b) “claim” means any (i) right to payment, whether or not such a right is reduced to judgment, liquidated, unliquidated, fixed, contingent, matured, unmatured, disputed, undisputed, legal, equitable, secured or unsecured or (ii)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Stated Maturity</w:t>
      </w:r>
      <w:r>
        <w:rPr>
          <w:rFonts w:ascii="Arial" w:cs="Arial" w:eastAsia="Arial" w:hAnsi="Arial"/>
          <w:sz w:val="22"/>
          <w:szCs w:val="22"/>
          <w:color w:val="auto"/>
        </w:rPr>
        <w:t>” means, with respect to any installment of interest or principal on any series of Indebtedness, the date on which the payment of interest or principal was scheduled to be paid in the documentation governing such Indebtedness as of the date of this Indenture, and shall not include any contingent obligations to repay, redeem or repurchase any such interest or principal prior to the date originally scheduled for the payment thereof.</w:t>
      </w:r>
    </w:p>
    <w:p>
      <w:pPr>
        <w:spacing w:after="0" w:line="212"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Stockholders Agreement</w:t>
      </w:r>
      <w:r>
        <w:rPr>
          <w:rFonts w:ascii="Arial" w:cs="Arial" w:eastAsia="Arial" w:hAnsi="Arial"/>
          <w:sz w:val="19"/>
          <w:szCs w:val="19"/>
          <w:color w:val="auto"/>
        </w:rPr>
        <w:t>” means that certain Amended and Restated Stockholders Agreement, dated as of January 6, 2010, by and among Stephen A. Wynn, Elaine P. Wynn and Aruze USA, as in effect on the date of this Indenture.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means, with respect to any specified Person: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52" w:name="page53"/>
    <w:bookmarkEnd w:id="52"/>
    <w:p>
      <w:pPr>
        <w:jc w:val="both"/>
        <w:ind w:firstLine="1305"/>
        <w:spacing w:after="0" w:line="249" w:lineRule="auto"/>
        <w:tabs>
          <w:tab w:leader="none" w:pos="2201" w:val="left"/>
        </w:tabs>
        <w:numPr>
          <w:ilvl w:val="0"/>
          <w:numId w:val="59"/>
        </w:numPr>
        <w:rPr>
          <w:rFonts w:ascii="Arial" w:cs="Arial" w:eastAsia="Arial" w:hAnsi="Arial"/>
          <w:sz w:val="21"/>
          <w:szCs w:val="21"/>
          <w:color w:val="auto"/>
        </w:rPr>
      </w:pPr>
      <w:r>
        <w:rPr>
          <w:rFonts w:ascii="Arial" w:cs="Arial" w:eastAsia="Arial" w:hAnsi="Arial"/>
          <w:sz w:val="21"/>
          <w:szCs w:val="21"/>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205" w:lineRule="exact"/>
        <w:rPr>
          <w:rFonts w:ascii="Arial" w:cs="Arial" w:eastAsia="Arial" w:hAnsi="Arial"/>
          <w:sz w:val="21"/>
          <w:szCs w:val="21"/>
          <w:color w:val="auto"/>
        </w:rPr>
      </w:pPr>
    </w:p>
    <w:p>
      <w:pPr>
        <w:jc w:val="both"/>
        <w:ind w:firstLine="1305"/>
        <w:spacing w:after="0"/>
        <w:tabs>
          <w:tab w:leader="none" w:pos="22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213" w:lineRule="exact"/>
        <w:rPr>
          <w:rFonts w:ascii="Arial" w:cs="Arial" w:eastAsia="Arial" w:hAnsi="Arial"/>
          <w:sz w:val="22"/>
          <w:szCs w:val="22"/>
          <w:color w:val="auto"/>
        </w:rPr>
      </w:pPr>
    </w:p>
    <w:p>
      <w:pPr>
        <w:jc w:val="both"/>
        <w:ind w:firstLine="1305"/>
        <w:spacing w:after="0"/>
        <w:tabs>
          <w:tab w:leader="none" w:pos="2511" w:val="left"/>
        </w:tabs>
        <w:numPr>
          <w:ilvl w:val="0"/>
          <w:numId w:val="59"/>
        </w:numPr>
        <w:rPr>
          <w:rFonts w:ascii="Arial" w:cs="Arial" w:eastAsia="Arial" w:hAnsi="Arial"/>
          <w:sz w:val="22"/>
          <w:szCs w:val="22"/>
          <w:color w:val="auto"/>
        </w:rPr>
      </w:pPr>
      <w:r>
        <w:rPr>
          <w:rFonts w:ascii="Arial" w:cs="Arial" w:eastAsia="Arial" w:hAnsi="Arial"/>
          <w:sz w:val="22"/>
          <w:szCs w:val="22"/>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Tax Amount</w:t>
      </w:r>
      <w:r>
        <w:rPr>
          <w:rFonts w:ascii="Arial" w:cs="Arial" w:eastAsia="Arial" w:hAnsi="Arial"/>
          <w:sz w:val="19"/>
          <w:szCs w:val="19"/>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 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Taxable Income</w:t>
      </w:r>
      <w:r>
        <w:rPr>
          <w:rFonts w:ascii="Arial" w:cs="Arial" w:eastAsia="Arial" w:hAnsi="Arial"/>
          <w:sz w:val="22"/>
          <w:szCs w:val="22"/>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shall be included in taxable income or loss.</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Tax Indemnification Agreement</w:t>
      </w:r>
      <w:r>
        <w:rPr>
          <w:rFonts w:ascii="Arial" w:cs="Arial" w:eastAsia="Arial" w:hAnsi="Arial"/>
          <w:sz w:val="22"/>
          <w:szCs w:val="22"/>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TIA</w:t>
      </w:r>
      <w:r>
        <w:rPr>
          <w:rFonts w:ascii="Arial" w:cs="Arial" w:eastAsia="Arial" w:hAnsi="Arial"/>
          <w:sz w:val="22"/>
          <w:szCs w:val="22"/>
          <w:color w:val="auto"/>
        </w:rPr>
        <w:t>” means the Trust Indenture Act of 1939 (15 U.S.C. §§ 77aaa-77bbbb) as in effect on the date on which this Indenture is qualified under the TIA.</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53" w:name="page54"/>
    <w:bookmarkEnd w:id="53"/>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Trustee</w:t>
      </w:r>
      <w:r>
        <w:rPr>
          <w:rFonts w:ascii="Arial" w:cs="Arial" w:eastAsia="Arial" w:hAnsi="Arial"/>
          <w:sz w:val="22"/>
          <w:szCs w:val="22"/>
          <w:color w:val="auto"/>
        </w:rPr>
        <w:t>” means the party named as such in the preamble to this Indenture until a successor replaces it in accordance with the applicable provisions of this Indenture and thereafter means the successor serving hereunder.</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2014 Notes</w:t>
      </w:r>
      <w:r>
        <w:rPr>
          <w:rFonts w:ascii="Arial" w:cs="Arial" w:eastAsia="Arial" w:hAnsi="Arial"/>
          <w:sz w:val="22"/>
          <w:szCs w:val="22"/>
          <w:color w:val="auto"/>
        </w:rPr>
        <w:t>” means the 6</w:t>
      </w:r>
      <w:r>
        <w:rPr>
          <w:rFonts w:ascii="Arial" w:cs="Arial" w:eastAsia="Arial" w:hAnsi="Arial"/>
          <w:sz w:val="30"/>
          <w:szCs w:val="30"/>
          <w:color w:val="auto"/>
          <w:vertAlign w:val="superscript"/>
        </w:rPr>
        <w:t>5</w:t>
      </w:r>
      <w:r>
        <w:rPr>
          <w:rFonts w:ascii="Arial" w:cs="Arial" w:eastAsia="Arial" w:hAnsi="Arial"/>
          <w:sz w:val="22"/>
          <w:szCs w:val="22"/>
          <w:color w:val="auto"/>
        </w:rPr>
        <w:t>/</w:t>
      </w:r>
      <w:r>
        <w:rPr>
          <w:rFonts w:ascii="Arial" w:cs="Arial" w:eastAsia="Arial" w:hAnsi="Arial"/>
          <w:sz w:val="30"/>
          <w:szCs w:val="30"/>
          <w:color w:val="auto"/>
          <w:vertAlign w:val="subscript"/>
        </w:rPr>
        <w:t>8</w:t>
      </w:r>
      <w:r>
        <w:rPr>
          <w:rFonts w:ascii="Arial" w:cs="Arial" w:eastAsia="Arial" w:hAnsi="Arial"/>
          <w:sz w:val="22"/>
          <w:szCs w:val="22"/>
          <w:color w:val="auto"/>
        </w:rPr>
        <w:t>% First Mortgage Notes due 2014 issued by the Issuers.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2017 Notes</w:t>
      </w:r>
      <w:r>
        <w:rPr>
          <w:rFonts w:ascii="Arial" w:cs="Arial" w:eastAsia="Arial" w:hAnsi="Arial"/>
          <w:sz w:val="22"/>
          <w:szCs w:val="22"/>
          <w:color w:val="auto"/>
        </w:rPr>
        <w:t>” means the 7.875% First Mortgage Notes due 2017 issued by the Issuers.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UEC</w:t>
      </w:r>
      <w:r>
        <w:rPr>
          <w:rFonts w:ascii="Arial" w:cs="Arial" w:eastAsia="Arial" w:hAnsi="Arial"/>
          <w:sz w:val="22"/>
          <w:szCs w:val="22"/>
          <w:color w:val="auto"/>
        </w:rPr>
        <w:t>” means Universal Entertainment Corporation, a Japanese public corporation.</w:t>
      </w:r>
    </w:p>
    <w:p>
      <w:pPr>
        <w:spacing w:after="0" w:line="23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Definitive Note</w:t>
      </w:r>
      <w:r>
        <w:rPr>
          <w:rFonts w:ascii="Arial" w:cs="Arial" w:eastAsia="Arial" w:hAnsi="Arial"/>
          <w:sz w:val="22"/>
          <w:szCs w:val="22"/>
          <w:color w:val="auto"/>
        </w:rPr>
        <w:t>” means a Definitive Note that does not bear and is not required to bear the Private Placement Legend.</w:t>
      </w:r>
    </w:p>
    <w:p>
      <w:pPr>
        <w:spacing w:after="0" w:line="200"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Global Note</w:t>
      </w:r>
      <w:r>
        <w:rPr>
          <w:rFonts w:ascii="Arial" w:cs="Arial" w:eastAsia="Arial" w:hAnsi="Arial"/>
          <w:sz w:val="22"/>
          <w:szCs w:val="22"/>
          <w:color w:val="auto"/>
        </w:rPr>
        <w:t>” means a Global Note that does not bear and is not required to bear the Private Placement Legend.</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Subsidiary</w:t>
      </w:r>
      <w:r>
        <w:rPr>
          <w:rFonts w:ascii="Arial" w:cs="Arial" w:eastAsia="Arial" w:hAnsi="Arial"/>
          <w:sz w:val="22"/>
          <w:szCs w:val="22"/>
          <w:color w:val="auto"/>
        </w:rPr>
        <w:t>”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212" w:lineRule="exact"/>
        <w:rPr>
          <w:sz w:val="20"/>
          <w:szCs w:val="20"/>
          <w:color w:val="auto"/>
        </w:rPr>
      </w:pPr>
    </w:p>
    <w:p>
      <w:pPr>
        <w:ind w:left="2160" w:hanging="855"/>
        <w:spacing w:after="0"/>
        <w:tabs>
          <w:tab w:leader="none" w:pos="21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has no Indebtedness other than Non-Recourse Debt;</w:t>
      </w:r>
    </w:p>
    <w:p>
      <w:pPr>
        <w:spacing w:after="0" w:line="233" w:lineRule="exact"/>
        <w:rPr>
          <w:rFonts w:ascii="Arial" w:cs="Arial" w:eastAsia="Arial" w:hAnsi="Arial"/>
          <w:sz w:val="22"/>
          <w:szCs w:val="22"/>
          <w:color w:val="auto"/>
        </w:rPr>
      </w:pPr>
    </w:p>
    <w:p>
      <w:pPr>
        <w:jc w:val="both"/>
        <w:ind w:firstLine="1305"/>
        <w:spacing w:after="0" w:line="236" w:lineRule="auto"/>
        <w:tabs>
          <w:tab w:leader="none" w:pos="2297" w:val="left"/>
        </w:tabs>
        <w:numPr>
          <w:ilvl w:val="0"/>
          <w:numId w:val="60"/>
        </w:numPr>
        <w:rPr>
          <w:rFonts w:ascii="Arial" w:cs="Arial" w:eastAsia="Arial" w:hAnsi="Arial"/>
          <w:sz w:val="22"/>
          <w:szCs w:val="22"/>
          <w:color w:val="auto"/>
        </w:rPr>
      </w:pPr>
      <w:r>
        <w:rPr>
          <w:rFonts w:ascii="Arial" w:cs="Arial" w:eastAsia="Arial" w:hAnsi="Arial"/>
          <w:sz w:val="22"/>
          <w:szCs w:val="22"/>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Section 4.07 hereof, or (c) are Affiliate Transactions permitted under Section 4.11 hereof;</w:t>
      </w:r>
    </w:p>
    <w:p>
      <w:pPr>
        <w:spacing w:after="0" w:line="214" w:lineRule="exact"/>
        <w:rPr>
          <w:rFonts w:ascii="Arial" w:cs="Arial" w:eastAsia="Arial" w:hAnsi="Arial"/>
          <w:sz w:val="22"/>
          <w:szCs w:val="22"/>
          <w:color w:val="auto"/>
        </w:rPr>
      </w:pPr>
    </w:p>
    <w:p>
      <w:pPr>
        <w:jc w:val="both"/>
        <w:ind w:firstLine="1305"/>
        <w:spacing w:after="0" w:line="258" w:lineRule="auto"/>
        <w:tabs>
          <w:tab w:leader="none" w:pos="2217" w:val="left"/>
        </w:tabs>
        <w:numPr>
          <w:ilvl w:val="0"/>
          <w:numId w:val="60"/>
        </w:numPr>
        <w:rPr>
          <w:rFonts w:ascii="Arial" w:cs="Arial" w:eastAsia="Arial" w:hAnsi="Arial"/>
          <w:sz w:val="21"/>
          <w:szCs w:val="21"/>
          <w:color w:val="auto"/>
        </w:rPr>
      </w:pPr>
      <w:r>
        <w:rPr>
          <w:rFonts w:ascii="Arial" w:cs="Arial" w:eastAsia="Arial" w:hAnsi="Arial"/>
          <w:sz w:val="21"/>
          <w:szCs w:val="21"/>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193" w:lineRule="exact"/>
        <w:rPr>
          <w:rFonts w:ascii="Arial" w:cs="Arial" w:eastAsia="Arial" w:hAnsi="Arial"/>
          <w:sz w:val="21"/>
          <w:szCs w:val="21"/>
          <w:color w:val="auto"/>
        </w:rPr>
      </w:pPr>
    </w:p>
    <w:p>
      <w:pPr>
        <w:ind w:firstLine="1305"/>
        <w:spacing w:after="0" w:line="251" w:lineRule="auto"/>
        <w:tabs>
          <w:tab w:leader="none" w:pos="2374" w:val="left"/>
        </w:tabs>
        <w:numPr>
          <w:ilvl w:val="0"/>
          <w:numId w:val="60"/>
        </w:numPr>
        <w:rPr>
          <w:rFonts w:ascii="Arial" w:cs="Arial" w:eastAsia="Arial" w:hAnsi="Arial"/>
          <w:sz w:val="22"/>
          <w:szCs w:val="22"/>
          <w:color w:val="auto"/>
        </w:rPr>
      </w:pPr>
      <w:r>
        <w:rPr>
          <w:rFonts w:ascii="Arial" w:cs="Arial" w:eastAsia="Arial" w:hAnsi="Arial"/>
          <w:sz w:val="22"/>
          <w:szCs w:val="22"/>
          <w:color w:val="auto"/>
        </w:rPr>
        <w:t>has not guaranteed or otherwise directly or indirectly provided credit support for any Indebtedness of either Issuer or any Restricted Subsidiary, or any Guarantor; and</w:t>
      </w:r>
    </w:p>
    <w:p>
      <w:pPr>
        <w:spacing w:after="0" w:line="200" w:lineRule="exact"/>
        <w:rPr>
          <w:rFonts w:ascii="Arial" w:cs="Arial" w:eastAsia="Arial" w:hAnsi="Arial"/>
          <w:sz w:val="22"/>
          <w:szCs w:val="22"/>
          <w:color w:val="auto"/>
        </w:rPr>
      </w:pPr>
    </w:p>
    <w:p>
      <w:pPr>
        <w:jc w:val="both"/>
        <w:ind w:firstLine="1305"/>
        <w:spacing w:after="0"/>
        <w:tabs>
          <w:tab w:leader="none" w:pos="2176" w:val="left"/>
        </w:tabs>
        <w:numPr>
          <w:ilvl w:val="0"/>
          <w:numId w:val="60"/>
        </w:numPr>
        <w:rPr>
          <w:rFonts w:ascii="Arial" w:cs="Arial" w:eastAsia="Arial" w:hAnsi="Arial"/>
          <w:sz w:val="22"/>
          <w:szCs w:val="22"/>
          <w:color w:val="auto"/>
        </w:rPr>
      </w:pPr>
      <w:r>
        <w:rPr>
          <w:rFonts w:ascii="Arial" w:cs="Arial" w:eastAsia="Arial" w:hAnsi="Arial"/>
          <w:sz w:val="22"/>
          <w:szCs w:val="22"/>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Any designation of a Subsidiary of Wynn Las Vegas as an Unrestricted Subsidiary shall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54" w:name="page55"/>
    <w:bookmarkEnd w:id="54"/>
    <w:p>
      <w:pPr>
        <w:jc w:val="both"/>
        <w:spacing w:after="0" w:line="274" w:lineRule="auto"/>
        <w:rPr>
          <w:sz w:val="20"/>
          <w:szCs w:val="20"/>
          <w:color w:val="auto"/>
        </w:rPr>
      </w:pPr>
      <w:r>
        <w:rPr>
          <w:rFonts w:ascii="Arial" w:cs="Arial" w:eastAsia="Arial" w:hAnsi="Arial"/>
          <w:sz w:val="19"/>
          <w:szCs w:val="19"/>
          <w:color w:val="auto"/>
        </w:rPr>
        <w:t>Section 4.07 hereof. If, at any time, any Unrestricted Subsidiary of Wynn Las Vegas would fail to meet the preceding requirements as an Unrestricted Subsidiary, it shall thereafter cease to be an Unrestricted Subsidiary of Wynn Las Vegas for purposes of this Indenture and any Indebtedness of such Subsidiary shall be deemed to be incurred by a Restricted Subsidiary of Wynn Las Vegas as of such date and, if such Indebtedness is not permitted to be incurred as of such date under Section 4.09 hereof,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 ding Indebtedness of such Unrestricted Subsidiary and such designation shall only be permitted if (1) such Indebtedness is permitted under Section 4.09 hereof calculated on a pro forma basis as if such designation had occurred at the beginning of the four-quarter reference period and (2) no Default or Event of Default would be in existence following such designation.</w:t>
      </w: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Person</w:t>
      </w:r>
      <w:r>
        <w:rPr>
          <w:rFonts w:ascii="Arial" w:cs="Arial" w:eastAsia="Arial" w:hAnsi="Arial"/>
          <w:sz w:val="22"/>
          <w:szCs w:val="22"/>
          <w:color w:val="auto"/>
        </w:rPr>
        <w:t>” means a U.S. Person as defined in Rule 902(k) promulgated under the Securities Act.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Valvino Lamore</w:t>
      </w:r>
      <w:r>
        <w:rPr>
          <w:rFonts w:ascii="Arial" w:cs="Arial" w:eastAsia="Arial" w:hAnsi="Arial"/>
          <w:sz w:val="22"/>
          <w:szCs w:val="22"/>
          <w:color w:val="auto"/>
        </w:rPr>
        <w:t>” means Valvino Lamore, LLC, a Nevada limited liability company.</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Voting Stock</w:t>
      </w:r>
      <w:r>
        <w:rPr>
          <w:rFonts w:ascii="Arial" w:cs="Arial" w:eastAsia="Arial" w:hAnsi="Arial"/>
          <w:sz w:val="22"/>
          <w:szCs w:val="22"/>
          <w:color w:val="auto"/>
        </w:rPr>
        <w:t>” of any Person as of any date means the Capital Stock of such Person that is at the time entitled to vote in the election of the Board of Directors of such Person.</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Water Rights</w:t>
      </w:r>
      <w:r>
        <w:rPr>
          <w:rFonts w:ascii="Arial" w:cs="Arial" w:eastAsia="Arial" w:hAnsi="Arial"/>
          <w:sz w:val="22"/>
          <w:szCs w:val="22"/>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Weighted Average Life to Maturity</w:t>
      </w:r>
      <w:r>
        <w:rPr>
          <w:rFonts w:ascii="Arial" w:cs="Arial" w:eastAsia="Arial" w:hAnsi="Arial"/>
          <w:sz w:val="22"/>
          <w:szCs w:val="22"/>
          <w:color w:val="auto"/>
        </w:rPr>
        <w:t>” means, when applied to any Indebtedness at any date, the number of years obtained by dividing:</w:t>
      </w:r>
    </w:p>
    <w:p>
      <w:pPr>
        <w:spacing w:after="0" w:line="200" w:lineRule="exact"/>
        <w:rPr>
          <w:sz w:val="20"/>
          <w:szCs w:val="20"/>
          <w:color w:val="auto"/>
        </w:rPr>
      </w:pPr>
    </w:p>
    <w:p>
      <w:pPr>
        <w:jc w:val="both"/>
        <w:ind w:firstLine="1305"/>
        <w:spacing w:after="0" w:line="297" w:lineRule="auto"/>
        <w:tabs>
          <w:tab w:leader="none" w:pos="2428"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shall elapse between such date and the making of such payment; by</w:t>
      </w:r>
    </w:p>
    <w:p>
      <w:pPr>
        <w:spacing w:after="0" w:line="161" w:lineRule="exact"/>
        <w:rPr>
          <w:rFonts w:ascii="Arial" w:cs="Arial" w:eastAsia="Arial" w:hAnsi="Arial"/>
          <w:sz w:val="19"/>
          <w:szCs w:val="19"/>
          <w:color w:val="auto"/>
        </w:rPr>
      </w:pPr>
    </w:p>
    <w:p>
      <w:pPr>
        <w:ind w:left="2160" w:hanging="855"/>
        <w:spacing w:after="0"/>
        <w:tabs>
          <w:tab w:leader="none" w:pos="21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then outstanding principal amount of such Indebtedness.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Wholly Owned Restricted Subsidiary</w:t>
      </w:r>
      <w:r>
        <w:rPr>
          <w:rFonts w:ascii="Arial" w:cs="Arial" w:eastAsia="Arial" w:hAnsi="Arial"/>
          <w:sz w:val="22"/>
          <w:szCs w:val="22"/>
          <w:color w:val="auto"/>
        </w:rPr>
        <w:t>” of any specified Person means a Restricted Subsidiary of such Person all of the outstanding Capital Stock or other ownership interests of which (other than directors’ qualifying shares) shall at the time be owned by such Person or by one or more Wholly Owned Restricted Subsidiaries of such Person.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Wholly Owned Subsidiary</w:t>
      </w:r>
      <w:r>
        <w:rPr>
          <w:rFonts w:ascii="Arial" w:cs="Arial" w:eastAsia="Arial" w:hAnsi="Arial"/>
          <w:sz w:val="22"/>
          <w:szCs w:val="22"/>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55" w:name="page56"/>
    <w:bookmarkEnd w:id="5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Capital</w:t>
      </w:r>
      <w:r>
        <w:rPr>
          <w:rFonts w:ascii="Arial" w:cs="Arial" w:eastAsia="Arial" w:hAnsi="Arial"/>
          <w:sz w:val="22"/>
          <w:szCs w:val="22"/>
          <w:color w:val="auto"/>
        </w:rPr>
        <w:t>” means Wynn Las Vegas Capital Corp., a Nevada 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Golf</w:t>
      </w:r>
      <w:r>
        <w:rPr>
          <w:rFonts w:ascii="Arial" w:cs="Arial" w:eastAsia="Arial" w:hAnsi="Arial"/>
          <w:sz w:val="22"/>
          <w:szCs w:val="22"/>
          <w:color w:val="auto"/>
        </w:rPr>
        <w:t>” means Wynn Golf, LLC, a Nevada limited liability company.</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Home Site Land</w:t>
      </w:r>
      <w:r>
        <w:rPr>
          <w:rFonts w:ascii="Arial" w:cs="Arial" w:eastAsia="Arial" w:hAnsi="Arial"/>
          <w:sz w:val="22"/>
          <w:szCs w:val="22"/>
          <w:color w:val="auto"/>
        </w:rPr>
        <w:t>” means an approximately two acre tract of land located on the Golf Course Land where a personal residence for Stephen A. Wynn may be built, after the release of the Trustee’s Liens (for the benefit of the Holders) thereon in accordance with Section 10.03(e).</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IP Agreement</w:t>
      </w:r>
      <w:r>
        <w:rPr>
          <w:rFonts w:ascii="Arial" w:cs="Arial" w:eastAsia="Arial" w:hAnsi="Arial"/>
          <w:sz w:val="22"/>
          <w:szCs w:val="22"/>
          <w:color w:val="auto"/>
        </w:rPr>
        <w:t>” means the Intellectual Property License Agreement, dated as of December 14, 2004, among Wynn Resorts, Wynn Resorts Holdings and Wynn Las Vegas.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Las Vegas</w:t>
      </w:r>
      <w:r>
        <w:rPr>
          <w:rFonts w:ascii="Arial" w:cs="Arial" w:eastAsia="Arial" w:hAnsi="Arial"/>
          <w:sz w:val="22"/>
          <w:szCs w:val="22"/>
          <w:color w:val="auto"/>
        </w:rPr>
        <w:t>” means Wynn Las Vegas, LLC, a Nevada limited liability company.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Las Vegas Resort</w:t>
      </w:r>
      <w:r>
        <w:rPr>
          <w:rFonts w:ascii="Arial" w:cs="Arial" w:eastAsia="Arial" w:hAnsi="Arial"/>
          <w:sz w:val="22"/>
          <w:szCs w:val="22"/>
          <w:color w:val="auto"/>
        </w:rPr>
        <w:t>” means the Wynn Las Vegas hotel and casino resort.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Resorts</w:t>
      </w:r>
      <w:r>
        <w:rPr>
          <w:rFonts w:ascii="Arial" w:cs="Arial" w:eastAsia="Arial" w:hAnsi="Arial"/>
          <w:sz w:val="22"/>
          <w:szCs w:val="22"/>
          <w:color w:val="auto"/>
        </w:rPr>
        <w:t>” means Wynn Resorts, Limited, a Nevada corporation.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Resorts Holdings</w:t>
      </w:r>
      <w:r>
        <w:rPr>
          <w:rFonts w:ascii="Arial" w:cs="Arial" w:eastAsia="Arial" w:hAnsi="Arial"/>
          <w:sz w:val="22"/>
          <w:szCs w:val="22"/>
          <w:color w:val="auto"/>
        </w:rPr>
        <w:t>” means Wynn Resorts Holdings, LLC, a Nevada limited liability company.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Show Performers</w:t>
      </w:r>
      <w:r>
        <w:rPr>
          <w:rFonts w:ascii="Arial" w:cs="Arial" w:eastAsia="Arial" w:hAnsi="Arial"/>
          <w:sz w:val="22"/>
          <w:szCs w:val="22"/>
          <w:color w:val="auto"/>
        </w:rPr>
        <w:t>” means Wynn Show Performers, LLC, a Nevada limited liability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640" w:type="dxa"/>
            <w:vAlign w:val="bottom"/>
            <w:gridSpan w:val="2"/>
          </w:tcPr>
          <w:p>
            <w:pPr>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Other Definitions.</w:t>
            </w:r>
          </w:p>
        </w:tc>
        <w:tc>
          <w:tcPr>
            <w:tcW w:w="5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449"/>
        </w:trPr>
        <w:tc>
          <w:tcPr>
            <w:tcW w:w="5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22"/>
                <w:szCs w:val="22"/>
                <w:b w:val="1"/>
                <w:bCs w:val="1"/>
                <w:color w:val="auto"/>
                <w:w w:val="89"/>
              </w:rPr>
              <w:t>Defined</w:t>
            </w:r>
          </w:p>
        </w:tc>
      </w:tr>
      <w:tr>
        <w:trPr>
          <w:trHeight w:val="230"/>
        </w:trPr>
        <w:tc>
          <w:tcPr>
            <w:tcW w:w="4640" w:type="dxa"/>
            <w:vAlign w:val="bottom"/>
            <w:gridSpan w:val="2"/>
          </w:tcPr>
          <w:p>
            <w:pPr>
              <w:spacing w:after="0" w:line="230" w:lineRule="exact"/>
              <w:rPr>
                <w:sz w:val="20"/>
                <w:szCs w:val="20"/>
                <w:color w:val="auto"/>
              </w:rPr>
            </w:pPr>
            <w:r>
              <w:rPr>
                <w:rFonts w:ascii="Arial" w:cs="Arial" w:eastAsia="Arial" w:hAnsi="Arial"/>
                <w:sz w:val="22"/>
                <w:szCs w:val="22"/>
                <w:b w:val="1"/>
                <w:bCs w:val="1"/>
                <w:color w:val="auto"/>
              </w:rPr>
              <w:t>Term</w:t>
            </w:r>
          </w:p>
        </w:tc>
        <w:tc>
          <w:tcPr>
            <w:tcW w:w="5460" w:type="dxa"/>
            <w:vAlign w:val="bottom"/>
          </w:tcPr>
          <w:p>
            <w:pPr>
              <w:spacing w:after="0"/>
              <w:rPr>
                <w:sz w:val="20"/>
                <w:szCs w:val="20"/>
                <w:color w:val="auto"/>
              </w:rPr>
            </w:pPr>
          </w:p>
        </w:tc>
        <w:tc>
          <w:tcPr>
            <w:tcW w:w="1320" w:type="dxa"/>
            <w:vAlign w:val="bottom"/>
            <w:gridSpan w:val="2"/>
          </w:tcPr>
          <w:p>
            <w:pPr>
              <w:jc w:val="center"/>
              <w:ind w:right="400"/>
              <w:spacing w:after="0" w:line="230" w:lineRule="exact"/>
              <w:rPr>
                <w:sz w:val="20"/>
                <w:szCs w:val="20"/>
                <w:color w:val="auto"/>
              </w:rPr>
            </w:pPr>
            <w:r>
              <w:rPr>
                <w:rFonts w:ascii="Arial" w:cs="Arial" w:eastAsia="Arial" w:hAnsi="Arial"/>
                <w:sz w:val="22"/>
                <w:szCs w:val="22"/>
                <w:b w:val="1"/>
                <w:bCs w:val="1"/>
                <w:color w:val="auto"/>
                <w:w w:val="87"/>
              </w:rPr>
              <w:t>in Section</w:t>
            </w:r>
          </w:p>
        </w:tc>
      </w:tr>
      <w:tr>
        <w:trPr>
          <w:trHeight w:val="20"/>
        </w:trPr>
        <w:tc>
          <w:tcPr>
            <w:tcW w:w="5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42"/>
        </w:trPr>
        <w:tc>
          <w:tcPr>
            <w:tcW w:w="4640" w:type="dxa"/>
            <w:vAlign w:val="bottom"/>
            <w:gridSpan w:val="2"/>
          </w:tcPr>
          <w:p>
            <w:pPr>
              <w:spacing w:after="0" w:line="242" w:lineRule="exact"/>
              <w:rPr>
                <w:sz w:val="20"/>
                <w:szCs w:val="20"/>
                <w:color w:val="auto"/>
              </w:rPr>
            </w:pPr>
            <w:r>
              <w:rPr>
                <w:rFonts w:ascii="Arial" w:cs="Arial" w:eastAsia="Arial" w:hAnsi="Arial"/>
                <w:sz w:val="22"/>
                <w:szCs w:val="22"/>
                <w:i w:val="1"/>
                <w:iCs w:val="1"/>
                <w:color w:val="auto"/>
              </w:rPr>
              <w:t>“Affiliate Transaction”</w:t>
            </w:r>
          </w:p>
        </w:tc>
        <w:tc>
          <w:tcPr>
            <w:tcW w:w="6380" w:type="dxa"/>
            <w:vAlign w:val="bottom"/>
            <w:gridSpan w:val="2"/>
          </w:tcPr>
          <w:p>
            <w:pPr>
              <w:jc w:val="center"/>
              <w:ind w:left="5352"/>
              <w:spacing w:after="0" w:line="242" w:lineRule="exact"/>
              <w:rPr>
                <w:sz w:val="20"/>
                <w:szCs w:val="20"/>
                <w:color w:val="auto"/>
              </w:rPr>
            </w:pPr>
            <w:r>
              <w:rPr>
                <w:rFonts w:ascii="Arial" w:cs="Arial" w:eastAsia="Arial" w:hAnsi="Arial"/>
                <w:sz w:val="22"/>
                <w:szCs w:val="22"/>
                <w:color w:val="auto"/>
                <w:w w:val="83"/>
              </w:rPr>
              <w:t>4.11</w:t>
            </w:r>
          </w:p>
        </w:tc>
        <w:tc>
          <w:tcPr>
            <w:tcW w:w="400" w:type="dxa"/>
            <w:vAlign w:val="bottom"/>
          </w:tcPr>
          <w:p>
            <w:pPr>
              <w:spacing w:after="0"/>
              <w:rPr>
                <w:sz w:val="21"/>
                <w:szCs w:val="21"/>
                <w:color w:val="auto"/>
              </w:rPr>
            </w:pPr>
          </w:p>
        </w:tc>
      </w:tr>
      <w:tr>
        <w:trPr>
          <w:trHeight w:val="243"/>
        </w:trPr>
        <w:tc>
          <w:tcPr>
            <w:tcW w:w="4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“Asset Sale Offer”</w:t>
            </w:r>
          </w:p>
        </w:tc>
        <w:tc>
          <w:tcPr>
            <w:tcW w:w="6380" w:type="dxa"/>
            <w:vAlign w:val="bottom"/>
            <w:gridSpan w:val="2"/>
          </w:tcPr>
          <w:p>
            <w:pPr>
              <w:jc w:val="center"/>
              <w:ind w:left="5372"/>
              <w:spacing w:after="0" w:line="243" w:lineRule="exact"/>
              <w:rPr>
                <w:sz w:val="20"/>
                <w:szCs w:val="20"/>
                <w:color w:val="auto"/>
              </w:rPr>
            </w:pPr>
            <w:r>
              <w:rPr>
                <w:rFonts w:ascii="Arial" w:cs="Arial" w:eastAsia="Arial" w:hAnsi="Arial"/>
                <w:sz w:val="22"/>
                <w:szCs w:val="22"/>
                <w:color w:val="auto"/>
                <w:w w:val="88"/>
              </w:rPr>
              <w:t>4.10</w:t>
            </w:r>
          </w:p>
        </w:tc>
        <w:tc>
          <w:tcPr>
            <w:tcW w:w="400" w:type="dxa"/>
            <w:vAlign w:val="bottom"/>
          </w:tcPr>
          <w:p>
            <w:pPr>
              <w:spacing w:after="0"/>
              <w:rPr>
                <w:sz w:val="21"/>
                <w:szCs w:val="21"/>
                <w:color w:val="auto"/>
              </w:rPr>
            </w:pPr>
          </w:p>
        </w:tc>
      </w:tr>
      <w:tr>
        <w:trPr>
          <w:trHeight w:val="243"/>
        </w:trPr>
        <w:tc>
          <w:tcPr>
            <w:tcW w:w="4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“Asset Sale Offer Amount”</w:t>
            </w:r>
          </w:p>
        </w:tc>
        <w:tc>
          <w:tcPr>
            <w:tcW w:w="6380" w:type="dxa"/>
            <w:vAlign w:val="bottom"/>
            <w:gridSpan w:val="2"/>
          </w:tcPr>
          <w:p>
            <w:pPr>
              <w:jc w:val="center"/>
              <w:ind w:left="5372"/>
              <w:spacing w:after="0" w:line="243" w:lineRule="exact"/>
              <w:rPr>
                <w:sz w:val="20"/>
                <w:szCs w:val="20"/>
                <w:color w:val="auto"/>
              </w:rPr>
            </w:pPr>
            <w:r>
              <w:rPr>
                <w:rFonts w:ascii="Arial" w:cs="Arial" w:eastAsia="Arial" w:hAnsi="Arial"/>
                <w:sz w:val="22"/>
                <w:szCs w:val="22"/>
                <w:color w:val="auto"/>
                <w:w w:val="88"/>
              </w:rPr>
              <w:t>4.10</w:t>
            </w:r>
          </w:p>
        </w:tc>
        <w:tc>
          <w:tcPr>
            <w:tcW w:w="400" w:type="dxa"/>
            <w:vAlign w:val="bottom"/>
          </w:tcPr>
          <w:p>
            <w:pPr>
              <w:spacing w:after="0"/>
              <w:rPr>
                <w:sz w:val="21"/>
                <w:szCs w:val="21"/>
                <w:color w:val="auto"/>
              </w:rPr>
            </w:pPr>
          </w:p>
        </w:tc>
      </w:tr>
      <w:tr>
        <w:trPr>
          <w:trHeight w:val="243"/>
        </w:trPr>
        <w:tc>
          <w:tcPr>
            <w:tcW w:w="4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“Asset Sale Offer Repayment Amount”</w:t>
            </w:r>
          </w:p>
        </w:tc>
        <w:tc>
          <w:tcPr>
            <w:tcW w:w="6380" w:type="dxa"/>
            <w:vAlign w:val="bottom"/>
            <w:gridSpan w:val="2"/>
          </w:tcPr>
          <w:p>
            <w:pPr>
              <w:jc w:val="center"/>
              <w:ind w:left="5372"/>
              <w:spacing w:after="0" w:line="243" w:lineRule="exact"/>
              <w:rPr>
                <w:sz w:val="20"/>
                <w:szCs w:val="20"/>
                <w:color w:val="auto"/>
              </w:rPr>
            </w:pPr>
            <w:r>
              <w:rPr>
                <w:rFonts w:ascii="Arial" w:cs="Arial" w:eastAsia="Arial" w:hAnsi="Arial"/>
                <w:sz w:val="22"/>
                <w:szCs w:val="22"/>
                <w:color w:val="auto"/>
                <w:w w:val="88"/>
              </w:rPr>
              <w:t>4.10</w:t>
            </w:r>
          </w:p>
        </w:tc>
        <w:tc>
          <w:tcPr>
            <w:tcW w:w="400" w:type="dxa"/>
            <w:vAlign w:val="bottom"/>
          </w:tcPr>
          <w:p>
            <w:pPr>
              <w:spacing w:after="0"/>
              <w:rPr>
                <w:sz w:val="21"/>
                <w:szCs w:val="21"/>
                <w:color w:val="auto"/>
              </w:rPr>
            </w:pPr>
          </w:p>
        </w:tc>
      </w:tr>
      <w:tr>
        <w:trPr>
          <w:trHeight w:val="243"/>
        </w:trPr>
        <w:tc>
          <w:tcPr>
            <w:tcW w:w="4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“Authentication Order”</w:t>
            </w:r>
          </w:p>
        </w:tc>
        <w:tc>
          <w:tcPr>
            <w:tcW w:w="6380" w:type="dxa"/>
            <w:vAlign w:val="bottom"/>
            <w:gridSpan w:val="2"/>
          </w:tcPr>
          <w:p>
            <w:pPr>
              <w:jc w:val="center"/>
              <w:ind w:left="5372"/>
              <w:spacing w:after="0" w:line="243" w:lineRule="exact"/>
              <w:rPr>
                <w:sz w:val="20"/>
                <w:szCs w:val="20"/>
                <w:color w:val="auto"/>
              </w:rPr>
            </w:pPr>
            <w:r>
              <w:rPr>
                <w:rFonts w:ascii="Arial" w:cs="Arial" w:eastAsia="Arial" w:hAnsi="Arial"/>
                <w:sz w:val="22"/>
                <w:szCs w:val="22"/>
                <w:color w:val="auto"/>
                <w:w w:val="88"/>
              </w:rPr>
              <w:t>2.02</w:t>
            </w:r>
          </w:p>
        </w:tc>
        <w:tc>
          <w:tcPr>
            <w:tcW w:w="400" w:type="dxa"/>
            <w:vAlign w:val="bottom"/>
          </w:tcPr>
          <w:p>
            <w:pPr>
              <w:spacing w:after="0"/>
              <w:rPr>
                <w:sz w:val="21"/>
                <w:szCs w:val="21"/>
                <w:color w:val="auto"/>
              </w:rPr>
            </w:pPr>
          </w:p>
        </w:tc>
      </w:tr>
      <w:tr>
        <w:trPr>
          <w:trHeight w:val="243"/>
        </w:trPr>
        <w:tc>
          <w:tcPr>
            <w:tcW w:w="4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“Beneficiary”</w:t>
            </w:r>
          </w:p>
        </w:tc>
        <w:tc>
          <w:tcPr>
            <w:tcW w:w="6380" w:type="dxa"/>
            <w:vAlign w:val="bottom"/>
            <w:gridSpan w:val="2"/>
          </w:tcPr>
          <w:p>
            <w:pPr>
              <w:jc w:val="center"/>
              <w:ind w:left="5352"/>
              <w:spacing w:after="0" w:line="243" w:lineRule="exact"/>
              <w:rPr>
                <w:sz w:val="20"/>
                <w:szCs w:val="20"/>
                <w:color w:val="auto"/>
              </w:rPr>
            </w:pPr>
            <w:r>
              <w:rPr>
                <w:rFonts w:ascii="Arial" w:cs="Arial" w:eastAsia="Arial" w:hAnsi="Arial"/>
                <w:sz w:val="22"/>
                <w:szCs w:val="22"/>
                <w:color w:val="auto"/>
                <w:w w:val="87"/>
              </w:rPr>
              <w:t>13.01</w:t>
            </w:r>
          </w:p>
        </w:tc>
        <w:tc>
          <w:tcPr>
            <w:tcW w:w="400" w:type="dxa"/>
            <w:vAlign w:val="bottom"/>
          </w:tcPr>
          <w:p>
            <w:pPr>
              <w:spacing w:after="0"/>
              <w:rPr>
                <w:sz w:val="21"/>
                <w:szCs w:val="21"/>
                <w:color w:val="auto"/>
              </w:rPr>
            </w:pPr>
          </w:p>
        </w:tc>
      </w:tr>
      <w:tr>
        <w:trPr>
          <w:trHeight w:val="243"/>
        </w:trPr>
        <w:tc>
          <w:tcPr>
            <w:tcW w:w="4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“Change of Control Offer”</w:t>
            </w:r>
          </w:p>
        </w:tc>
        <w:tc>
          <w:tcPr>
            <w:tcW w:w="6380" w:type="dxa"/>
            <w:vAlign w:val="bottom"/>
            <w:gridSpan w:val="2"/>
          </w:tcPr>
          <w:p>
            <w:pPr>
              <w:jc w:val="center"/>
              <w:ind w:left="5372"/>
              <w:spacing w:after="0" w:line="243" w:lineRule="exact"/>
              <w:rPr>
                <w:sz w:val="20"/>
                <w:szCs w:val="20"/>
                <w:color w:val="auto"/>
              </w:rPr>
            </w:pPr>
            <w:r>
              <w:rPr>
                <w:rFonts w:ascii="Arial" w:cs="Arial" w:eastAsia="Arial" w:hAnsi="Arial"/>
                <w:sz w:val="22"/>
                <w:szCs w:val="22"/>
                <w:color w:val="auto"/>
                <w:w w:val="88"/>
              </w:rPr>
              <w:t>4.15</w:t>
            </w:r>
          </w:p>
        </w:tc>
        <w:tc>
          <w:tcPr>
            <w:tcW w:w="400" w:type="dxa"/>
            <w:vAlign w:val="bottom"/>
          </w:tcPr>
          <w:p>
            <w:pPr>
              <w:spacing w:after="0"/>
              <w:rPr>
                <w:sz w:val="21"/>
                <w:szCs w:val="21"/>
                <w:color w:val="auto"/>
              </w:rPr>
            </w:pPr>
          </w:p>
        </w:tc>
      </w:tr>
      <w:tr>
        <w:trPr>
          <w:trHeight w:val="243"/>
        </w:trPr>
        <w:tc>
          <w:tcPr>
            <w:tcW w:w="4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“Change of Control Payment”</w:t>
            </w:r>
          </w:p>
        </w:tc>
        <w:tc>
          <w:tcPr>
            <w:tcW w:w="6380" w:type="dxa"/>
            <w:vAlign w:val="bottom"/>
            <w:gridSpan w:val="2"/>
          </w:tcPr>
          <w:p>
            <w:pPr>
              <w:jc w:val="center"/>
              <w:ind w:left="5372"/>
              <w:spacing w:after="0" w:line="243" w:lineRule="exact"/>
              <w:rPr>
                <w:sz w:val="20"/>
                <w:szCs w:val="20"/>
                <w:color w:val="auto"/>
              </w:rPr>
            </w:pPr>
            <w:r>
              <w:rPr>
                <w:rFonts w:ascii="Arial" w:cs="Arial" w:eastAsia="Arial" w:hAnsi="Arial"/>
                <w:sz w:val="22"/>
                <w:szCs w:val="22"/>
                <w:color w:val="auto"/>
                <w:w w:val="88"/>
              </w:rPr>
              <w:t>4.15</w:t>
            </w:r>
          </w:p>
        </w:tc>
        <w:tc>
          <w:tcPr>
            <w:tcW w:w="400" w:type="dxa"/>
            <w:vAlign w:val="bottom"/>
          </w:tcPr>
          <w:p>
            <w:pPr>
              <w:spacing w:after="0"/>
              <w:rPr>
                <w:sz w:val="21"/>
                <w:szCs w:val="21"/>
                <w:color w:val="auto"/>
              </w:rPr>
            </w:pPr>
          </w:p>
        </w:tc>
      </w:tr>
      <w:tr>
        <w:trPr>
          <w:trHeight w:val="243"/>
        </w:trPr>
        <w:tc>
          <w:tcPr>
            <w:tcW w:w="4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“Change of Control Payment Date”</w:t>
            </w:r>
          </w:p>
        </w:tc>
        <w:tc>
          <w:tcPr>
            <w:tcW w:w="6380" w:type="dxa"/>
            <w:vAlign w:val="bottom"/>
            <w:gridSpan w:val="2"/>
          </w:tcPr>
          <w:p>
            <w:pPr>
              <w:jc w:val="center"/>
              <w:ind w:left="5372"/>
              <w:spacing w:after="0" w:line="243" w:lineRule="exact"/>
              <w:rPr>
                <w:sz w:val="20"/>
                <w:szCs w:val="20"/>
                <w:color w:val="auto"/>
              </w:rPr>
            </w:pPr>
            <w:r>
              <w:rPr>
                <w:rFonts w:ascii="Arial" w:cs="Arial" w:eastAsia="Arial" w:hAnsi="Arial"/>
                <w:sz w:val="22"/>
                <w:szCs w:val="22"/>
                <w:color w:val="auto"/>
                <w:w w:val="88"/>
              </w:rPr>
              <w:t>4.15</w:t>
            </w:r>
          </w:p>
        </w:tc>
        <w:tc>
          <w:tcPr>
            <w:tcW w:w="400" w:type="dxa"/>
            <w:vAlign w:val="bottom"/>
          </w:tcPr>
          <w:p>
            <w:pPr>
              <w:spacing w:after="0"/>
              <w:rPr>
                <w:sz w:val="21"/>
                <w:szCs w:val="21"/>
                <w:color w:val="auto"/>
              </w:rPr>
            </w:pPr>
          </w:p>
        </w:tc>
      </w:tr>
      <w:tr>
        <w:trPr>
          <w:trHeight w:val="243"/>
        </w:trPr>
        <w:tc>
          <w:tcPr>
            <w:tcW w:w="4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“Covenant Defeasance”</w:t>
            </w:r>
          </w:p>
        </w:tc>
        <w:tc>
          <w:tcPr>
            <w:tcW w:w="6380" w:type="dxa"/>
            <w:vAlign w:val="bottom"/>
            <w:gridSpan w:val="2"/>
          </w:tcPr>
          <w:p>
            <w:pPr>
              <w:jc w:val="center"/>
              <w:ind w:left="5372"/>
              <w:spacing w:after="0" w:line="243" w:lineRule="exact"/>
              <w:rPr>
                <w:sz w:val="20"/>
                <w:szCs w:val="20"/>
                <w:color w:val="auto"/>
              </w:rPr>
            </w:pPr>
            <w:r>
              <w:rPr>
                <w:rFonts w:ascii="Arial" w:cs="Arial" w:eastAsia="Arial" w:hAnsi="Arial"/>
                <w:sz w:val="22"/>
                <w:szCs w:val="22"/>
                <w:color w:val="auto"/>
                <w:w w:val="88"/>
              </w:rPr>
              <w:t>8.03</w:t>
            </w:r>
          </w:p>
        </w:tc>
        <w:tc>
          <w:tcPr>
            <w:tcW w:w="400" w:type="dxa"/>
            <w:vAlign w:val="bottom"/>
          </w:tcPr>
          <w:p>
            <w:pPr>
              <w:spacing w:after="0"/>
              <w:rPr>
                <w:sz w:val="21"/>
                <w:szCs w:val="21"/>
                <w:color w:val="auto"/>
              </w:rPr>
            </w:pPr>
          </w:p>
        </w:tc>
      </w:tr>
      <w:tr>
        <w:trPr>
          <w:trHeight w:val="243"/>
        </w:trPr>
        <w:tc>
          <w:tcPr>
            <w:tcW w:w="4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“DTC”</w:t>
            </w:r>
          </w:p>
        </w:tc>
        <w:tc>
          <w:tcPr>
            <w:tcW w:w="6380" w:type="dxa"/>
            <w:vAlign w:val="bottom"/>
            <w:gridSpan w:val="2"/>
          </w:tcPr>
          <w:p>
            <w:pPr>
              <w:jc w:val="center"/>
              <w:ind w:left="5372"/>
              <w:spacing w:after="0" w:line="243" w:lineRule="exact"/>
              <w:rPr>
                <w:sz w:val="20"/>
                <w:szCs w:val="20"/>
                <w:color w:val="auto"/>
              </w:rPr>
            </w:pPr>
            <w:r>
              <w:rPr>
                <w:rFonts w:ascii="Arial" w:cs="Arial" w:eastAsia="Arial" w:hAnsi="Arial"/>
                <w:sz w:val="22"/>
                <w:szCs w:val="22"/>
                <w:color w:val="auto"/>
                <w:w w:val="88"/>
              </w:rPr>
              <w:t>2.03</w:t>
            </w:r>
          </w:p>
        </w:tc>
        <w:tc>
          <w:tcPr>
            <w:tcW w:w="400" w:type="dxa"/>
            <w:vAlign w:val="bottom"/>
          </w:tcPr>
          <w:p>
            <w:pPr>
              <w:spacing w:after="0"/>
              <w:rPr>
                <w:sz w:val="21"/>
                <w:szCs w:val="21"/>
                <w:color w:val="auto"/>
              </w:rPr>
            </w:pPr>
          </w:p>
        </w:tc>
      </w:tr>
      <w:tr>
        <w:trPr>
          <w:trHeight w:val="243"/>
        </w:trPr>
        <w:tc>
          <w:tcPr>
            <w:tcW w:w="4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“Event of Default”</w:t>
            </w:r>
          </w:p>
        </w:tc>
        <w:tc>
          <w:tcPr>
            <w:tcW w:w="6380" w:type="dxa"/>
            <w:vAlign w:val="bottom"/>
            <w:gridSpan w:val="2"/>
          </w:tcPr>
          <w:p>
            <w:pPr>
              <w:jc w:val="center"/>
              <w:ind w:left="5372"/>
              <w:spacing w:after="0" w:line="243" w:lineRule="exact"/>
              <w:rPr>
                <w:sz w:val="20"/>
                <w:szCs w:val="20"/>
                <w:color w:val="auto"/>
              </w:rPr>
            </w:pPr>
            <w:r>
              <w:rPr>
                <w:rFonts w:ascii="Arial" w:cs="Arial" w:eastAsia="Arial" w:hAnsi="Arial"/>
                <w:sz w:val="22"/>
                <w:szCs w:val="22"/>
                <w:color w:val="auto"/>
                <w:w w:val="88"/>
              </w:rPr>
              <w:t>6.01</w:t>
            </w:r>
          </w:p>
        </w:tc>
        <w:tc>
          <w:tcPr>
            <w:tcW w:w="400" w:type="dxa"/>
            <w:vAlign w:val="bottom"/>
          </w:tcPr>
          <w:p>
            <w:pPr>
              <w:spacing w:after="0"/>
              <w:rPr>
                <w:sz w:val="21"/>
                <w:szCs w:val="21"/>
                <w:color w:val="auto"/>
              </w:rPr>
            </w:pPr>
          </w:p>
        </w:tc>
      </w:tr>
      <w:tr>
        <w:trPr>
          <w:trHeight w:val="243"/>
        </w:trPr>
        <w:tc>
          <w:tcPr>
            <w:tcW w:w="4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“Event of Loss Offer”</w:t>
            </w:r>
          </w:p>
        </w:tc>
        <w:tc>
          <w:tcPr>
            <w:tcW w:w="6380" w:type="dxa"/>
            <w:vAlign w:val="bottom"/>
            <w:gridSpan w:val="2"/>
          </w:tcPr>
          <w:p>
            <w:pPr>
              <w:jc w:val="center"/>
              <w:ind w:left="5372"/>
              <w:spacing w:after="0" w:line="243" w:lineRule="exact"/>
              <w:rPr>
                <w:sz w:val="20"/>
                <w:szCs w:val="20"/>
                <w:color w:val="auto"/>
              </w:rPr>
            </w:pPr>
            <w:r>
              <w:rPr>
                <w:rFonts w:ascii="Arial" w:cs="Arial" w:eastAsia="Arial" w:hAnsi="Arial"/>
                <w:sz w:val="22"/>
                <w:szCs w:val="22"/>
                <w:color w:val="auto"/>
                <w:w w:val="88"/>
              </w:rPr>
              <w:t>4.16</w:t>
            </w:r>
          </w:p>
        </w:tc>
        <w:tc>
          <w:tcPr>
            <w:tcW w:w="400" w:type="dxa"/>
            <w:vAlign w:val="bottom"/>
          </w:tcPr>
          <w:p>
            <w:pPr>
              <w:spacing w:after="0"/>
              <w:rPr>
                <w:sz w:val="21"/>
                <w:szCs w:val="21"/>
                <w:color w:val="auto"/>
              </w:rPr>
            </w:pPr>
          </w:p>
        </w:tc>
      </w:tr>
      <w:tr>
        <w:trPr>
          <w:trHeight w:val="243"/>
        </w:trPr>
        <w:tc>
          <w:tcPr>
            <w:tcW w:w="4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“Event of Loss Offer Amount”</w:t>
            </w:r>
          </w:p>
        </w:tc>
        <w:tc>
          <w:tcPr>
            <w:tcW w:w="6380" w:type="dxa"/>
            <w:vAlign w:val="bottom"/>
            <w:gridSpan w:val="2"/>
          </w:tcPr>
          <w:p>
            <w:pPr>
              <w:jc w:val="center"/>
              <w:ind w:left="5372"/>
              <w:spacing w:after="0" w:line="243" w:lineRule="exact"/>
              <w:rPr>
                <w:sz w:val="20"/>
                <w:szCs w:val="20"/>
                <w:color w:val="auto"/>
              </w:rPr>
            </w:pPr>
            <w:r>
              <w:rPr>
                <w:rFonts w:ascii="Arial" w:cs="Arial" w:eastAsia="Arial" w:hAnsi="Arial"/>
                <w:sz w:val="22"/>
                <w:szCs w:val="22"/>
                <w:color w:val="auto"/>
                <w:w w:val="88"/>
              </w:rPr>
              <w:t>4.16</w:t>
            </w:r>
          </w:p>
        </w:tc>
        <w:tc>
          <w:tcPr>
            <w:tcW w:w="400" w:type="dxa"/>
            <w:vAlign w:val="bottom"/>
          </w:tcPr>
          <w:p>
            <w:pPr>
              <w:spacing w:after="0"/>
              <w:rPr>
                <w:sz w:val="21"/>
                <w:szCs w:val="21"/>
                <w:color w:val="auto"/>
              </w:rPr>
            </w:pPr>
          </w:p>
        </w:tc>
      </w:tr>
      <w:tr>
        <w:trPr>
          <w:trHeight w:val="243"/>
        </w:trPr>
        <w:tc>
          <w:tcPr>
            <w:tcW w:w="4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“Event of Loss Offer Repayment Amount”</w:t>
            </w:r>
          </w:p>
        </w:tc>
        <w:tc>
          <w:tcPr>
            <w:tcW w:w="6380" w:type="dxa"/>
            <w:vAlign w:val="bottom"/>
            <w:gridSpan w:val="2"/>
          </w:tcPr>
          <w:p>
            <w:pPr>
              <w:jc w:val="center"/>
              <w:ind w:left="5372"/>
              <w:spacing w:after="0" w:line="243" w:lineRule="exact"/>
              <w:rPr>
                <w:sz w:val="20"/>
                <w:szCs w:val="20"/>
                <w:color w:val="auto"/>
              </w:rPr>
            </w:pPr>
            <w:r>
              <w:rPr>
                <w:rFonts w:ascii="Arial" w:cs="Arial" w:eastAsia="Arial" w:hAnsi="Arial"/>
                <w:sz w:val="22"/>
                <w:szCs w:val="22"/>
                <w:color w:val="auto"/>
                <w:w w:val="88"/>
              </w:rPr>
              <w:t>4.16</w:t>
            </w:r>
          </w:p>
        </w:tc>
        <w:tc>
          <w:tcPr>
            <w:tcW w:w="400" w:type="dxa"/>
            <w:vAlign w:val="bottom"/>
          </w:tcPr>
          <w:p>
            <w:pPr>
              <w:spacing w:after="0"/>
              <w:rPr>
                <w:sz w:val="21"/>
                <w:szCs w:val="21"/>
                <w:color w:val="auto"/>
              </w:rPr>
            </w:pPr>
          </w:p>
        </w:tc>
      </w:tr>
      <w:tr>
        <w:trPr>
          <w:trHeight w:val="243"/>
        </w:trPr>
        <w:tc>
          <w:tcPr>
            <w:tcW w:w="4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“Excess Loss Proceeds”</w:t>
            </w:r>
          </w:p>
        </w:tc>
        <w:tc>
          <w:tcPr>
            <w:tcW w:w="6380" w:type="dxa"/>
            <w:vAlign w:val="bottom"/>
            <w:gridSpan w:val="2"/>
          </w:tcPr>
          <w:p>
            <w:pPr>
              <w:jc w:val="center"/>
              <w:ind w:left="5372"/>
              <w:spacing w:after="0" w:line="243" w:lineRule="exact"/>
              <w:rPr>
                <w:sz w:val="20"/>
                <w:szCs w:val="20"/>
                <w:color w:val="auto"/>
              </w:rPr>
            </w:pPr>
            <w:r>
              <w:rPr>
                <w:rFonts w:ascii="Arial" w:cs="Arial" w:eastAsia="Arial" w:hAnsi="Arial"/>
                <w:sz w:val="22"/>
                <w:szCs w:val="22"/>
                <w:color w:val="auto"/>
                <w:w w:val="88"/>
              </w:rPr>
              <w:t>4.16</w:t>
            </w:r>
          </w:p>
        </w:tc>
        <w:tc>
          <w:tcPr>
            <w:tcW w:w="400" w:type="dxa"/>
            <w:vAlign w:val="bottom"/>
          </w:tcPr>
          <w:p>
            <w:pPr>
              <w:spacing w:after="0"/>
              <w:rPr>
                <w:sz w:val="21"/>
                <w:szCs w:val="21"/>
                <w:color w:val="auto"/>
              </w:rPr>
            </w:pPr>
          </w:p>
        </w:tc>
      </w:tr>
      <w:tr>
        <w:trPr>
          <w:trHeight w:val="243"/>
        </w:trPr>
        <w:tc>
          <w:tcPr>
            <w:tcW w:w="4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“Excess Net Proceeds”</w:t>
            </w:r>
          </w:p>
        </w:tc>
        <w:tc>
          <w:tcPr>
            <w:tcW w:w="6380" w:type="dxa"/>
            <w:vAlign w:val="bottom"/>
            <w:gridSpan w:val="2"/>
          </w:tcPr>
          <w:p>
            <w:pPr>
              <w:jc w:val="center"/>
              <w:ind w:left="5372"/>
              <w:spacing w:after="0" w:line="243" w:lineRule="exact"/>
              <w:rPr>
                <w:sz w:val="20"/>
                <w:szCs w:val="20"/>
                <w:color w:val="auto"/>
              </w:rPr>
            </w:pPr>
            <w:r>
              <w:rPr>
                <w:rFonts w:ascii="Arial" w:cs="Arial" w:eastAsia="Arial" w:hAnsi="Arial"/>
                <w:sz w:val="22"/>
                <w:szCs w:val="22"/>
                <w:color w:val="auto"/>
                <w:w w:val="88"/>
              </w:rPr>
              <w:t>4.10</w:t>
            </w:r>
          </w:p>
        </w:tc>
        <w:tc>
          <w:tcPr>
            <w:tcW w:w="400" w:type="dxa"/>
            <w:vAlign w:val="bottom"/>
          </w:tcPr>
          <w:p>
            <w:pPr>
              <w:spacing w:after="0"/>
              <w:rPr>
                <w:sz w:val="21"/>
                <w:szCs w:val="21"/>
                <w:color w:val="auto"/>
              </w:rPr>
            </w:pPr>
          </w:p>
        </w:tc>
      </w:tr>
      <w:tr>
        <w:trPr>
          <w:trHeight w:val="243"/>
        </w:trPr>
        <w:tc>
          <w:tcPr>
            <w:tcW w:w="4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“Excess Proceeds”</w:t>
            </w:r>
          </w:p>
        </w:tc>
        <w:tc>
          <w:tcPr>
            <w:tcW w:w="6380" w:type="dxa"/>
            <w:vAlign w:val="bottom"/>
            <w:gridSpan w:val="2"/>
          </w:tcPr>
          <w:p>
            <w:pPr>
              <w:jc w:val="center"/>
              <w:ind w:left="5372"/>
              <w:spacing w:after="0" w:line="243" w:lineRule="exact"/>
              <w:rPr>
                <w:sz w:val="20"/>
                <w:szCs w:val="20"/>
                <w:color w:val="auto"/>
              </w:rPr>
            </w:pPr>
            <w:r>
              <w:rPr>
                <w:rFonts w:ascii="Arial" w:cs="Arial" w:eastAsia="Arial" w:hAnsi="Arial"/>
                <w:sz w:val="22"/>
                <w:szCs w:val="22"/>
                <w:color w:val="auto"/>
                <w:w w:val="88"/>
              </w:rPr>
              <w:t>4.10</w:t>
            </w:r>
          </w:p>
        </w:tc>
        <w:tc>
          <w:tcPr>
            <w:tcW w:w="400" w:type="dxa"/>
            <w:vAlign w:val="bottom"/>
          </w:tcPr>
          <w:p>
            <w:pPr>
              <w:spacing w:after="0"/>
              <w:rPr>
                <w:sz w:val="21"/>
                <w:szCs w:val="21"/>
                <w:color w:val="auto"/>
              </w:rPr>
            </w:pPr>
          </w:p>
        </w:tc>
      </w:tr>
      <w:tr>
        <w:trPr>
          <w:trHeight w:val="243"/>
        </w:trPr>
        <w:tc>
          <w:tcPr>
            <w:tcW w:w="464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“Excess Proceeds Offer”</w:t>
            </w:r>
          </w:p>
        </w:tc>
        <w:tc>
          <w:tcPr>
            <w:tcW w:w="6380" w:type="dxa"/>
            <w:vAlign w:val="bottom"/>
            <w:gridSpan w:val="2"/>
          </w:tcPr>
          <w:p>
            <w:pPr>
              <w:jc w:val="center"/>
              <w:ind w:left="5372"/>
              <w:spacing w:after="0" w:line="243" w:lineRule="exact"/>
              <w:rPr>
                <w:sz w:val="20"/>
                <w:szCs w:val="20"/>
                <w:color w:val="auto"/>
              </w:rPr>
            </w:pPr>
            <w:r>
              <w:rPr>
                <w:rFonts w:ascii="Arial" w:cs="Arial" w:eastAsia="Arial" w:hAnsi="Arial"/>
                <w:sz w:val="22"/>
                <w:szCs w:val="22"/>
                <w:color w:val="auto"/>
                <w:w w:val="88"/>
              </w:rPr>
              <w:t>3.10</w:t>
            </w:r>
          </w:p>
        </w:tc>
        <w:tc>
          <w:tcPr>
            <w:tcW w:w="400" w:type="dxa"/>
            <w:vAlign w:val="bottom"/>
          </w:tcPr>
          <w:p>
            <w:pPr>
              <w:spacing w:after="0"/>
              <w:rPr>
                <w:sz w:val="21"/>
                <w:szCs w:val="21"/>
                <w:color w:val="auto"/>
              </w:rPr>
            </w:pPr>
          </w:p>
        </w:tc>
      </w:tr>
      <w:tr>
        <w:trPr>
          <w:trHeight w:val="275"/>
        </w:trPr>
        <w:tc>
          <w:tcPr>
            <w:tcW w:w="4640" w:type="dxa"/>
            <w:vAlign w:val="bottom"/>
            <w:gridSpan w:val="2"/>
          </w:tcPr>
          <w:p>
            <w:pPr>
              <w:spacing w:after="0"/>
              <w:rPr>
                <w:sz w:val="20"/>
                <w:szCs w:val="20"/>
                <w:color w:val="auto"/>
              </w:rPr>
            </w:pPr>
            <w:r>
              <w:rPr>
                <w:rFonts w:ascii="Arial" w:cs="Arial" w:eastAsia="Arial" w:hAnsi="Arial"/>
                <w:sz w:val="22"/>
                <w:szCs w:val="22"/>
                <w:i w:val="1"/>
                <w:iCs w:val="1"/>
                <w:color w:val="auto"/>
              </w:rPr>
              <w:t>“incur”</w:t>
            </w:r>
          </w:p>
        </w:tc>
        <w:tc>
          <w:tcPr>
            <w:tcW w:w="6380" w:type="dxa"/>
            <w:vAlign w:val="bottom"/>
            <w:gridSpan w:val="2"/>
          </w:tcPr>
          <w:p>
            <w:pPr>
              <w:jc w:val="center"/>
              <w:ind w:left="5372"/>
              <w:spacing w:after="0"/>
              <w:rPr>
                <w:sz w:val="20"/>
                <w:szCs w:val="20"/>
                <w:color w:val="auto"/>
              </w:rPr>
            </w:pPr>
            <w:r>
              <w:rPr>
                <w:rFonts w:ascii="Arial" w:cs="Arial" w:eastAsia="Arial" w:hAnsi="Arial"/>
                <w:sz w:val="22"/>
                <w:szCs w:val="22"/>
                <w:color w:val="auto"/>
                <w:w w:val="88"/>
              </w:rPr>
              <w:t>4.09</w:t>
            </w:r>
          </w:p>
        </w:tc>
        <w:tc>
          <w:tcPr>
            <w:tcW w:w="400" w:type="dxa"/>
            <w:vAlign w:val="bottom"/>
          </w:tcPr>
          <w:p>
            <w:pPr>
              <w:spacing w:after="0"/>
              <w:rPr>
                <w:sz w:val="23"/>
                <w:szCs w:val="23"/>
                <w:color w:val="auto"/>
              </w:rPr>
            </w:pPr>
          </w:p>
        </w:tc>
      </w:tr>
      <w:tr>
        <w:trPr>
          <w:trHeight w:val="858"/>
        </w:trPr>
        <w:tc>
          <w:tcPr>
            <w:tcW w:w="5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460" w:type="dxa"/>
            <w:vAlign w:val="bottom"/>
          </w:tcPr>
          <w:p>
            <w:pPr>
              <w:jc w:val="right"/>
              <w:ind w:right="4172"/>
              <w:spacing w:after="0"/>
              <w:rPr>
                <w:sz w:val="20"/>
                <w:szCs w:val="20"/>
                <w:color w:val="auto"/>
              </w:rPr>
            </w:pPr>
            <w:r>
              <w:rPr>
                <w:rFonts w:ascii="Arial" w:cs="Arial" w:eastAsia="Arial" w:hAnsi="Arial"/>
                <w:sz w:val="20"/>
                <w:szCs w:val="20"/>
                <w:color w:val="auto"/>
              </w:rPr>
              <w:t>41</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4"/>
        </w:trPr>
        <w:tc>
          <w:tcPr>
            <w:tcW w:w="500" w:type="dxa"/>
            <w:vAlign w:val="bottom"/>
            <w:tcBorders>
              <w:bottom w:val="single" w:sz="8" w:color="808080"/>
            </w:tcBorders>
          </w:tcPr>
          <w:p>
            <w:pPr>
              <w:spacing w:after="0"/>
              <w:rPr>
                <w:sz w:val="9"/>
                <w:szCs w:val="9"/>
                <w:color w:val="auto"/>
              </w:rPr>
            </w:pPr>
          </w:p>
        </w:tc>
        <w:tc>
          <w:tcPr>
            <w:tcW w:w="4140" w:type="dxa"/>
            <w:vAlign w:val="bottom"/>
            <w:tcBorders>
              <w:bottom w:val="single" w:sz="8" w:color="808080"/>
            </w:tcBorders>
          </w:tcPr>
          <w:p>
            <w:pPr>
              <w:spacing w:after="0"/>
              <w:rPr>
                <w:sz w:val="9"/>
                <w:szCs w:val="9"/>
                <w:color w:val="auto"/>
              </w:rPr>
            </w:pPr>
          </w:p>
        </w:tc>
        <w:tc>
          <w:tcPr>
            <w:tcW w:w="54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53"/>
        </w:trPr>
        <w:tc>
          <w:tcPr>
            <w:tcW w:w="6280" w:type="dxa"/>
            <w:vAlign w:val="bottom"/>
          </w:tcPr>
          <w:p>
            <w:pPr>
              <w:spacing w:after="0"/>
              <w:rPr>
                <w:sz w:val="20"/>
                <w:szCs w:val="20"/>
                <w:color w:val="auto"/>
              </w:rPr>
            </w:pPr>
            <w:r>
              <w:rPr>
                <w:rFonts w:ascii="Arial" w:cs="Arial" w:eastAsia="Arial" w:hAnsi="Arial"/>
                <w:sz w:val="22"/>
                <w:szCs w:val="22"/>
                <w:i w:val="1"/>
                <w:iCs w:val="1"/>
                <w:color w:val="auto"/>
              </w:rPr>
              <w:t>“Legal Defeasance”</w:t>
            </w:r>
          </w:p>
        </w:tc>
        <w:tc>
          <w:tcPr>
            <w:tcW w:w="4520" w:type="dxa"/>
            <w:vAlign w:val="bottom"/>
          </w:tcPr>
          <w:p>
            <w:pPr>
              <w:jc w:val="center"/>
              <w:ind w:left="3952"/>
              <w:spacing w:after="0"/>
              <w:rPr>
                <w:sz w:val="20"/>
                <w:szCs w:val="20"/>
                <w:color w:val="auto"/>
              </w:rPr>
            </w:pPr>
            <w:r>
              <w:rPr>
                <w:rFonts w:ascii="Arial" w:cs="Arial" w:eastAsia="Arial" w:hAnsi="Arial"/>
                <w:sz w:val="22"/>
                <w:szCs w:val="22"/>
                <w:color w:val="auto"/>
                <w:w w:val="88"/>
              </w:rPr>
              <w:t>8.02</w:t>
            </w:r>
          </w:p>
        </w:tc>
      </w:tr>
      <w:tr>
        <w:trPr>
          <w:trHeight w:val="243"/>
        </w:trPr>
        <w:tc>
          <w:tcPr>
            <w:tcW w:w="6280" w:type="dxa"/>
            <w:vAlign w:val="bottom"/>
          </w:tcPr>
          <w:p>
            <w:pPr>
              <w:spacing w:after="0" w:line="243" w:lineRule="exact"/>
              <w:rPr>
                <w:sz w:val="20"/>
                <w:szCs w:val="20"/>
                <w:color w:val="auto"/>
              </w:rPr>
            </w:pPr>
            <w:r>
              <w:rPr>
                <w:rFonts w:ascii="Arial" w:cs="Arial" w:eastAsia="Arial" w:hAnsi="Arial"/>
                <w:sz w:val="22"/>
                <w:szCs w:val="22"/>
                <w:i w:val="1"/>
                <w:iCs w:val="1"/>
                <w:color w:val="auto"/>
              </w:rPr>
              <w:t>“Note Obligations”</w:t>
            </w:r>
          </w:p>
        </w:tc>
        <w:tc>
          <w:tcPr>
            <w:tcW w:w="4520" w:type="dxa"/>
            <w:vAlign w:val="bottom"/>
          </w:tcPr>
          <w:p>
            <w:pPr>
              <w:jc w:val="center"/>
              <w:ind w:left="3932"/>
              <w:spacing w:after="0" w:line="243" w:lineRule="exact"/>
              <w:rPr>
                <w:sz w:val="20"/>
                <w:szCs w:val="20"/>
                <w:color w:val="auto"/>
              </w:rPr>
            </w:pPr>
            <w:r>
              <w:rPr>
                <w:rFonts w:ascii="Arial" w:cs="Arial" w:eastAsia="Arial" w:hAnsi="Arial"/>
                <w:sz w:val="22"/>
                <w:szCs w:val="22"/>
                <w:color w:val="auto"/>
                <w:w w:val="87"/>
              </w:rPr>
              <w:t>13.01</w:t>
            </w:r>
          </w:p>
        </w:tc>
      </w:tr>
      <w:tr>
        <w:trPr>
          <w:trHeight w:val="243"/>
        </w:trPr>
        <w:tc>
          <w:tcPr>
            <w:tcW w:w="6280" w:type="dxa"/>
            <w:vAlign w:val="bottom"/>
          </w:tcPr>
          <w:p>
            <w:pPr>
              <w:spacing w:after="0" w:line="243" w:lineRule="exact"/>
              <w:rPr>
                <w:sz w:val="20"/>
                <w:szCs w:val="20"/>
                <w:color w:val="auto"/>
              </w:rPr>
            </w:pPr>
            <w:r>
              <w:rPr>
                <w:rFonts w:ascii="Arial" w:cs="Arial" w:eastAsia="Arial" w:hAnsi="Arial"/>
                <w:sz w:val="22"/>
                <w:szCs w:val="22"/>
                <w:i w:val="1"/>
                <w:iCs w:val="1"/>
                <w:color w:val="auto"/>
              </w:rPr>
              <w:t>“Offer Amount”</w:t>
            </w:r>
          </w:p>
        </w:tc>
        <w:tc>
          <w:tcPr>
            <w:tcW w:w="4520" w:type="dxa"/>
            <w:vAlign w:val="bottom"/>
          </w:tcPr>
          <w:p>
            <w:pPr>
              <w:jc w:val="center"/>
              <w:ind w:left="3952"/>
              <w:spacing w:after="0" w:line="243" w:lineRule="exact"/>
              <w:rPr>
                <w:sz w:val="20"/>
                <w:szCs w:val="20"/>
                <w:color w:val="auto"/>
              </w:rPr>
            </w:pPr>
            <w:r>
              <w:rPr>
                <w:rFonts w:ascii="Arial" w:cs="Arial" w:eastAsia="Arial" w:hAnsi="Arial"/>
                <w:sz w:val="22"/>
                <w:szCs w:val="22"/>
                <w:color w:val="auto"/>
                <w:w w:val="88"/>
              </w:rPr>
              <w:t>3.10</w:t>
            </w:r>
          </w:p>
        </w:tc>
      </w:tr>
      <w:tr>
        <w:trPr>
          <w:trHeight w:val="243"/>
        </w:trPr>
        <w:tc>
          <w:tcPr>
            <w:tcW w:w="6280" w:type="dxa"/>
            <w:vAlign w:val="bottom"/>
          </w:tcPr>
          <w:p>
            <w:pPr>
              <w:spacing w:after="0" w:line="243" w:lineRule="exact"/>
              <w:rPr>
                <w:sz w:val="20"/>
                <w:szCs w:val="20"/>
                <w:color w:val="auto"/>
              </w:rPr>
            </w:pPr>
            <w:r>
              <w:rPr>
                <w:rFonts w:ascii="Arial" w:cs="Arial" w:eastAsia="Arial" w:hAnsi="Arial"/>
                <w:sz w:val="22"/>
                <w:szCs w:val="22"/>
                <w:i w:val="1"/>
                <w:iCs w:val="1"/>
                <w:color w:val="auto"/>
              </w:rPr>
              <w:t>“Offer Period”</w:t>
            </w:r>
          </w:p>
        </w:tc>
        <w:tc>
          <w:tcPr>
            <w:tcW w:w="4520" w:type="dxa"/>
            <w:vAlign w:val="bottom"/>
          </w:tcPr>
          <w:p>
            <w:pPr>
              <w:jc w:val="center"/>
              <w:ind w:left="3952"/>
              <w:spacing w:after="0" w:line="243" w:lineRule="exact"/>
              <w:rPr>
                <w:sz w:val="20"/>
                <w:szCs w:val="20"/>
                <w:color w:val="auto"/>
              </w:rPr>
            </w:pPr>
            <w:r>
              <w:rPr>
                <w:rFonts w:ascii="Arial" w:cs="Arial" w:eastAsia="Arial" w:hAnsi="Arial"/>
                <w:sz w:val="22"/>
                <w:szCs w:val="22"/>
                <w:color w:val="auto"/>
                <w:w w:val="88"/>
              </w:rPr>
              <w:t>3.10</w:t>
            </w:r>
          </w:p>
        </w:tc>
      </w:tr>
      <w:tr>
        <w:trPr>
          <w:trHeight w:val="243"/>
        </w:trPr>
        <w:tc>
          <w:tcPr>
            <w:tcW w:w="6280" w:type="dxa"/>
            <w:vAlign w:val="bottom"/>
          </w:tcPr>
          <w:p>
            <w:pPr>
              <w:spacing w:after="0" w:line="243" w:lineRule="exact"/>
              <w:rPr>
                <w:sz w:val="20"/>
                <w:szCs w:val="20"/>
                <w:color w:val="auto"/>
              </w:rPr>
            </w:pPr>
            <w:r>
              <w:rPr>
                <w:rFonts w:ascii="Arial" w:cs="Arial" w:eastAsia="Arial" w:hAnsi="Arial"/>
                <w:sz w:val="22"/>
                <w:szCs w:val="22"/>
                <w:i w:val="1"/>
                <w:iCs w:val="1"/>
                <w:color w:val="auto"/>
              </w:rPr>
              <w:t>“Paying Agent”</w:t>
            </w:r>
          </w:p>
        </w:tc>
        <w:tc>
          <w:tcPr>
            <w:tcW w:w="4520" w:type="dxa"/>
            <w:vAlign w:val="bottom"/>
          </w:tcPr>
          <w:p>
            <w:pPr>
              <w:jc w:val="center"/>
              <w:ind w:left="3952"/>
              <w:spacing w:after="0" w:line="243" w:lineRule="exact"/>
              <w:rPr>
                <w:sz w:val="20"/>
                <w:szCs w:val="20"/>
                <w:color w:val="auto"/>
              </w:rPr>
            </w:pPr>
            <w:r>
              <w:rPr>
                <w:rFonts w:ascii="Arial" w:cs="Arial" w:eastAsia="Arial" w:hAnsi="Arial"/>
                <w:sz w:val="22"/>
                <w:szCs w:val="22"/>
                <w:color w:val="auto"/>
                <w:w w:val="88"/>
              </w:rPr>
              <w:t>2.03</w:t>
            </w:r>
          </w:p>
        </w:tc>
      </w:tr>
      <w:tr>
        <w:trPr>
          <w:trHeight w:val="243"/>
        </w:trPr>
        <w:tc>
          <w:tcPr>
            <w:tcW w:w="6280" w:type="dxa"/>
            <w:vAlign w:val="bottom"/>
          </w:tcPr>
          <w:p>
            <w:pPr>
              <w:spacing w:after="0" w:line="243" w:lineRule="exact"/>
              <w:rPr>
                <w:sz w:val="20"/>
                <w:szCs w:val="20"/>
                <w:color w:val="auto"/>
              </w:rPr>
            </w:pPr>
            <w:r>
              <w:rPr>
                <w:rFonts w:ascii="Arial" w:cs="Arial" w:eastAsia="Arial" w:hAnsi="Arial"/>
                <w:sz w:val="22"/>
                <w:szCs w:val="22"/>
                <w:i w:val="1"/>
                <w:iCs w:val="1"/>
                <w:color w:val="auto"/>
              </w:rPr>
              <w:t>“Payment Default”</w:t>
            </w:r>
          </w:p>
        </w:tc>
        <w:tc>
          <w:tcPr>
            <w:tcW w:w="4520" w:type="dxa"/>
            <w:vAlign w:val="bottom"/>
          </w:tcPr>
          <w:p>
            <w:pPr>
              <w:jc w:val="center"/>
              <w:ind w:left="3952"/>
              <w:spacing w:after="0" w:line="243" w:lineRule="exact"/>
              <w:rPr>
                <w:sz w:val="20"/>
                <w:szCs w:val="20"/>
                <w:color w:val="auto"/>
              </w:rPr>
            </w:pPr>
            <w:r>
              <w:rPr>
                <w:rFonts w:ascii="Arial" w:cs="Arial" w:eastAsia="Arial" w:hAnsi="Arial"/>
                <w:sz w:val="22"/>
                <w:szCs w:val="22"/>
                <w:color w:val="auto"/>
                <w:w w:val="88"/>
              </w:rPr>
              <w:t>6.01</w:t>
            </w:r>
          </w:p>
        </w:tc>
      </w:tr>
      <w:tr>
        <w:trPr>
          <w:trHeight w:val="243"/>
        </w:trPr>
        <w:tc>
          <w:tcPr>
            <w:tcW w:w="6280" w:type="dxa"/>
            <w:vAlign w:val="bottom"/>
          </w:tcPr>
          <w:p>
            <w:pPr>
              <w:spacing w:after="0" w:line="243" w:lineRule="exact"/>
              <w:rPr>
                <w:sz w:val="20"/>
                <w:szCs w:val="20"/>
                <w:color w:val="auto"/>
              </w:rPr>
            </w:pPr>
            <w:r>
              <w:rPr>
                <w:rFonts w:ascii="Arial" w:cs="Arial" w:eastAsia="Arial" w:hAnsi="Arial"/>
                <w:sz w:val="22"/>
                <w:szCs w:val="22"/>
                <w:i w:val="1"/>
                <w:iCs w:val="1"/>
                <w:color w:val="auto"/>
              </w:rPr>
              <w:t>“Permitted Debt”</w:t>
            </w:r>
          </w:p>
        </w:tc>
        <w:tc>
          <w:tcPr>
            <w:tcW w:w="4520" w:type="dxa"/>
            <w:vAlign w:val="bottom"/>
          </w:tcPr>
          <w:p>
            <w:pPr>
              <w:jc w:val="center"/>
              <w:ind w:left="3952"/>
              <w:spacing w:after="0" w:line="243" w:lineRule="exact"/>
              <w:rPr>
                <w:sz w:val="20"/>
                <w:szCs w:val="20"/>
                <w:color w:val="auto"/>
              </w:rPr>
            </w:pPr>
            <w:r>
              <w:rPr>
                <w:rFonts w:ascii="Arial" w:cs="Arial" w:eastAsia="Arial" w:hAnsi="Arial"/>
                <w:sz w:val="22"/>
                <w:szCs w:val="22"/>
                <w:color w:val="auto"/>
                <w:w w:val="88"/>
              </w:rPr>
              <w:t>4.09</w:t>
            </w:r>
          </w:p>
        </w:tc>
      </w:tr>
      <w:tr>
        <w:trPr>
          <w:trHeight w:val="243"/>
        </w:trPr>
        <w:tc>
          <w:tcPr>
            <w:tcW w:w="6280" w:type="dxa"/>
            <w:vAlign w:val="bottom"/>
          </w:tcPr>
          <w:p>
            <w:pPr>
              <w:spacing w:after="0" w:line="243" w:lineRule="exact"/>
              <w:rPr>
                <w:sz w:val="20"/>
                <w:szCs w:val="20"/>
                <w:color w:val="auto"/>
              </w:rPr>
            </w:pPr>
            <w:r>
              <w:rPr>
                <w:rFonts w:ascii="Arial" w:cs="Arial" w:eastAsia="Arial" w:hAnsi="Arial"/>
                <w:sz w:val="22"/>
                <w:szCs w:val="22"/>
                <w:i w:val="1"/>
                <w:iCs w:val="1"/>
                <w:color w:val="auto"/>
              </w:rPr>
              <w:t>“Permitted Dispositions”</w:t>
            </w:r>
          </w:p>
        </w:tc>
        <w:tc>
          <w:tcPr>
            <w:tcW w:w="4520" w:type="dxa"/>
            <w:vAlign w:val="bottom"/>
          </w:tcPr>
          <w:p>
            <w:pPr>
              <w:jc w:val="center"/>
              <w:ind w:left="3952"/>
              <w:spacing w:after="0" w:line="243" w:lineRule="exact"/>
              <w:rPr>
                <w:sz w:val="20"/>
                <w:szCs w:val="20"/>
                <w:color w:val="auto"/>
              </w:rPr>
            </w:pPr>
            <w:r>
              <w:rPr>
                <w:rFonts w:ascii="Arial" w:cs="Arial" w:eastAsia="Arial" w:hAnsi="Arial"/>
                <w:sz w:val="22"/>
                <w:szCs w:val="22"/>
                <w:color w:val="auto"/>
                <w:w w:val="88"/>
              </w:rPr>
              <w:t>1.01</w:t>
            </w:r>
          </w:p>
        </w:tc>
      </w:tr>
      <w:tr>
        <w:trPr>
          <w:trHeight w:val="243"/>
        </w:trPr>
        <w:tc>
          <w:tcPr>
            <w:tcW w:w="6280" w:type="dxa"/>
            <w:vAlign w:val="bottom"/>
          </w:tcPr>
          <w:p>
            <w:pPr>
              <w:spacing w:after="0" w:line="243" w:lineRule="exact"/>
              <w:rPr>
                <w:sz w:val="20"/>
                <w:szCs w:val="20"/>
                <w:color w:val="auto"/>
              </w:rPr>
            </w:pPr>
            <w:r>
              <w:rPr>
                <w:rFonts w:ascii="Arial" w:cs="Arial" w:eastAsia="Arial" w:hAnsi="Arial"/>
                <w:sz w:val="22"/>
                <w:szCs w:val="22"/>
                <w:i w:val="1"/>
                <w:iCs w:val="1"/>
                <w:color w:val="auto"/>
              </w:rPr>
              <w:t>“Phase III Project”</w:t>
            </w:r>
          </w:p>
        </w:tc>
        <w:tc>
          <w:tcPr>
            <w:tcW w:w="4520" w:type="dxa"/>
            <w:vAlign w:val="bottom"/>
          </w:tcPr>
          <w:p>
            <w:pPr>
              <w:jc w:val="center"/>
              <w:ind w:left="3932"/>
              <w:spacing w:after="0" w:line="243" w:lineRule="exact"/>
              <w:rPr>
                <w:sz w:val="20"/>
                <w:szCs w:val="20"/>
                <w:color w:val="auto"/>
              </w:rPr>
            </w:pPr>
            <w:r>
              <w:rPr>
                <w:rFonts w:ascii="Arial" w:cs="Arial" w:eastAsia="Arial" w:hAnsi="Arial"/>
                <w:sz w:val="22"/>
                <w:szCs w:val="22"/>
                <w:color w:val="auto"/>
                <w:w w:val="87"/>
              </w:rPr>
              <w:t>10.03</w:t>
            </w:r>
          </w:p>
        </w:tc>
      </w:tr>
      <w:tr>
        <w:trPr>
          <w:trHeight w:val="243"/>
        </w:trPr>
        <w:tc>
          <w:tcPr>
            <w:tcW w:w="6280" w:type="dxa"/>
            <w:vAlign w:val="bottom"/>
          </w:tcPr>
          <w:p>
            <w:pPr>
              <w:spacing w:after="0" w:line="243" w:lineRule="exact"/>
              <w:rPr>
                <w:sz w:val="20"/>
                <w:szCs w:val="20"/>
                <w:color w:val="auto"/>
              </w:rPr>
            </w:pPr>
            <w:r>
              <w:rPr>
                <w:rFonts w:ascii="Arial" w:cs="Arial" w:eastAsia="Arial" w:hAnsi="Arial"/>
                <w:sz w:val="22"/>
                <w:szCs w:val="22"/>
                <w:i w:val="1"/>
                <w:iCs w:val="1"/>
                <w:color w:val="auto"/>
              </w:rPr>
              <w:t>“Purchase Date”</w:t>
            </w:r>
          </w:p>
        </w:tc>
        <w:tc>
          <w:tcPr>
            <w:tcW w:w="4520" w:type="dxa"/>
            <w:vAlign w:val="bottom"/>
          </w:tcPr>
          <w:p>
            <w:pPr>
              <w:jc w:val="center"/>
              <w:ind w:left="3952"/>
              <w:spacing w:after="0" w:line="243" w:lineRule="exact"/>
              <w:rPr>
                <w:sz w:val="20"/>
                <w:szCs w:val="20"/>
                <w:color w:val="auto"/>
              </w:rPr>
            </w:pPr>
            <w:r>
              <w:rPr>
                <w:rFonts w:ascii="Arial" w:cs="Arial" w:eastAsia="Arial" w:hAnsi="Arial"/>
                <w:sz w:val="22"/>
                <w:szCs w:val="22"/>
                <w:color w:val="auto"/>
                <w:w w:val="88"/>
              </w:rPr>
              <w:t>3.10</w:t>
            </w:r>
          </w:p>
        </w:tc>
      </w:tr>
      <w:tr>
        <w:trPr>
          <w:trHeight w:val="243"/>
        </w:trPr>
        <w:tc>
          <w:tcPr>
            <w:tcW w:w="6280" w:type="dxa"/>
            <w:vAlign w:val="bottom"/>
          </w:tcPr>
          <w:p>
            <w:pPr>
              <w:spacing w:after="0" w:line="243" w:lineRule="exact"/>
              <w:rPr>
                <w:sz w:val="20"/>
                <w:szCs w:val="20"/>
                <w:color w:val="auto"/>
              </w:rPr>
            </w:pPr>
            <w:r>
              <w:rPr>
                <w:rFonts w:ascii="Arial" w:cs="Arial" w:eastAsia="Arial" w:hAnsi="Arial"/>
                <w:sz w:val="22"/>
                <w:szCs w:val="22"/>
                <w:i w:val="1"/>
                <w:iCs w:val="1"/>
                <w:color w:val="auto"/>
              </w:rPr>
              <w:t>“Reference Period”</w:t>
            </w:r>
          </w:p>
        </w:tc>
        <w:tc>
          <w:tcPr>
            <w:tcW w:w="4520" w:type="dxa"/>
            <w:vAlign w:val="bottom"/>
          </w:tcPr>
          <w:p>
            <w:pPr>
              <w:jc w:val="center"/>
              <w:ind w:left="3952"/>
              <w:spacing w:after="0" w:line="243" w:lineRule="exact"/>
              <w:rPr>
                <w:sz w:val="20"/>
                <w:szCs w:val="20"/>
                <w:color w:val="auto"/>
              </w:rPr>
            </w:pPr>
            <w:r>
              <w:rPr>
                <w:rFonts w:ascii="Arial" w:cs="Arial" w:eastAsia="Arial" w:hAnsi="Arial"/>
                <w:sz w:val="22"/>
                <w:szCs w:val="22"/>
                <w:color w:val="auto"/>
                <w:w w:val="88"/>
              </w:rPr>
              <w:t>4.09</w:t>
            </w:r>
          </w:p>
        </w:tc>
      </w:tr>
      <w:tr>
        <w:trPr>
          <w:trHeight w:val="243"/>
        </w:trPr>
        <w:tc>
          <w:tcPr>
            <w:tcW w:w="6280" w:type="dxa"/>
            <w:vAlign w:val="bottom"/>
          </w:tcPr>
          <w:p>
            <w:pPr>
              <w:spacing w:after="0" w:line="243" w:lineRule="exact"/>
              <w:rPr>
                <w:sz w:val="20"/>
                <w:szCs w:val="20"/>
                <w:color w:val="auto"/>
              </w:rPr>
            </w:pPr>
            <w:r>
              <w:rPr>
                <w:rFonts w:ascii="Arial" w:cs="Arial" w:eastAsia="Arial" w:hAnsi="Arial"/>
                <w:sz w:val="22"/>
                <w:szCs w:val="22"/>
                <w:i w:val="1"/>
                <w:iCs w:val="1"/>
                <w:color w:val="auto"/>
              </w:rPr>
              <w:t>“Refinancing”</w:t>
            </w:r>
          </w:p>
        </w:tc>
        <w:tc>
          <w:tcPr>
            <w:tcW w:w="4520" w:type="dxa"/>
            <w:vAlign w:val="bottom"/>
          </w:tcPr>
          <w:p>
            <w:pPr>
              <w:jc w:val="center"/>
              <w:ind w:left="3932"/>
              <w:spacing w:after="0" w:line="243" w:lineRule="exact"/>
              <w:rPr>
                <w:sz w:val="20"/>
                <w:szCs w:val="20"/>
                <w:color w:val="auto"/>
              </w:rPr>
            </w:pPr>
            <w:r>
              <w:rPr>
                <w:rFonts w:ascii="Arial" w:cs="Arial" w:eastAsia="Arial" w:hAnsi="Arial"/>
                <w:sz w:val="22"/>
                <w:szCs w:val="22"/>
                <w:color w:val="auto"/>
                <w:w w:val="87"/>
              </w:rPr>
              <w:t>10.03</w:t>
            </w:r>
          </w:p>
        </w:tc>
      </w:tr>
      <w:tr>
        <w:trPr>
          <w:trHeight w:val="243"/>
        </w:trPr>
        <w:tc>
          <w:tcPr>
            <w:tcW w:w="6280" w:type="dxa"/>
            <w:vAlign w:val="bottom"/>
          </w:tcPr>
          <w:p>
            <w:pPr>
              <w:spacing w:after="0" w:line="243" w:lineRule="exact"/>
              <w:rPr>
                <w:sz w:val="20"/>
                <w:szCs w:val="20"/>
                <w:color w:val="auto"/>
              </w:rPr>
            </w:pPr>
            <w:r>
              <w:rPr>
                <w:rFonts w:ascii="Arial" w:cs="Arial" w:eastAsia="Arial" w:hAnsi="Arial"/>
                <w:sz w:val="22"/>
                <w:szCs w:val="22"/>
                <w:i w:val="1"/>
                <w:iCs w:val="1"/>
                <w:color w:val="auto"/>
              </w:rPr>
              <w:t>“Registrar”</w:t>
            </w:r>
          </w:p>
        </w:tc>
        <w:tc>
          <w:tcPr>
            <w:tcW w:w="4520" w:type="dxa"/>
            <w:vAlign w:val="bottom"/>
          </w:tcPr>
          <w:p>
            <w:pPr>
              <w:jc w:val="center"/>
              <w:ind w:left="3952"/>
              <w:spacing w:after="0" w:line="243" w:lineRule="exact"/>
              <w:rPr>
                <w:sz w:val="20"/>
                <w:szCs w:val="20"/>
                <w:color w:val="auto"/>
              </w:rPr>
            </w:pPr>
            <w:r>
              <w:rPr>
                <w:rFonts w:ascii="Arial" w:cs="Arial" w:eastAsia="Arial" w:hAnsi="Arial"/>
                <w:sz w:val="22"/>
                <w:szCs w:val="22"/>
                <w:color w:val="auto"/>
                <w:w w:val="88"/>
              </w:rPr>
              <w:t>2.03</w:t>
            </w:r>
          </w:p>
        </w:tc>
      </w:tr>
      <w:tr>
        <w:trPr>
          <w:trHeight w:val="275"/>
        </w:trPr>
        <w:tc>
          <w:tcPr>
            <w:tcW w:w="6280" w:type="dxa"/>
            <w:vAlign w:val="bottom"/>
          </w:tcPr>
          <w:p>
            <w:pPr>
              <w:ind w:left="60"/>
              <w:spacing w:after="0"/>
              <w:rPr>
                <w:sz w:val="20"/>
                <w:szCs w:val="20"/>
                <w:color w:val="auto"/>
              </w:rPr>
            </w:pPr>
            <w:r>
              <w:rPr>
                <w:rFonts w:ascii="Arial" w:cs="Arial" w:eastAsia="Arial" w:hAnsi="Arial"/>
                <w:sz w:val="22"/>
                <w:szCs w:val="22"/>
                <w:i w:val="1"/>
                <w:iCs w:val="1"/>
                <w:color w:val="auto"/>
              </w:rPr>
              <w:t>“Restricted Payments”</w:t>
            </w:r>
          </w:p>
        </w:tc>
        <w:tc>
          <w:tcPr>
            <w:tcW w:w="4520" w:type="dxa"/>
            <w:vAlign w:val="bottom"/>
          </w:tcPr>
          <w:p>
            <w:pPr>
              <w:jc w:val="center"/>
              <w:ind w:left="3952"/>
              <w:spacing w:after="0"/>
              <w:rPr>
                <w:sz w:val="20"/>
                <w:szCs w:val="20"/>
                <w:color w:val="auto"/>
              </w:rPr>
            </w:pPr>
            <w:r>
              <w:rPr>
                <w:rFonts w:ascii="Arial" w:cs="Arial" w:eastAsia="Arial" w:hAnsi="Arial"/>
                <w:sz w:val="22"/>
                <w:szCs w:val="22"/>
                <w:color w:val="auto"/>
                <w:w w:val="88"/>
              </w:rPr>
              <w:t>4.07</w:t>
            </w:r>
          </w:p>
        </w:tc>
      </w:tr>
    </w:tbl>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i w:val="1"/>
          <w:iCs w:val="1"/>
          <w:color w:val="auto"/>
        </w:rPr>
        <w:t>Incorporation by Reference of Trust Indenture Act.</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Whenever this Indenture refers to a provision of the TIA, the provision is incorporated by reference in and made a part of this Indenture.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TIA terms used in this Indenture have the following meanings: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Commission</w:t>
      </w:r>
      <w:r>
        <w:rPr>
          <w:rFonts w:ascii="Arial" w:cs="Arial" w:eastAsia="Arial" w:hAnsi="Arial"/>
          <w:sz w:val="22"/>
          <w:szCs w:val="22"/>
          <w:color w:val="auto"/>
        </w:rPr>
        <w:t>” means the SEC;</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securities</w:t>
      </w:r>
      <w:r>
        <w:rPr>
          <w:rFonts w:ascii="Arial" w:cs="Arial" w:eastAsia="Arial" w:hAnsi="Arial"/>
          <w:sz w:val="22"/>
          <w:szCs w:val="22"/>
          <w:color w:val="auto"/>
        </w:rPr>
        <w:t>” means the Notes;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security Holder</w:t>
      </w:r>
      <w:r>
        <w:rPr>
          <w:rFonts w:ascii="Arial" w:cs="Arial" w:eastAsia="Arial" w:hAnsi="Arial"/>
          <w:sz w:val="22"/>
          <w:szCs w:val="22"/>
          <w:color w:val="auto"/>
        </w:rPr>
        <w:t>” means a Holder of a Note;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to be qualified</w:t>
      </w:r>
      <w:r>
        <w:rPr>
          <w:rFonts w:ascii="Arial" w:cs="Arial" w:eastAsia="Arial" w:hAnsi="Arial"/>
          <w:sz w:val="22"/>
          <w:szCs w:val="22"/>
          <w:color w:val="auto"/>
        </w:rPr>
        <w:t>” means this Indenture;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trustee</w:t>
      </w:r>
      <w:r>
        <w:rPr>
          <w:rFonts w:ascii="Arial" w:cs="Arial" w:eastAsia="Arial" w:hAnsi="Arial"/>
          <w:sz w:val="22"/>
          <w:szCs w:val="22"/>
          <w:color w:val="auto"/>
        </w:rPr>
        <w:t>” or “institutional trustee” means the Trustee; and</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obligor</w:t>
      </w:r>
      <w:r>
        <w:rPr>
          <w:rFonts w:ascii="Arial" w:cs="Arial" w:eastAsia="Arial" w:hAnsi="Arial"/>
          <w:sz w:val="22"/>
          <w:szCs w:val="22"/>
          <w:color w:val="auto"/>
        </w:rPr>
        <w:t>” on the Notes and the Note Guarantees means the Issuers and the Guarantors, respectively, and any successor obligor upon the Notes and the Note Guarantees, respectively.</w:t>
      </w:r>
    </w:p>
    <w:p>
      <w:pPr>
        <w:spacing w:after="0" w:line="20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All other terms used in this Indenture that are defined by the TIA, defined by TIA reference to another statute or defined by SEC rule under the TIA have the meanings so assigned to them.</w:t>
      </w:r>
    </w:p>
    <w:p>
      <w:pPr>
        <w:spacing w:after="0" w:line="20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i w:val="1"/>
          <w:iCs w:val="1"/>
          <w:color w:val="auto"/>
        </w:rPr>
        <w:t>Rules of Construction.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Unless the context otherwise requires:</w:t>
      </w:r>
    </w:p>
    <w:p>
      <w:pPr>
        <w:spacing w:after="0" w:line="233" w:lineRule="exact"/>
        <w:rPr>
          <w:sz w:val="20"/>
          <w:szCs w:val="20"/>
          <w:color w:val="auto"/>
        </w:rPr>
      </w:pPr>
    </w:p>
    <w:p>
      <w:pPr>
        <w:ind w:left="2160" w:hanging="855"/>
        <w:spacing w:after="0"/>
        <w:tabs>
          <w:tab w:leader="none" w:pos="21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57" w:name="page58"/>
    <w:bookmarkEnd w:id="57"/>
    <w:p>
      <w:pPr>
        <w:ind w:left="2160" w:hanging="855"/>
        <w:spacing w:after="0"/>
        <w:tabs>
          <w:tab w:leader="none" w:pos="2160" w:val="left"/>
        </w:tabs>
        <w:numPr>
          <w:ilvl w:val="0"/>
          <w:numId w:val="63"/>
        </w:numPr>
        <w:rPr>
          <w:rFonts w:ascii="Arial" w:cs="Arial" w:eastAsia="Arial" w:hAnsi="Arial"/>
          <w:sz w:val="21"/>
          <w:szCs w:val="21"/>
          <w:color w:val="auto"/>
        </w:rPr>
      </w:pPr>
      <w:r>
        <w:rPr>
          <w:rFonts w:ascii="Arial" w:cs="Arial" w:eastAsia="Arial" w:hAnsi="Arial"/>
          <w:sz w:val="21"/>
          <w:szCs w:val="21"/>
          <w:color w:val="auto"/>
        </w:rPr>
        <w:t>an accounting term not otherwise defined has the meaning assigned to it in accordance with GAAP;</w:t>
      </w:r>
    </w:p>
    <w:p>
      <w:pPr>
        <w:spacing w:after="0" w:line="244" w:lineRule="exact"/>
        <w:rPr>
          <w:rFonts w:ascii="Arial" w:cs="Arial" w:eastAsia="Arial" w:hAnsi="Arial"/>
          <w:sz w:val="21"/>
          <w:szCs w:val="21"/>
          <w:color w:val="auto"/>
        </w:rPr>
      </w:pPr>
    </w:p>
    <w:p>
      <w:pPr>
        <w:ind w:left="2160" w:hanging="855"/>
        <w:spacing w:after="0"/>
        <w:tabs>
          <w:tab w:leader="none" w:pos="21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“will” shall be interpreted to express a command;</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provisions apply to successive events and transactions;</w:t>
      </w:r>
    </w:p>
    <w:p>
      <w:pPr>
        <w:spacing w:after="0" w:line="233" w:lineRule="exact"/>
        <w:rPr>
          <w:rFonts w:ascii="Arial" w:cs="Arial" w:eastAsia="Arial" w:hAnsi="Arial"/>
          <w:sz w:val="22"/>
          <w:szCs w:val="22"/>
          <w:color w:val="auto"/>
        </w:rPr>
      </w:pPr>
    </w:p>
    <w:p>
      <w:pPr>
        <w:ind w:right="20" w:firstLine="1305"/>
        <w:spacing w:after="0" w:line="251" w:lineRule="auto"/>
        <w:tabs>
          <w:tab w:leader="none" w:pos="2577" w:val="left"/>
        </w:tabs>
        <w:numPr>
          <w:ilvl w:val="0"/>
          <w:numId w:val="63"/>
        </w:numPr>
        <w:rPr>
          <w:rFonts w:ascii="Arial" w:cs="Arial" w:eastAsia="Arial" w:hAnsi="Arial"/>
          <w:sz w:val="22"/>
          <w:szCs w:val="22"/>
          <w:color w:val="auto"/>
        </w:rPr>
      </w:pPr>
      <w:r>
        <w:rPr>
          <w:rFonts w:ascii="Arial" w:cs="Arial" w:eastAsia="Arial" w:hAnsi="Arial"/>
          <w:sz w:val="22"/>
          <w:szCs w:val="22"/>
          <w:color w:val="auto"/>
        </w:rPr>
        <w:t>references to sections of or rules under the Securities Act shall be deemed to include substitute, replacement of successor sections or rules adopted by the SEC from time to time;</w:t>
      </w:r>
    </w:p>
    <w:p>
      <w:pPr>
        <w:spacing w:after="0" w:line="200" w:lineRule="exact"/>
        <w:rPr>
          <w:rFonts w:ascii="Arial" w:cs="Arial" w:eastAsia="Arial" w:hAnsi="Arial"/>
          <w:sz w:val="22"/>
          <w:szCs w:val="22"/>
          <w:color w:val="auto"/>
        </w:rPr>
      </w:pPr>
    </w:p>
    <w:p>
      <w:pPr>
        <w:ind w:right="20" w:firstLine="1305"/>
        <w:spacing w:after="0" w:line="251" w:lineRule="auto"/>
        <w:tabs>
          <w:tab w:leader="none" w:pos="2205" w:val="left"/>
        </w:tabs>
        <w:numPr>
          <w:ilvl w:val="0"/>
          <w:numId w:val="63"/>
        </w:numPr>
        <w:rPr>
          <w:rFonts w:ascii="Arial" w:cs="Arial" w:eastAsia="Arial" w:hAnsi="Arial"/>
          <w:sz w:val="22"/>
          <w:szCs w:val="22"/>
          <w:color w:val="auto"/>
        </w:rPr>
      </w:pPr>
      <w:r>
        <w:rPr>
          <w:rFonts w:ascii="Arial" w:cs="Arial" w:eastAsia="Arial" w:hAnsi="Arial"/>
          <w:sz w:val="22"/>
          <w:szCs w:val="22"/>
          <w:color w:val="auto"/>
        </w:rPr>
        <w:t>references to any statute, law, rule or regulation shall be deemed to refer to the same as from time to time amended and in effect and to any successor statute, law, rule or regulation;</w:t>
      </w:r>
    </w:p>
    <w:p>
      <w:pPr>
        <w:spacing w:after="0" w:line="200" w:lineRule="exact"/>
        <w:rPr>
          <w:rFonts w:ascii="Arial" w:cs="Arial" w:eastAsia="Arial" w:hAnsi="Arial"/>
          <w:sz w:val="22"/>
          <w:szCs w:val="22"/>
          <w:color w:val="auto"/>
        </w:rPr>
      </w:pPr>
    </w:p>
    <w:p>
      <w:pPr>
        <w:jc w:val="both"/>
        <w:ind w:firstLine="1305"/>
        <w:spacing w:after="0"/>
        <w:tabs>
          <w:tab w:leader="none" w:pos="2607" w:val="left"/>
        </w:tabs>
        <w:numPr>
          <w:ilvl w:val="0"/>
          <w:numId w:val="63"/>
        </w:numPr>
        <w:rPr>
          <w:rFonts w:ascii="Arial" w:cs="Arial" w:eastAsia="Arial" w:hAnsi="Arial"/>
          <w:sz w:val="22"/>
          <w:szCs w:val="22"/>
          <w:color w:val="auto"/>
        </w:rPr>
      </w:pPr>
      <w:r>
        <w:rPr>
          <w:rFonts w:ascii="Arial" w:cs="Arial" w:eastAsia="Arial" w:hAnsi="Arial"/>
          <w:sz w:val="22"/>
          <w:szCs w:val="22"/>
          <w:color w:val="auto"/>
        </w:rPr>
        <w:t>references to any contract, agreement or instrument shall mean the same as amended, modified, supplemented or amended and restated from time to time, in each case, in accordance with any applicable restrictions contained therein, in this Indenture or in any Collateral Document, as the case may be; and</w:t>
      </w:r>
    </w:p>
    <w:p>
      <w:pPr>
        <w:spacing w:after="0" w:line="213" w:lineRule="exact"/>
        <w:rPr>
          <w:rFonts w:ascii="Arial" w:cs="Arial" w:eastAsia="Arial" w:hAnsi="Arial"/>
          <w:sz w:val="22"/>
          <w:szCs w:val="22"/>
          <w:color w:val="auto"/>
        </w:rPr>
      </w:pPr>
    </w:p>
    <w:p>
      <w:pPr>
        <w:jc w:val="both"/>
        <w:ind w:firstLine="1305"/>
        <w:spacing w:after="0"/>
        <w:tabs>
          <w:tab w:leader="none" w:pos="2482"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consummation by the Issuers and the Restricted Subsidiaries on the date of this Indenture of the transactions described in the Issuers’ Offering Memorandum, dated as of March 26, 2010, relating to the offering of the Initial Notes, shall be deemed to occur concurrently.</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THE NOTES</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i w:val="1"/>
          <w:iCs w:val="1"/>
          <w:color w:val="auto"/>
        </w:rPr>
        <w:t>Form and Dating.</w:t>
      </w:r>
    </w:p>
    <w:p>
      <w:pPr>
        <w:spacing w:after="0" w:line="233" w:lineRule="exact"/>
        <w:rPr>
          <w:sz w:val="20"/>
          <w:szCs w:val="20"/>
          <w:color w:val="auto"/>
        </w:rPr>
      </w:pPr>
    </w:p>
    <w:p>
      <w:pPr>
        <w:jc w:val="both"/>
        <w:ind w:firstLine="656"/>
        <w:spacing w:after="0" w:line="238" w:lineRule="auto"/>
        <w:tabs>
          <w:tab w:leader="none" w:pos="1496"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 The Notes and the Trustee’s certificate of authentication shall be substantially in the form of</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Exhibits A-1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A-2</w:t>
      </w:r>
      <w:r>
        <w:rPr>
          <w:rFonts w:ascii="Arial" w:cs="Arial" w:eastAsia="Arial" w:hAnsi="Arial"/>
          <w:sz w:val="22"/>
          <w:szCs w:val="22"/>
          <w:color w:val="auto"/>
        </w:rPr>
        <w:t xml:space="preserve"> hereto. The Notes may have notations, legends or endorsements required by law, stock exchange rule or usage. Each Note shall be dated the date of its authentication. The Notes shall be in denominations of $2,000 or an integral multiple of $1,000 in excess of $2,000.</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terms and provisions contained in the Notes shall constitute, and are hereby expressly made, a part of this Indenture and the Issuers,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58" w:name="page59"/>
    <w:bookmarkEnd w:id="58"/>
    <w:p>
      <w:pPr>
        <w:jc w:val="both"/>
        <w:ind w:firstLine="656"/>
        <w:spacing w:after="0" w:line="272" w:lineRule="auto"/>
        <w:tabs>
          <w:tab w:leader="none" w:pos="1643" w:val="left"/>
        </w:tabs>
        <w:numPr>
          <w:ilvl w:val="0"/>
          <w:numId w:val="65"/>
        </w:numPr>
        <w:rPr>
          <w:rFonts w:ascii="Arial" w:cs="Arial" w:eastAsia="Arial" w:hAnsi="Arial"/>
          <w:sz w:val="19"/>
          <w:szCs w:val="19"/>
          <w:color w:val="auto"/>
        </w:rPr>
      </w:pPr>
      <w:r>
        <w:rPr>
          <w:rFonts w:ascii="Arial" w:cs="Arial" w:eastAsia="Arial" w:hAnsi="Arial"/>
          <w:sz w:val="19"/>
          <w:szCs w:val="19"/>
          <w:i w:val="1"/>
          <w:iCs w:val="1"/>
          <w:color w:val="auto"/>
        </w:rPr>
        <w:t>Global Notes</w:t>
      </w:r>
      <w:r>
        <w:rPr>
          <w:rFonts w:ascii="Arial" w:cs="Arial" w:eastAsia="Arial" w:hAnsi="Arial"/>
          <w:sz w:val="19"/>
          <w:szCs w:val="19"/>
          <w:color w:val="auto"/>
        </w:rPr>
        <w:t>. Notes issued in global form shall be substantially in the form of</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Exhibits A-1</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A-2</w:t>
      </w:r>
      <w:r>
        <w:rPr>
          <w:rFonts w:ascii="Arial" w:cs="Arial" w:eastAsia="Arial" w:hAnsi="Arial"/>
          <w:sz w:val="19"/>
          <w:szCs w:val="19"/>
          <w:i w:val="1"/>
          <w:iCs w:val="1"/>
          <w:color w:val="auto"/>
        </w:rPr>
        <w:t xml:space="preserve"> </w:t>
      </w:r>
      <w:r>
        <w:rPr>
          <w:rFonts w:ascii="Arial" w:cs="Arial" w:eastAsia="Arial" w:hAnsi="Arial"/>
          <w:sz w:val="19"/>
          <w:szCs w:val="19"/>
          <w:color w:val="auto"/>
        </w:rPr>
        <w:t>attached</w:t>
      </w:r>
      <w:r>
        <w:rPr>
          <w:rFonts w:ascii="Arial" w:cs="Arial" w:eastAsia="Arial" w:hAnsi="Arial"/>
          <w:sz w:val="19"/>
          <w:szCs w:val="19"/>
          <w:i w:val="1"/>
          <w:iCs w:val="1"/>
          <w:color w:val="auto"/>
        </w:rPr>
        <w:t xml:space="preserve"> </w:t>
      </w:r>
      <w:r>
        <w:rPr>
          <w:rFonts w:ascii="Arial" w:cs="Arial" w:eastAsia="Arial" w:hAnsi="Arial"/>
          <w:sz w:val="19"/>
          <w:szCs w:val="19"/>
          <w:color w:val="auto"/>
        </w:rPr>
        <w:t>hereto (including the Global Note Legend thereon and the “</w:t>
      </w:r>
      <w:r>
        <w:rPr>
          <w:rFonts w:ascii="Arial" w:cs="Arial" w:eastAsia="Arial" w:hAnsi="Arial"/>
          <w:sz w:val="19"/>
          <w:szCs w:val="19"/>
          <w:i w:val="1"/>
          <w:iCs w:val="1"/>
          <w:color w:val="auto"/>
        </w:rPr>
        <w:t>Schedule of Exchanges of Interests in the Global Note</w:t>
      </w:r>
      <w:r>
        <w:rPr>
          <w:rFonts w:ascii="Arial" w:cs="Arial" w:eastAsia="Arial" w:hAnsi="Arial"/>
          <w:sz w:val="19"/>
          <w:szCs w:val="19"/>
          <w:color w:val="auto"/>
        </w:rPr>
        <w:t xml:space="preserve">” attached thereto), which Notes shall be deposited on behalf of the holders of the Notes represented thereby with the Trustee, as Custodian for the Depositary, and registered in the name of the Depositary or the nominee of t he Depositary. Notes issued in definitive form shall also be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attached hereto (but without the Global Note Legend thereon and without the “Schedule of Exchanges of Interests in the Global Note” attached thereto). Any Notes issued in global form and definitive form shall be duly executed by the Issuers and authenticated by the Trustee as hereinafter provided.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 te principal amount of outstanding Notes represented thereby shall be made by the Trustee or the Custodian, at the direction of the Trustee, in accordance with instructions given by the Holder thereof as required by Section 2.06 hereof.</w:t>
      </w:r>
    </w:p>
    <w:p>
      <w:pPr>
        <w:spacing w:after="0" w:line="184" w:lineRule="exact"/>
        <w:rPr>
          <w:rFonts w:ascii="Arial" w:cs="Arial" w:eastAsia="Arial" w:hAnsi="Arial"/>
          <w:sz w:val="19"/>
          <w:szCs w:val="19"/>
          <w:color w:val="auto"/>
        </w:rPr>
      </w:pPr>
    </w:p>
    <w:p>
      <w:pPr>
        <w:jc w:val="both"/>
        <w:ind w:firstLine="656"/>
        <w:spacing w:after="0" w:line="235" w:lineRule="auto"/>
        <w:tabs>
          <w:tab w:leader="none" w:pos="1550"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Temporary Global Notes</w:t>
      </w:r>
      <w:r>
        <w:rPr>
          <w:rFonts w:ascii="Arial" w:cs="Arial" w:eastAsia="Arial" w:hAnsi="Arial"/>
          <w:sz w:val="22"/>
          <w:szCs w:val="22"/>
          <w:color w:val="auto"/>
        </w:rPr>
        <w:t>. Notes offered and sold in reliance on Regulation S shall be issued initially in the form</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of the Regulation S Temporary Global Note substantially in the form of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attached hereto, which shall be deposited on behalf of the holders of the Notes represented thereby with the Trustee, as custodian for the Depositary, and registered in the name of the Depositary or the nominee of the Depositary for the accounts of designated agents holding on behalf of Euroclear or Clearstream, duly executed by the Issuers and authenticated by the Trustee as hereinafter provided. The Restricted Period shall b e terminated upon the receipt by the Trustee of:</w:t>
      </w:r>
    </w:p>
    <w:p>
      <w:pPr>
        <w:spacing w:after="0" w:line="215" w:lineRule="exact"/>
        <w:rPr>
          <w:rFonts w:ascii="Arial" w:cs="Arial" w:eastAsia="Arial" w:hAnsi="Arial"/>
          <w:sz w:val="22"/>
          <w:szCs w:val="22"/>
          <w:color w:val="auto"/>
        </w:rPr>
      </w:pPr>
    </w:p>
    <w:p>
      <w:pPr>
        <w:jc w:val="both"/>
        <w:ind w:left="660" w:firstLine="645"/>
        <w:spacing w:after="0" w:line="279" w:lineRule="auto"/>
        <w:tabs>
          <w:tab w:leader="none" w:pos="2600" w:val="left"/>
        </w:tabs>
        <w:numPr>
          <w:ilvl w:val="1"/>
          <w:numId w:val="65"/>
        </w:numPr>
        <w:rPr>
          <w:rFonts w:ascii="Arial" w:cs="Arial" w:eastAsia="Arial" w:hAnsi="Arial"/>
          <w:sz w:val="19"/>
          <w:szCs w:val="19"/>
          <w:color w:val="auto"/>
        </w:rPr>
      </w:pPr>
      <w:r>
        <w:rPr>
          <w:rFonts w:ascii="Arial" w:cs="Arial" w:eastAsia="Arial" w:hAnsi="Arial"/>
          <w:sz w:val="19"/>
          <w:szCs w:val="19"/>
          <w:color w:val="auto"/>
        </w:rPr>
        <w:t>a written certificate from the Depositary, together with copies of certificates from Euroclear and Clearstream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144A Global Note or an IAI Global Note bearing a Private Placement Legend, all as contemplated by Section 2.06(b) hereof); and</w:t>
      </w:r>
    </w:p>
    <w:p>
      <w:pPr>
        <w:spacing w:after="0" w:line="177" w:lineRule="exact"/>
        <w:rPr>
          <w:rFonts w:ascii="Arial" w:cs="Arial" w:eastAsia="Arial" w:hAnsi="Arial"/>
          <w:sz w:val="19"/>
          <w:szCs w:val="19"/>
          <w:color w:val="auto"/>
        </w:rPr>
      </w:pPr>
    </w:p>
    <w:p>
      <w:pPr>
        <w:ind w:left="2160" w:hanging="855"/>
        <w:spacing w:after="0"/>
        <w:tabs>
          <w:tab w:leader="none" w:pos="2160" w:val="left"/>
        </w:tabs>
        <w:numPr>
          <w:ilvl w:val="1"/>
          <w:numId w:val="65"/>
        </w:numPr>
        <w:rPr>
          <w:rFonts w:ascii="Arial" w:cs="Arial" w:eastAsia="Arial" w:hAnsi="Arial"/>
          <w:sz w:val="22"/>
          <w:szCs w:val="22"/>
          <w:color w:val="auto"/>
        </w:rPr>
      </w:pPr>
      <w:r>
        <w:rPr>
          <w:rFonts w:ascii="Arial" w:cs="Arial" w:eastAsia="Arial" w:hAnsi="Arial"/>
          <w:sz w:val="22"/>
          <w:szCs w:val="22"/>
          <w:color w:val="auto"/>
        </w:rPr>
        <w:t>an Officers’ Certificate from each of the Issuers.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Following the termination of the Restricted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or its nominee, as the case may be, in connection with transfers of interest as hereinafter provided.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59" w:name="page60"/>
    <w:bookmarkEnd w:id="59"/>
    <w:p>
      <w:pPr>
        <w:jc w:val="both"/>
        <w:ind w:firstLine="656"/>
        <w:spacing w:after="0" w:line="236" w:lineRule="auto"/>
        <w:tabs>
          <w:tab w:leader="none" w:pos="1508" w:val="left"/>
        </w:tabs>
        <w:numPr>
          <w:ilvl w:val="0"/>
          <w:numId w:val="66"/>
        </w:numPr>
        <w:rPr>
          <w:rFonts w:ascii="Arial" w:cs="Arial" w:eastAsia="Arial" w:hAnsi="Arial"/>
          <w:sz w:val="22"/>
          <w:szCs w:val="22"/>
          <w:color w:val="auto"/>
        </w:rPr>
      </w:pPr>
      <w:r>
        <w:rPr>
          <w:rFonts w:ascii="Arial" w:cs="Arial" w:eastAsia="Arial" w:hAnsi="Arial"/>
          <w:sz w:val="22"/>
          <w:szCs w:val="22"/>
          <w:i w:val="1"/>
          <w:iCs w:val="1"/>
          <w:color w:val="auto"/>
        </w:rPr>
        <w:t>Euroclear and Clearstream Procedures Applicable</w:t>
      </w:r>
      <w:r>
        <w:rPr>
          <w:rFonts w:ascii="Arial" w:cs="Arial" w:eastAsia="Arial" w:hAnsi="Arial"/>
          <w:sz w:val="22"/>
          <w:szCs w:val="22"/>
          <w:color w:val="auto"/>
        </w:rPr>
        <w:t>. The provisions of the “Operating Procedures of the Euroclear</w:t>
      </w:r>
      <w:r>
        <w:rPr>
          <w:rFonts w:ascii="Arial" w:cs="Arial" w:eastAsia="Arial" w:hAnsi="Arial"/>
          <w:sz w:val="22"/>
          <w:szCs w:val="22"/>
          <w:i w:val="1"/>
          <w:iCs w:val="1"/>
          <w:color w:val="auto"/>
        </w:rPr>
        <w:t xml:space="preserve"> </w:t>
      </w:r>
      <w:r>
        <w:rPr>
          <w:rFonts w:ascii="Arial" w:cs="Arial" w:eastAsia="Arial" w:hAnsi="Arial"/>
          <w:sz w:val="22"/>
          <w:szCs w:val="22"/>
          <w:color w:val="auto"/>
        </w:rPr>
        <w:t>System” and “Terms and Conditions Governing Use of Euroclear” and the “General Terms and Conditions of Clearstream Banking” and “Customer Handbook” of Clearstream shall be applicable to transfers of beneficial interests in the Regulation S Temporary Global Note and the Regulation S Permanent Global Note that are held by Participants through Euroclear or Clearstream.</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i w:val="1"/>
          <w:iCs w:val="1"/>
          <w:color w:val="auto"/>
        </w:rPr>
        <w:t>Execution and Authentication.</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 Designated Officer on behalf of each of Wynn Las Vegas and Wynn Capital must sign the Notes for the Issuers by manual or facsimile signature.</w:t>
      </w:r>
    </w:p>
    <w:p>
      <w:pPr>
        <w:spacing w:after="0" w:line="200"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If an Officer whose signature is on a Note no longer holds that office at the time a Note is authenticated, the Note shall nevertheless be valid.</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 Note shall not be valid until authenticated by the manual signature of the Trustee. The signature shall be conclusive evidence that the Note has been authenticated under this Indenture.</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Trustee shall, upon receipt of a written order of the Issuers signed by a Designated Officer of each of Wynn Las Vegas and Wynn Capital (an “</w:t>
      </w:r>
      <w:r>
        <w:rPr>
          <w:rFonts w:ascii="Arial" w:cs="Arial" w:eastAsia="Arial" w:hAnsi="Arial"/>
          <w:sz w:val="22"/>
          <w:szCs w:val="22"/>
          <w:i w:val="1"/>
          <w:iCs w:val="1"/>
          <w:u w:val="single" w:color="auto"/>
          <w:color w:val="auto"/>
        </w:rPr>
        <w:t>Authentication Order</w:t>
      </w:r>
      <w:r>
        <w:rPr>
          <w:rFonts w:ascii="Arial" w:cs="Arial" w:eastAsia="Arial" w:hAnsi="Arial"/>
          <w:sz w:val="22"/>
          <w:szCs w:val="22"/>
          <w:color w:val="auto"/>
        </w:rPr>
        <w:t>”), authenticate Notes for original issue that may be validly issued under this Indenture, including any Additional Notes (including Notes to be issued in substitution for outstanding Notes to reflect any name change of either Issuer, by succession permitted hereunder or otherwise).</w:t>
      </w:r>
    </w:p>
    <w:p>
      <w:pPr>
        <w:spacing w:after="0" w:line="21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 aggregate principal amount of Notes outstanding at any time may not exceed aggregate principal amount of Notes authorized for issuance by the Issuers pursuant to one or more Authentication Orders, except as provided in Section 2.07 hereof.</w:t>
      </w:r>
    </w:p>
    <w:p>
      <w:pPr>
        <w:spacing w:after="0" w:line="13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Trustee may appoint an authenticating agent acceptable to the Issuers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Issuers.</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i w:val="1"/>
          <w:iCs w:val="1"/>
          <w:color w:val="auto"/>
        </w:rPr>
        <w:t>Registrar and Paying Agent.</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Issuers shall maintain an office or agency where Notes may be presented for registration of transfer or for exchange (“</w:t>
      </w:r>
      <w:r>
        <w:rPr>
          <w:rFonts w:ascii="Arial" w:cs="Arial" w:eastAsia="Arial" w:hAnsi="Arial"/>
          <w:sz w:val="22"/>
          <w:szCs w:val="22"/>
          <w:i w:val="1"/>
          <w:iCs w:val="1"/>
          <w:u w:val="single" w:color="auto"/>
          <w:color w:val="auto"/>
        </w:rPr>
        <w:t>Registrar</w:t>
      </w:r>
      <w:r>
        <w:rPr>
          <w:rFonts w:ascii="Arial" w:cs="Arial" w:eastAsia="Arial" w:hAnsi="Arial"/>
          <w:sz w:val="22"/>
          <w:szCs w:val="22"/>
          <w:color w:val="auto"/>
        </w:rPr>
        <w:t>”) and an office or agency where Notes may be presented for payment (“</w:t>
      </w:r>
      <w:r>
        <w:rPr>
          <w:rFonts w:ascii="Arial" w:cs="Arial" w:eastAsia="Arial" w:hAnsi="Arial"/>
          <w:sz w:val="22"/>
          <w:szCs w:val="22"/>
          <w:i w:val="1"/>
          <w:iCs w:val="1"/>
          <w:u w:val="single" w:color="auto"/>
          <w:color w:val="auto"/>
        </w:rPr>
        <w:t>Paying Agent</w:t>
      </w:r>
      <w:r>
        <w:rPr>
          <w:rFonts w:ascii="Arial" w:cs="Arial" w:eastAsia="Arial" w:hAnsi="Arial"/>
          <w:sz w:val="22"/>
          <w:szCs w:val="22"/>
          <w:color w:val="auto"/>
        </w:rPr>
        <w:t>”). The Registrar shall keep a register of the Notes and of their transfer and exchange. The Issuers may appoint one or more co-registrars and one or more additional paying agents. The term “Registrar” includes any co-registrar and the term “Paying Agent” includes any additional paying agent. The Issuers may change any Paying Agent or Registrar without notice t o any Holder. The Issuers shall notify the Trustee in writing of the name and address of any Agent not a party to this Indenture. If the Issuers fail to appoint or maintain another entity as Registrar or Paying Agent, the Trustee shall act as such. Either or both of the Issuers or any of their Subsidiaries may act as Paying Agent or Registrar.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0" w:name="page61"/>
    <w:bookmarkEnd w:id="60"/>
    <w:p>
      <w:pPr>
        <w:ind w:left="660"/>
        <w:spacing w:after="0"/>
        <w:rPr>
          <w:sz w:val="20"/>
          <w:szCs w:val="20"/>
          <w:color w:val="auto"/>
        </w:rPr>
      </w:pPr>
      <w:r>
        <w:rPr>
          <w:rFonts w:ascii="Arial" w:cs="Arial" w:eastAsia="Arial" w:hAnsi="Arial"/>
          <w:sz w:val="19"/>
          <w:szCs w:val="19"/>
          <w:color w:val="auto"/>
        </w:rPr>
        <w:t>The Issuers initially appoint The Depository Trust Company (“</w:t>
      </w:r>
      <w:r>
        <w:rPr>
          <w:rFonts w:ascii="Arial" w:cs="Arial" w:eastAsia="Arial" w:hAnsi="Arial"/>
          <w:sz w:val="19"/>
          <w:szCs w:val="19"/>
          <w:i w:val="1"/>
          <w:iCs w:val="1"/>
          <w:u w:val="single" w:color="auto"/>
          <w:color w:val="auto"/>
        </w:rPr>
        <w:t>DTC</w:t>
      </w:r>
      <w:r>
        <w:rPr>
          <w:rFonts w:ascii="Arial" w:cs="Arial" w:eastAsia="Arial" w:hAnsi="Arial"/>
          <w:sz w:val="19"/>
          <w:szCs w:val="19"/>
          <w:color w:val="auto"/>
        </w:rPr>
        <w:t>”) to act as Depositary with respect to the Global Notes.</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Issuers initially appoint the Trustee to act as the Registrar and Paying Agent and to act as Custodian with respect to the Global Notes.</w:t>
      </w:r>
    </w:p>
    <w:p>
      <w:pPr>
        <w:spacing w:after="0" w:line="20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i w:val="1"/>
          <w:iCs w:val="1"/>
          <w:color w:val="auto"/>
        </w:rPr>
        <w:t>Paying Agent to Hold Money in Trust.</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Issuers shall require each Paying Agent other than the Trustee to agree in writing that the Paying Agent shall hold in trust for the benefit of Holders or the Trustee all money held by the Paying Agent for the payment of principal, premium or Liquidated Damages, if any, or interest on the Notes, and shall notify the Trustee of any default by the Issuers in making any such payment. While any such default continues, the Trustee may require a Paying Agent to pay all money held by it to the Trustee. The Issuers at any time may require a Paying Agent to pay all money held by it to the Trustee. Upon payment over to the Trustee, the Paying Agent (if other than the Issuers or a Subsidiary thereof) shall have no further liability for the money. If either Issuer or a Subsidiary acts as Payi ng Agent, it shall segregate and hold in a separate trust fund for the benefit of the Holders all money held by it as Paying Agent. Upon any bankruptcy or reorganization proceedings relating to the Issuers, the Trustee shall serve as Paying Agent for the Notes.</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i w:val="1"/>
          <w:iCs w:val="1"/>
          <w:color w:val="auto"/>
        </w:rPr>
        <w:t>Holder Lists.</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Trustee shall preserve in as current a form as is reasonably practicable the most recent list available to it of the names and addresses of all Holders and shall otherwise comply with TIA § 312(a). If the Trustee is not the Registrar, the Issuers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 and the Issuers shall otherwise comply with TIA § 312(a).</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i w:val="1"/>
          <w:iCs w:val="1"/>
          <w:color w:val="auto"/>
        </w:rPr>
        <w:t>Transfer and Exchange.</w:t>
      </w:r>
    </w:p>
    <w:p>
      <w:pPr>
        <w:spacing w:after="0" w:line="233" w:lineRule="exact"/>
        <w:rPr>
          <w:sz w:val="20"/>
          <w:szCs w:val="20"/>
          <w:color w:val="auto"/>
        </w:rPr>
      </w:pPr>
    </w:p>
    <w:p>
      <w:pPr>
        <w:jc w:val="both"/>
        <w:ind w:firstLine="656"/>
        <w:spacing w:after="0" w:line="238" w:lineRule="auto"/>
        <w:tabs>
          <w:tab w:leader="none" w:pos="1334"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Transfer and Exchange of Global Notes</w:t>
      </w:r>
      <w:r>
        <w:rPr>
          <w:rFonts w:ascii="Arial" w:cs="Arial" w:eastAsia="Arial" w:hAnsi="Arial"/>
          <w:sz w:val="22"/>
          <w:szCs w:val="22"/>
          <w:color w:val="auto"/>
        </w:rPr>
        <w:t>. A Global Note may not be transferred as a whole except by the Depositary</w:t>
      </w:r>
      <w:r>
        <w:rPr>
          <w:rFonts w:ascii="Arial" w:cs="Arial" w:eastAsia="Arial" w:hAnsi="Arial"/>
          <w:sz w:val="22"/>
          <w:szCs w:val="22"/>
          <w:i w:val="1"/>
          <w:iCs w:val="1"/>
          <w:color w:val="auto"/>
        </w:rPr>
        <w:t xml:space="preserve"> </w:t>
      </w:r>
      <w:r>
        <w:rPr>
          <w:rFonts w:ascii="Arial" w:cs="Arial" w:eastAsia="Arial" w:hAnsi="Arial"/>
          <w:sz w:val="22"/>
          <w:szCs w:val="22"/>
          <w:color w:val="auto"/>
        </w:rPr>
        <w:t>to a nominee of the Depositary, by a nominee of the Depositary to the Depositary or to another nominee of the Depositary, or by the Depositary or any such nominee to a successor Depositary or a nominee of such successor Depositary. All Global Notes shall be exchanged by the Issuers for Definitive Notes if:</w:t>
      </w:r>
    </w:p>
    <w:p>
      <w:pPr>
        <w:spacing w:after="0" w:line="212" w:lineRule="exact"/>
        <w:rPr>
          <w:rFonts w:ascii="Arial" w:cs="Arial" w:eastAsia="Arial" w:hAnsi="Arial"/>
          <w:sz w:val="22"/>
          <w:szCs w:val="22"/>
          <w:color w:val="auto"/>
        </w:rPr>
      </w:pPr>
    </w:p>
    <w:p>
      <w:pPr>
        <w:jc w:val="both"/>
        <w:ind w:left="660" w:firstLine="645"/>
        <w:spacing w:after="0" w:line="238" w:lineRule="auto"/>
        <w:tabs>
          <w:tab w:leader="none" w:pos="2181" w:val="left"/>
        </w:tabs>
        <w:numPr>
          <w:ilvl w:val="1"/>
          <w:numId w:val="67"/>
        </w:numPr>
        <w:rPr>
          <w:rFonts w:ascii="Arial" w:cs="Arial" w:eastAsia="Arial" w:hAnsi="Arial"/>
          <w:sz w:val="22"/>
          <w:szCs w:val="22"/>
          <w:color w:val="auto"/>
        </w:rPr>
      </w:pPr>
      <w:r>
        <w:rPr>
          <w:rFonts w:ascii="Arial" w:cs="Arial" w:eastAsia="Arial" w:hAnsi="Arial"/>
          <w:sz w:val="22"/>
          <w:szCs w:val="22"/>
          <w:color w:val="auto"/>
        </w:rPr>
        <w:t>Wynn Las Vegas delivers to the Trustee written notice from the Depositary that it is unwilling or unable to continue to act as Depositary or that it is no longer a clearing agency registered under the Exchange Act and, in either case, a successor Depositary is not appointed by Wynn Las Vegas within 120 days after the date of such notice from the Depositary;</w:t>
      </w:r>
    </w:p>
    <w:p>
      <w:pPr>
        <w:spacing w:after="0" w:line="212" w:lineRule="exact"/>
        <w:rPr>
          <w:rFonts w:ascii="Arial" w:cs="Arial" w:eastAsia="Arial" w:hAnsi="Arial"/>
          <w:sz w:val="22"/>
          <w:szCs w:val="22"/>
          <w:color w:val="auto"/>
        </w:rPr>
      </w:pPr>
    </w:p>
    <w:p>
      <w:pPr>
        <w:jc w:val="both"/>
        <w:ind w:left="660" w:firstLine="645"/>
        <w:spacing w:after="0"/>
        <w:tabs>
          <w:tab w:leader="none" w:pos="2324"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Issuers in their sole discretion determine that the Global Notes (in whole but not in part) should be exchanged for Definitive Notes and delivers a written notice to such effect to the Trustee; provided that in no event shall the Regulation 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1" w:name="page62"/>
    <w:bookmarkEnd w:id="61"/>
    <w:p>
      <w:pPr>
        <w:jc w:val="both"/>
        <w:ind w:left="660"/>
        <w:spacing w:after="0"/>
        <w:rPr>
          <w:sz w:val="20"/>
          <w:szCs w:val="20"/>
          <w:color w:val="auto"/>
        </w:rPr>
      </w:pPr>
      <w:r>
        <w:rPr>
          <w:rFonts w:ascii="Arial" w:cs="Arial" w:eastAsia="Arial" w:hAnsi="Arial"/>
          <w:sz w:val="22"/>
          <w:szCs w:val="22"/>
          <w:color w:val="auto"/>
        </w:rPr>
        <w:t>Temporary Global Note be exchanged by the Issuers for Definitive Notes prior to (A) the expiration of the Restricted Period and (B) the receipt by the Registrar of any certificates required pursuant to Rule 903(b)(3)(ii)(B) under the Securities Act; or</w:t>
      </w:r>
    </w:p>
    <w:p>
      <w:pPr>
        <w:spacing w:after="0" w:line="213" w:lineRule="exact"/>
        <w:rPr>
          <w:sz w:val="20"/>
          <w:szCs w:val="20"/>
          <w:color w:val="auto"/>
        </w:rPr>
      </w:pPr>
    </w:p>
    <w:p>
      <w:pPr>
        <w:jc w:val="both"/>
        <w:ind w:left="660" w:firstLine="645"/>
        <w:spacing w:after="0"/>
        <w:tabs>
          <w:tab w:leader="none" w:pos="2155" w:val="left"/>
        </w:tabs>
        <w:numPr>
          <w:ilvl w:val="0"/>
          <w:numId w:val="68"/>
        </w:numPr>
        <w:rPr>
          <w:rFonts w:ascii="Arial" w:cs="Arial" w:eastAsia="Arial" w:hAnsi="Arial"/>
          <w:sz w:val="22"/>
          <w:szCs w:val="22"/>
          <w:color w:val="auto"/>
        </w:rPr>
      </w:pPr>
      <w:r>
        <w:rPr>
          <w:rFonts w:ascii="Arial" w:cs="Arial" w:eastAsia="Arial" w:hAnsi="Arial"/>
          <w:sz w:val="22"/>
          <w:szCs w:val="22"/>
          <w:color w:val="auto"/>
        </w:rPr>
        <w:t>following the occurrence and during the continuation of a Default or Event of Default, any Person having a beneficial interest in a Global Note requests that the Global Notes should be exchanged for Definitive Notes and delivers a written notice to such effect to the Trustee.</w:t>
      </w:r>
    </w:p>
    <w:p>
      <w:pPr>
        <w:spacing w:after="0" w:line="2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(c) or (f) hereof.</w:t>
      </w:r>
    </w:p>
    <w:p>
      <w:pPr>
        <w:spacing w:after="0" w:line="178" w:lineRule="exact"/>
        <w:rPr>
          <w:sz w:val="20"/>
          <w:szCs w:val="20"/>
          <w:color w:val="auto"/>
        </w:rPr>
      </w:pPr>
    </w:p>
    <w:p>
      <w:pPr>
        <w:jc w:val="both"/>
        <w:ind w:firstLine="656"/>
        <w:spacing w:after="0" w:line="235" w:lineRule="auto"/>
        <w:tabs>
          <w:tab w:leader="none" w:pos="1332" w:val="left"/>
        </w:tabs>
        <w:numPr>
          <w:ilvl w:val="0"/>
          <w:numId w:val="69"/>
        </w:numPr>
        <w:rPr>
          <w:rFonts w:ascii="Arial" w:cs="Arial" w:eastAsia="Arial" w:hAnsi="Arial"/>
          <w:sz w:val="22"/>
          <w:szCs w:val="22"/>
          <w:color w:val="auto"/>
        </w:rPr>
      </w:pPr>
      <w:r>
        <w:rPr>
          <w:rFonts w:ascii="Arial" w:cs="Arial" w:eastAsia="Arial" w:hAnsi="Arial"/>
          <w:sz w:val="22"/>
          <w:szCs w:val="22"/>
          <w:i w:val="1"/>
          <w:iCs w:val="1"/>
          <w:color w:val="auto"/>
        </w:rPr>
        <w:t>Transfer and Exchange of Beneficial Interests in the Global Notes</w:t>
      </w:r>
      <w:r>
        <w:rPr>
          <w:rFonts w:ascii="Arial" w:cs="Arial" w:eastAsia="Arial" w:hAnsi="Arial"/>
          <w:sz w:val="22"/>
          <w:szCs w:val="22"/>
          <w:color w:val="auto"/>
        </w:rPr>
        <w:t>. The transfer and exchange of beneficial interests</w:t>
      </w:r>
      <w:r>
        <w:rPr>
          <w:rFonts w:ascii="Arial" w:cs="Arial" w:eastAsia="Arial" w:hAnsi="Arial"/>
          <w:sz w:val="22"/>
          <w:szCs w:val="22"/>
          <w:i w:val="1"/>
          <w:iCs w:val="1"/>
          <w:color w:val="auto"/>
        </w:rPr>
        <w:t xml:space="preserve"> </w:t>
      </w:r>
      <w:r>
        <w:rPr>
          <w:rFonts w:ascii="Arial" w:cs="Arial" w:eastAsia="Arial" w:hAnsi="Arial"/>
          <w:sz w:val="22"/>
          <w:szCs w:val="22"/>
          <w:color w:val="auto"/>
        </w:rPr>
        <w:t>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spacing w:after="0" w:line="215" w:lineRule="exact"/>
        <w:rPr>
          <w:rFonts w:ascii="Arial" w:cs="Arial" w:eastAsia="Arial" w:hAnsi="Arial"/>
          <w:sz w:val="22"/>
          <w:szCs w:val="22"/>
          <w:color w:val="auto"/>
        </w:rPr>
      </w:pPr>
    </w:p>
    <w:p>
      <w:pPr>
        <w:jc w:val="both"/>
        <w:ind w:left="660" w:firstLine="645"/>
        <w:spacing w:after="0" w:line="246" w:lineRule="auto"/>
        <w:tabs>
          <w:tab w:leader="none" w:pos="2330" w:val="left"/>
        </w:tabs>
        <w:numPr>
          <w:ilvl w:val="1"/>
          <w:numId w:val="69"/>
        </w:numPr>
        <w:rPr>
          <w:rFonts w:ascii="Arial" w:cs="Arial" w:eastAsia="Arial" w:hAnsi="Arial"/>
          <w:sz w:val="21"/>
          <w:szCs w:val="21"/>
          <w:color w:val="auto"/>
        </w:rPr>
      </w:pPr>
      <w:r>
        <w:rPr>
          <w:rFonts w:ascii="Arial" w:cs="Arial" w:eastAsia="Arial" w:hAnsi="Arial"/>
          <w:sz w:val="21"/>
          <w:szCs w:val="21"/>
          <w:i w:val="1"/>
          <w:iCs w:val="1"/>
          <w:color w:val="auto"/>
        </w:rPr>
        <w:t>Transfer of Beneficial Interests in the Same Global Note</w:t>
      </w:r>
      <w:r>
        <w:rPr>
          <w:rFonts w:ascii="Arial" w:cs="Arial" w:eastAsia="Arial" w:hAnsi="Arial"/>
          <w:sz w:val="21"/>
          <w:szCs w:val="21"/>
          <w:color w:val="auto"/>
        </w:rPr>
        <w:t>. Beneficial interests in any Restricted Global</w:t>
      </w:r>
      <w:r>
        <w:rPr>
          <w:rFonts w:ascii="Arial" w:cs="Arial" w:eastAsia="Arial" w:hAnsi="Arial"/>
          <w:sz w:val="21"/>
          <w:szCs w:val="21"/>
          <w:i w:val="1"/>
          <w:iCs w:val="1"/>
          <w:color w:val="auto"/>
        </w:rPr>
        <w:t xml:space="preserve"> </w:t>
      </w:r>
      <w:r>
        <w:rPr>
          <w:rFonts w:ascii="Arial" w:cs="Arial" w:eastAsia="Arial" w:hAnsi="Arial"/>
          <w:sz w:val="21"/>
          <w:szCs w:val="21"/>
          <w:color w:val="auto"/>
        </w:rPr>
        <w:t>Note may be transferred to Persons who take delivery thereof in the form of a beneficial interest in the same Restricted Global Note in accordance with the transfer restrictions set forth in the Private Placement Legend; provided, however, that prior to the expiration of the Restricted Period, transfers of beneficial interests in the Regulation S Temporary Global Note may not be made to a U.S. Person or for the account or benefit of a U.S. Person. Beneficial interests in any Unrestricted Global Note may be transferred to Persons who take delivery thereof in the form of a benefici al interest in an Unrestricted Global Note. No written orders or instructions shall be required to be delivered to the Registrar to effect the transfers described in this Section 2.06(b)(1).</w:t>
      </w:r>
    </w:p>
    <w:p>
      <w:pPr>
        <w:spacing w:after="0" w:line="207" w:lineRule="exact"/>
        <w:rPr>
          <w:rFonts w:ascii="Arial" w:cs="Arial" w:eastAsia="Arial" w:hAnsi="Arial"/>
          <w:sz w:val="21"/>
          <w:szCs w:val="21"/>
          <w:color w:val="auto"/>
        </w:rPr>
      </w:pPr>
    </w:p>
    <w:p>
      <w:pPr>
        <w:jc w:val="both"/>
        <w:ind w:left="660" w:firstLine="645"/>
        <w:spacing w:after="0"/>
        <w:tabs>
          <w:tab w:leader="none" w:pos="2155" w:val="left"/>
        </w:tabs>
        <w:numPr>
          <w:ilvl w:val="1"/>
          <w:numId w:val="69"/>
        </w:numPr>
        <w:rPr>
          <w:rFonts w:ascii="Arial" w:cs="Arial" w:eastAsia="Arial" w:hAnsi="Arial"/>
          <w:sz w:val="22"/>
          <w:szCs w:val="22"/>
          <w:color w:val="auto"/>
        </w:rPr>
      </w:pPr>
      <w:r>
        <w:rPr>
          <w:rFonts w:ascii="Arial" w:cs="Arial" w:eastAsia="Arial" w:hAnsi="Arial"/>
          <w:sz w:val="22"/>
          <w:szCs w:val="22"/>
          <w:i w:val="1"/>
          <w:iCs w:val="1"/>
          <w:color w:val="auto"/>
        </w:rPr>
        <w:t>All Other Transfers and Exchanges of Beneficial Interests in Global Notes</w:t>
      </w:r>
      <w:r>
        <w:rPr>
          <w:rFonts w:ascii="Arial" w:cs="Arial" w:eastAsia="Arial" w:hAnsi="Arial"/>
          <w:sz w:val="22"/>
          <w:szCs w:val="22"/>
          <w:color w:val="auto"/>
        </w:rPr>
        <w:t>. In connection with all transfers</w:t>
      </w:r>
      <w:r>
        <w:rPr>
          <w:rFonts w:ascii="Arial" w:cs="Arial" w:eastAsia="Arial" w:hAnsi="Arial"/>
          <w:sz w:val="22"/>
          <w:szCs w:val="22"/>
          <w:i w:val="1"/>
          <w:iCs w:val="1"/>
          <w:color w:val="auto"/>
        </w:rPr>
        <w:t xml:space="preserve"> </w:t>
      </w:r>
      <w:r>
        <w:rPr>
          <w:rFonts w:ascii="Arial" w:cs="Arial" w:eastAsia="Arial" w:hAnsi="Arial"/>
          <w:sz w:val="22"/>
          <w:szCs w:val="22"/>
          <w:color w:val="auto"/>
        </w:rPr>
        <w:t>and exchanges of beneficial interests that are not subject to Section 2.06(b)(1) above, the transferor of such beneficial interest must deliver to the Registrar either:</w:t>
      </w:r>
    </w:p>
    <w:p>
      <w:pPr>
        <w:spacing w:after="0" w:line="213" w:lineRule="exact"/>
        <w:rPr>
          <w:rFonts w:ascii="Arial" w:cs="Arial" w:eastAsia="Arial" w:hAnsi="Arial"/>
          <w:sz w:val="22"/>
          <w:szCs w:val="22"/>
          <w:color w:val="auto"/>
        </w:rPr>
      </w:pPr>
    </w:p>
    <w:p>
      <w:pPr>
        <w:ind w:left="3000" w:hanging="885"/>
        <w:spacing w:after="0"/>
        <w:tabs>
          <w:tab w:leader="none" w:pos="3000" w:val="left"/>
        </w:tabs>
        <w:numPr>
          <w:ilvl w:val="2"/>
          <w:numId w:val="69"/>
        </w:numPr>
        <w:rPr>
          <w:rFonts w:ascii="Arial" w:cs="Arial" w:eastAsia="Arial" w:hAnsi="Arial"/>
          <w:sz w:val="22"/>
          <w:szCs w:val="22"/>
          <w:color w:val="auto"/>
        </w:rPr>
      </w:pPr>
      <w:r>
        <w:rPr>
          <w:rFonts w:ascii="Arial" w:cs="Arial" w:eastAsia="Arial" w:hAnsi="Arial"/>
          <w:sz w:val="22"/>
          <w:szCs w:val="22"/>
          <w:color w:val="auto"/>
        </w:rPr>
        <w:t>both: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62" w:name="page63"/>
    <w:bookmarkEnd w:id="62"/>
    <w:p>
      <w:pPr>
        <w:jc w:val="both"/>
        <w:ind w:firstLine="2983"/>
        <w:spacing w:after="0" w:line="258" w:lineRule="auto"/>
        <w:tabs>
          <w:tab w:leader="none" w:pos="3878" w:val="left"/>
        </w:tabs>
        <w:numPr>
          <w:ilvl w:val="1"/>
          <w:numId w:val="70"/>
        </w:numPr>
        <w:rPr>
          <w:rFonts w:ascii="Arial" w:cs="Arial" w:eastAsia="Arial" w:hAnsi="Arial"/>
          <w:sz w:val="21"/>
          <w:szCs w:val="21"/>
          <w:color w:val="auto"/>
        </w:rPr>
      </w:pPr>
      <w:r>
        <w:rPr>
          <w:rFonts w:ascii="Arial" w:cs="Arial" w:eastAsia="Arial" w:hAnsi="Arial"/>
          <w:sz w:val="21"/>
          <w:szCs w:val="21"/>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93" w:lineRule="exact"/>
        <w:rPr>
          <w:rFonts w:ascii="Arial" w:cs="Arial" w:eastAsia="Arial" w:hAnsi="Arial"/>
          <w:sz w:val="21"/>
          <w:szCs w:val="21"/>
          <w:color w:val="auto"/>
        </w:rPr>
      </w:pPr>
    </w:p>
    <w:p>
      <w:pPr>
        <w:ind w:firstLine="2931"/>
        <w:spacing w:after="0" w:line="251" w:lineRule="auto"/>
        <w:tabs>
          <w:tab w:leader="none" w:pos="3793" w:val="left"/>
        </w:tabs>
        <w:numPr>
          <w:ilvl w:val="1"/>
          <w:numId w:val="70"/>
        </w:numPr>
        <w:rPr>
          <w:rFonts w:ascii="Arial" w:cs="Arial" w:eastAsia="Arial" w:hAnsi="Arial"/>
          <w:sz w:val="22"/>
          <w:szCs w:val="22"/>
          <w:color w:val="auto"/>
        </w:rPr>
      </w:pPr>
      <w:r>
        <w:rPr>
          <w:rFonts w:ascii="Arial" w:cs="Arial" w:eastAsia="Arial" w:hAnsi="Arial"/>
          <w:sz w:val="22"/>
          <w:szCs w:val="22"/>
          <w:color w:val="auto"/>
        </w:rPr>
        <w:t>instructions given in accordance with the Applicable Procedures containing information regarding the Participant account to be credited with such increase; or</w:t>
      </w:r>
    </w:p>
    <w:p>
      <w:pPr>
        <w:spacing w:after="0" w:line="200" w:lineRule="exact"/>
        <w:rPr>
          <w:rFonts w:ascii="Arial" w:cs="Arial" w:eastAsia="Arial" w:hAnsi="Arial"/>
          <w:sz w:val="22"/>
          <w:szCs w:val="22"/>
          <w:color w:val="auto"/>
        </w:rPr>
      </w:pPr>
    </w:p>
    <w:p>
      <w:pPr>
        <w:ind w:left="3000" w:hanging="885"/>
        <w:spacing w:after="0"/>
        <w:tabs>
          <w:tab w:leader="none" w:pos="30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both:</w:t>
      </w:r>
    </w:p>
    <w:p>
      <w:pPr>
        <w:spacing w:after="0" w:line="233" w:lineRule="exact"/>
        <w:rPr>
          <w:rFonts w:ascii="Arial" w:cs="Arial" w:eastAsia="Arial" w:hAnsi="Arial"/>
          <w:sz w:val="22"/>
          <w:szCs w:val="22"/>
          <w:color w:val="auto"/>
        </w:rPr>
      </w:pPr>
    </w:p>
    <w:p>
      <w:pPr>
        <w:jc w:val="both"/>
        <w:ind w:firstLine="2983"/>
        <w:spacing w:after="0"/>
        <w:tabs>
          <w:tab w:leader="none" w:pos="3878" w:val="left"/>
        </w:tabs>
        <w:numPr>
          <w:ilvl w:val="1"/>
          <w:numId w:val="71"/>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213" w:lineRule="exact"/>
        <w:rPr>
          <w:rFonts w:ascii="Arial" w:cs="Arial" w:eastAsia="Arial" w:hAnsi="Arial"/>
          <w:sz w:val="22"/>
          <w:szCs w:val="22"/>
          <w:color w:val="auto"/>
        </w:rPr>
      </w:pPr>
    </w:p>
    <w:p>
      <w:pPr>
        <w:ind w:left="3900" w:hanging="933"/>
        <w:spacing w:after="0"/>
        <w:tabs>
          <w:tab w:leader="none" w:pos="3900" w:val="left"/>
        </w:tabs>
        <w:numPr>
          <w:ilvl w:val="2"/>
          <w:numId w:val="71"/>
        </w:numPr>
        <w:rPr>
          <w:rFonts w:ascii="Arial" w:cs="Arial" w:eastAsia="Arial" w:hAnsi="Arial"/>
          <w:sz w:val="19"/>
          <w:szCs w:val="19"/>
          <w:color w:val="auto"/>
        </w:rPr>
      </w:pPr>
      <w:r>
        <w:rPr>
          <w:rFonts w:ascii="Arial" w:cs="Arial" w:eastAsia="Arial" w:hAnsi="Arial"/>
          <w:sz w:val="19"/>
          <w:szCs w:val="19"/>
          <w:color w:val="auto"/>
        </w:rPr>
        <w:t>instructions given by the Depositary to the Registrar containing information regarding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the Person in whose name such Definitive Note shall be registered to effect the transfer or exchange referred to in (1) above;</w:t>
      </w:r>
    </w:p>
    <w:p>
      <w:pPr>
        <w:spacing w:after="0" w:line="250" w:lineRule="exact"/>
        <w:rPr>
          <w:sz w:val="20"/>
          <w:szCs w:val="20"/>
          <w:color w:val="auto"/>
        </w:rPr>
      </w:pPr>
    </w:p>
    <w:p>
      <w:pPr>
        <w:jc w:val="both"/>
        <w:ind w:left="1300"/>
        <w:spacing w:after="0" w:line="258"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in no event shall Definitive Notes be issued upon the transfer or exchange of beneficial interests in the</w:t>
      </w:r>
      <w:r>
        <w:rPr>
          <w:rFonts w:ascii="Arial" w:cs="Arial" w:eastAsia="Arial" w:hAnsi="Arial"/>
          <w:sz w:val="21"/>
          <w:szCs w:val="21"/>
          <w:i w:val="1"/>
          <w:iCs w:val="1"/>
          <w:color w:val="auto"/>
        </w:rPr>
        <w:t xml:space="preserve"> </w:t>
      </w:r>
      <w:r>
        <w:rPr>
          <w:rFonts w:ascii="Arial" w:cs="Arial" w:eastAsia="Arial" w:hAnsi="Arial"/>
          <w:sz w:val="21"/>
          <w:szCs w:val="21"/>
          <w:color w:val="auto"/>
        </w:rPr>
        <w:t>Regulation S Temporary Global Note prior to (A) the expiration of the Restricted Period and (B) the receipt by the Registrar of any certificates required pursuant to Rule 903 under the Securities Act.</w:t>
      </w:r>
    </w:p>
    <w:p>
      <w:pPr>
        <w:spacing w:after="0" w:line="19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Upon consummation of an Exchange Offer by the Issuers and the Guarantors in accordance with Section 2.06(f) hereof, the requirements of this Section 2.06(b)(2) shall be deemed to have been satisfied upon receipt by the Registrar of the instructions contained in the Letter of Transmittal delivered by the Holder of such beneficial interests in the Restricted Global Notes.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 hereof.</w:t>
      </w:r>
    </w:p>
    <w:p>
      <w:pPr>
        <w:spacing w:after="0" w:line="215" w:lineRule="exact"/>
        <w:rPr>
          <w:sz w:val="20"/>
          <w:szCs w:val="20"/>
          <w:color w:val="auto"/>
        </w:rPr>
      </w:pPr>
    </w:p>
    <w:p>
      <w:pPr>
        <w:jc w:val="both"/>
        <w:ind w:left="660" w:firstLine="645"/>
        <w:spacing w:after="0" w:line="238" w:lineRule="auto"/>
        <w:tabs>
          <w:tab w:leader="none" w:pos="2209" w:val="left"/>
        </w:tabs>
        <w:numPr>
          <w:ilvl w:val="0"/>
          <w:numId w:val="72"/>
        </w:numPr>
        <w:rPr>
          <w:rFonts w:ascii="Arial" w:cs="Arial" w:eastAsia="Arial" w:hAnsi="Arial"/>
          <w:sz w:val="22"/>
          <w:szCs w:val="22"/>
          <w:color w:val="auto"/>
        </w:rPr>
      </w:pPr>
      <w:r>
        <w:rPr>
          <w:rFonts w:ascii="Arial" w:cs="Arial" w:eastAsia="Arial" w:hAnsi="Arial"/>
          <w:sz w:val="22"/>
          <w:szCs w:val="22"/>
          <w:i w:val="1"/>
          <w:iCs w:val="1"/>
          <w:color w:val="auto"/>
        </w:rPr>
        <w:t>Transfer of Beneficial Interests to Another Restricted Global Note</w:t>
      </w:r>
      <w:r>
        <w:rPr>
          <w:rFonts w:ascii="Arial" w:cs="Arial" w:eastAsia="Arial" w:hAnsi="Arial"/>
          <w:sz w:val="22"/>
          <w:szCs w:val="22"/>
          <w:color w:val="auto"/>
        </w:rPr>
        <w:t>. A beneficial interest in any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Global Note may be transferred to a Person who takes delivery thereof in the form of a beneficial interest in another Restricted Global Note if the transfer complies with the requirements of Section 2.06(b)(2) above and the Registrar receives the following:</w:t>
      </w:r>
    </w:p>
    <w:p>
      <w:pPr>
        <w:spacing w:after="0" w:line="212" w:lineRule="exact"/>
        <w:rPr>
          <w:rFonts w:ascii="Arial" w:cs="Arial" w:eastAsia="Arial" w:hAnsi="Arial"/>
          <w:sz w:val="22"/>
          <w:szCs w:val="22"/>
          <w:color w:val="auto"/>
        </w:rPr>
      </w:pPr>
    </w:p>
    <w:p>
      <w:pPr>
        <w:ind w:firstLine="2132"/>
        <w:spacing w:after="0" w:line="328" w:lineRule="auto"/>
        <w:tabs>
          <w:tab w:leader="none" w:pos="3080"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if the transferee shall take delivery in the form of a beneficial interest in the 144A Global Note, then the transferor must deliver a certificate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including the certifications in item (1) thereof;</w:t>
      </w:r>
    </w:p>
    <w:p>
      <w:pPr>
        <w:spacing w:after="0" w:line="132" w:lineRule="exact"/>
        <w:rPr>
          <w:rFonts w:ascii="Arial" w:cs="Arial" w:eastAsia="Arial" w:hAnsi="Arial"/>
          <w:sz w:val="19"/>
          <w:szCs w:val="19"/>
          <w:color w:val="auto"/>
        </w:rPr>
      </w:pPr>
    </w:p>
    <w:p>
      <w:pPr>
        <w:jc w:val="both"/>
        <w:ind w:firstLine="2186"/>
        <w:spacing w:after="0"/>
        <w:tabs>
          <w:tab w:leader="none" w:pos="3323" w:val="left"/>
        </w:tabs>
        <w:numPr>
          <w:ilvl w:val="2"/>
          <w:numId w:val="72"/>
        </w:numPr>
        <w:rPr>
          <w:rFonts w:ascii="Arial" w:cs="Arial" w:eastAsia="Arial" w:hAnsi="Arial"/>
          <w:sz w:val="22"/>
          <w:szCs w:val="22"/>
          <w:color w:val="auto"/>
        </w:rPr>
      </w:pPr>
      <w:r>
        <w:rPr>
          <w:rFonts w:ascii="Arial" w:cs="Arial" w:eastAsia="Arial" w:hAnsi="Arial"/>
          <w:sz w:val="22"/>
          <w:szCs w:val="22"/>
          <w:color w:val="auto"/>
        </w:rPr>
        <w:t xml:space="preserve">if the transferee shall take delivery in the form of a beneficial interest in the Regulation S Temporary Global Note or the Regulation S Permanent Global Note,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3" w:name="page64"/>
    <w:bookmarkEnd w:id="63"/>
    <w:p>
      <w:pPr>
        <w:jc w:val="both"/>
        <w:ind w:firstLine="2089"/>
        <w:spacing w:after="0"/>
        <w:tabs>
          <w:tab w:leader="none" w:pos="3117" w:val="left"/>
        </w:tabs>
        <w:numPr>
          <w:ilvl w:val="1"/>
          <w:numId w:val="73"/>
        </w:numPr>
        <w:rPr>
          <w:rFonts w:ascii="Arial" w:cs="Arial" w:eastAsia="Arial" w:hAnsi="Arial"/>
          <w:sz w:val="22"/>
          <w:szCs w:val="22"/>
          <w:color w:val="auto"/>
        </w:rPr>
      </w:pPr>
      <w:r>
        <w:rPr>
          <w:rFonts w:ascii="Arial" w:cs="Arial" w:eastAsia="Arial" w:hAnsi="Arial"/>
          <w:sz w:val="22"/>
          <w:szCs w:val="22"/>
          <w:color w:val="auto"/>
        </w:rPr>
        <w:t xml:space="preserve">if the transferee shall take delivery in the form of a beneficial interest in the IAI Global Note,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w:t>
      </w:r>
    </w:p>
    <w:p>
      <w:pPr>
        <w:spacing w:after="0" w:line="213" w:lineRule="exact"/>
        <w:rPr>
          <w:rFonts w:ascii="Arial" w:cs="Arial" w:eastAsia="Arial" w:hAnsi="Arial"/>
          <w:sz w:val="22"/>
          <w:szCs w:val="22"/>
          <w:color w:val="auto"/>
        </w:rPr>
      </w:pPr>
    </w:p>
    <w:p>
      <w:pPr>
        <w:jc w:val="both"/>
        <w:ind w:left="660" w:firstLine="645"/>
        <w:spacing w:after="0" w:line="271" w:lineRule="auto"/>
        <w:tabs>
          <w:tab w:leader="none" w:pos="2303" w:val="left"/>
        </w:tabs>
        <w:numPr>
          <w:ilvl w:val="0"/>
          <w:numId w:val="74"/>
        </w:numPr>
        <w:rPr>
          <w:rFonts w:ascii="Arial" w:cs="Arial" w:eastAsia="Arial" w:hAnsi="Arial"/>
          <w:sz w:val="19"/>
          <w:szCs w:val="19"/>
          <w:color w:val="auto"/>
        </w:rPr>
      </w:pPr>
      <w:r>
        <w:rPr>
          <w:rFonts w:ascii="Arial" w:cs="Arial" w:eastAsia="Arial" w:hAnsi="Arial"/>
          <w:sz w:val="19"/>
          <w:szCs w:val="19"/>
          <w:i w:val="1"/>
          <w:iCs w:val="1"/>
          <w:color w:val="auto"/>
        </w:rPr>
        <w:t>Transfer and Exchange of Beneficial Interests in a Restricted Global Note for Beneficial Interests in an Unrestricted Global Note</w:t>
      </w:r>
      <w:r>
        <w:rPr>
          <w:rFonts w:ascii="Arial" w:cs="Arial" w:eastAsia="Arial" w:hAnsi="Arial"/>
          <w:sz w:val="19"/>
          <w:szCs w:val="19"/>
          <w:color w:val="auto"/>
        </w:rPr>
        <w:t>. A beneficial interest in any Restricted Global Note may be exchanged by any holder thereof for a</w:t>
      </w:r>
      <w:r>
        <w:rPr>
          <w:rFonts w:ascii="Arial" w:cs="Arial" w:eastAsia="Arial" w:hAnsi="Arial"/>
          <w:sz w:val="19"/>
          <w:szCs w:val="19"/>
          <w:i w:val="1"/>
          <w:iCs w:val="1"/>
          <w:color w:val="auto"/>
        </w:rPr>
        <w:t xml:space="preserve"> </w:t>
      </w:r>
      <w:r>
        <w:rPr>
          <w:rFonts w:ascii="Arial" w:cs="Arial" w:eastAsia="Arial" w:hAnsi="Arial"/>
          <w:sz w:val="19"/>
          <w:szCs w:val="19"/>
          <w:color w:val="auto"/>
        </w:rPr>
        <w:t>beneficial interest in an Unrestricted Global Note or transferred to a Person who takes delivery thereof in the form of a beneficial interest in an Unrestricted Global Note if the exchange or transfer complies with the requirements of Section</w:t>
      </w:r>
    </w:p>
    <w:p>
      <w:pPr>
        <w:spacing w:after="0" w:line="3"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2.06(b)(2) above and:</w:t>
      </w:r>
    </w:p>
    <w:p>
      <w:pPr>
        <w:spacing w:after="0" w:line="215" w:lineRule="exact"/>
        <w:rPr>
          <w:rFonts w:ascii="Arial" w:cs="Arial" w:eastAsia="Arial" w:hAnsi="Arial"/>
          <w:sz w:val="19"/>
          <w:szCs w:val="19"/>
          <w:color w:val="auto"/>
        </w:rPr>
      </w:pPr>
    </w:p>
    <w:p>
      <w:pPr>
        <w:jc w:val="both"/>
        <w:ind w:firstLine="2167"/>
        <w:spacing w:after="0" w:line="236" w:lineRule="auto"/>
        <w:tabs>
          <w:tab w:leader="none" w:pos="3244" w:val="left"/>
        </w:tabs>
        <w:numPr>
          <w:ilvl w:val="3"/>
          <w:numId w:val="74"/>
        </w:numPr>
        <w:rPr>
          <w:rFonts w:ascii="Arial" w:cs="Arial" w:eastAsia="Arial" w:hAnsi="Arial"/>
          <w:sz w:val="22"/>
          <w:szCs w:val="22"/>
          <w:color w:val="auto"/>
        </w:rPr>
      </w:pPr>
      <w:r>
        <w:rPr>
          <w:rFonts w:ascii="Arial" w:cs="Arial" w:eastAsia="Arial" w:hAnsi="Arial"/>
          <w:sz w:val="22"/>
          <w:szCs w:val="22"/>
          <w:color w:val="auto"/>
        </w:rPr>
        <w:t>such exchange or transfer is effected pursuant to the Exchange Offer in accordance with the Registration Rights Agreement and the holder of the beneficial interest to be transferred,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either of the Issuers;</w:t>
      </w:r>
    </w:p>
    <w:p>
      <w:pPr>
        <w:spacing w:after="0" w:line="214" w:lineRule="exact"/>
        <w:rPr>
          <w:rFonts w:ascii="Arial" w:cs="Arial" w:eastAsia="Arial" w:hAnsi="Arial"/>
          <w:sz w:val="22"/>
          <w:szCs w:val="22"/>
          <w:color w:val="auto"/>
        </w:rPr>
      </w:pPr>
    </w:p>
    <w:p>
      <w:pPr>
        <w:ind w:left="3240" w:hanging="1071"/>
        <w:spacing w:after="0"/>
        <w:tabs>
          <w:tab w:leader="none" w:pos="3240" w:val="left"/>
        </w:tabs>
        <w:numPr>
          <w:ilvl w:val="3"/>
          <w:numId w:val="74"/>
        </w:numPr>
        <w:rPr>
          <w:rFonts w:ascii="Arial" w:cs="Arial" w:eastAsia="Arial" w:hAnsi="Arial"/>
          <w:sz w:val="19"/>
          <w:szCs w:val="19"/>
          <w:color w:val="auto"/>
        </w:rPr>
      </w:pPr>
      <w:r>
        <w:rPr>
          <w:rFonts w:ascii="Arial" w:cs="Arial" w:eastAsia="Arial" w:hAnsi="Arial"/>
          <w:sz w:val="19"/>
          <w:szCs w:val="19"/>
          <w:color w:val="auto"/>
        </w:rPr>
        <w:t>such transfer is effected pursuant to the Shelf Registration Statement in accordance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Registration Rights Agreement;</w:t>
      </w:r>
    </w:p>
    <w:p>
      <w:pPr>
        <w:spacing w:after="0" w:line="215" w:lineRule="exact"/>
        <w:rPr>
          <w:rFonts w:ascii="Arial" w:cs="Arial" w:eastAsia="Arial" w:hAnsi="Arial"/>
          <w:sz w:val="19"/>
          <w:szCs w:val="19"/>
          <w:color w:val="auto"/>
        </w:rPr>
      </w:pPr>
    </w:p>
    <w:p>
      <w:pPr>
        <w:ind w:firstLine="2204"/>
        <w:spacing w:after="0" w:line="251" w:lineRule="auto"/>
        <w:tabs>
          <w:tab w:leader="none" w:pos="3404" w:val="left"/>
        </w:tabs>
        <w:numPr>
          <w:ilvl w:val="4"/>
          <w:numId w:val="74"/>
        </w:numPr>
        <w:rPr>
          <w:rFonts w:ascii="Arial" w:cs="Arial" w:eastAsia="Arial" w:hAnsi="Arial"/>
          <w:sz w:val="22"/>
          <w:szCs w:val="22"/>
          <w:color w:val="auto"/>
        </w:rPr>
      </w:pPr>
      <w:r>
        <w:rPr>
          <w:rFonts w:ascii="Arial" w:cs="Arial" w:eastAsia="Arial" w:hAnsi="Arial"/>
          <w:sz w:val="22"/>
          <w:szCs w:val="22"/>
          <w:color w:val="auto"/>
        </w:rPr>
        <w:t>such transfer is effected by a Broker-Dealer pursuant to the Exchange Offer Registration Statement in accordance with the Registration Rights Agreement; or</w:t>
      </w:r>
    </w:p>
    <w:p>
      <w:pPr>
        <w:spacing w:after="0" w:line="200" w:lineRule="exact"/>
        <w:rPr>
          <w:rFonts w:ascii="Arial" w:cs="Arial" w:eastAsia="Arial" w:hAnsi="Arial"/>
          <w:sz w:val="22"/>
          <w:szCs w:val="22"/>
          <w:color w:val="auto"/>
        </w:rPr>
      </w:pPr>
    </w:p>
    <w:p>
      <w:pPr>
        <w:ind w:left="3000" w:hanging="885"/>
        <w:spacing w:after="0"/>
        <w:tabs>
          <w:tab w:leader="none" w:pos="3000" w:val="left"/>
        </w:tabs>
        <w:numPr>
          <w:ilvl w:val="2"/>
          <w:numId w:val="74"/>
        </w:numPr>
        <w:rPr>
          <w:rFonts w:ascii="Arial" w:cs="Arial" w:eastAsia="Arial" w:hAnsi="Arial"/>
          <w:sz w:val="22"/>
          <w:szCs w:val="22"/>
          <w:color w:val="auto"/>
        </w:rPr>
      </w:pPr>
      <w:r>
        <w:rPr>
          <w:rFonts w:ascii="Arial" w:cs="Arial" w:eastAsia="Arial" w:hAnsi="Arial"/>
          <w:sz w:val="22"/>
          <w:szCs w:val="22"/>
          <w:color w:val="auto"/>
        </w:rPr>
        <w:t>the Registrar receives the following:</w:t>
      </w:r>
    </w:p>
    <w:p>
      <w:pPr>
        <w:spacing w:after="0" w:line="233" w:lineRule="exact"/>
        <w:rPr>
          <w:rFonts w:ascii="Arial" w:cs="Arial" w:eastAsia="Arial" w:hAnsi="Arial"/>
          <w:sz w:val="22"/>
          <w:szCs w:val="22"/>
          <w:color w:val="auto"/>
        </w:rPr>
      </w:pPr>
    </w:p>
    <w:p>
      <w:pPr>
        <w:jc w:val="both"/>
        <w:ind w:firstLine="2930"/>
        <w:spacing w:after="0"/>
        <w:tabs>
          <w:tab w:leader="none" w:pos="3730" w:val="left"/>
        </w:tabs>
        <w:numPr>
          <w:ilvl w:val="5"/>
          <w:numId w:val="74"/>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hereto, including the certifications in item (1)(a) thereof; or</w:t>
      </w:r>
    </w:p>
    <w:p>
      <w:pPr>
        <w:spacing w:after="0" w:line="213" w:lineRule="exact"/>
        <w:rPr>
          <w:rFonts w:ascii="Arial" w:cs="Arial" w:eastAsia="Arial" w:hAnsi="Arial"/>
          <w:sz w:val="22"/>
          <w:szCs w:val="22"/>
          <w:color w:val="auto"/>
        </w:rPr>
      </w:pPr>
    </w:p>
    <w:p>
      <w:pPr>
        <w:jc w:val="both"/>
        <w:ind w:firstLine="2949"/>
        <w:spacing w:after="0" w:line="297" w:lineRule="auto"/>
        <w:tabs>
          <w:tab w:leader="none" w:pos="3842" w:val="left"/>
        </w:tabs>
        <w:numPr>
          <w:ilvl w:val="6"/>
          <w:numId w:val="74"/>
        </w:numPr>
        <w:rPr>
          <w:rFonts w:ascii="Arial" w:cs="Arial" w:eastAsia="Arial" w:hAnsi="Arial"/>
          <w:sz w:val="19"/>
          <w:szCs w:val="19"/>
          <w:color w:val="auto"/>
        </w:rPr>
      </w:pPr>
      <w:r>
        <w:rPr>
          <w:rFonts w:ascii="Arial" w:cs="Arial" w:eastAsia="Arial" w:hAnsi="Arial"/>
          <w:sz w:val="19"/>
          <w:szCs w:val="19"/>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including the certifications in item (4) thereof;</w:t>
      </w:r>
    </w:p>
    <w:p>
      <w:pPr>
        <w:spacing w:after="0" w:line="161" w:lineRule="exact"/>
        <w:rPr>
          <w:sz w:val="20"/>
          <w:szCs w:val="20"/>
          <w:color w:val="auto"/>
        </w:rPr>
      </w:pPr>
    </w:p>
    <w:p>
      <w:pPr>
        <w:jc w:val="both"/>
        <w:ind w:left="1300"/>
        <w:spacing w:after="0" w:line="287" w:lineRule="auto"/>
        <w:rPr>
          <w:sz w:val="20"/>
          <w:szCs w:val="20"/>
          <w:color w:val="auto"/>
        </w:rPr>
      </w:pPr>
      <w:r>
        <w:rPr>
          <w:rFonts w:ascii="Arial" w:cs="Arial" w:eastAsia="Arial" w:hAnsi="Arial"/>
          <w:sz w:val="19"/>
          <w:szCs w:val="19"/>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If any such transfer is effected pursuant to subparagraph (B) or (D) above at a time when an Unrestricted Global Note has not yet been issued, the Issuers shall issue and, upon receipt of an Authentication Order in accordance with Section 2.02 hereof, the Trustee shall authenticate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4" w:name="page65"/>
    <w:bookmarkEnd w:id="64"/>
    <w:p>
      <w:pPr>
        <w:spacing w:after="0" w:line="251" w:lineRule="auto"/>
        <w:rPr>
          <w:sz w:val="20"/>
          <w:szCs w:val="20"/>
          <w:color w:val="auto"/>
        </w:rPr>
      </w:pPr>
      <w:r>
        <w:rPr>
          <w:rFonts w:ascii="Arial" w:cs="Arial" w:eastAsia="Arial" w:hAnsi="Arial"/>
          <w:sz w:val="22"/>
          <w:szCs w:val="22"/>
          <w:color w:val="auto"/>
        </w:rPr>
        <w:t>one or more Unrestricted Global Notes in an aggregate principal amount equal to the aggregate principal amount of beneficial interests transferred pursuant to subparagraph (B) or (D) above.</w:t>
      </w:r>
    </w:p>
    <w:p>
      <w:pPr>
        <w:spacing w:after="0" w:line="20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Beneficial interests in an Unrestricted Global Note cannot be exchanged for, or transferred to Persons who take delivery thereof in the form of, a beneficial interest in a Restricted Global Note.</w:t>
      </w:r>
    </w:p>
    <w:p>
      <w:pPr>
        <w:spacing w:after="0" w:line="200" w:lineRule="exact"/>
        <w:rPr>
          <w:sz w:val="20"/>
          <w:szCs w:val="20"/>
          <w:color w:val="auto"/>
        </w:rPr>
      </w:pPr>
    </w:p>
    <w:p>
      <w:pPr>
        <w:ind w:left="1320" w:hanging="664"/>
        <w:spacing w:after="0"/>
        <w:tabs>
          <w:tab w:leader="none" w:pos="1320"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Transfer or Exchange of Beneficial Interests for Definitive Notes.</w:t>
      </w:r>
    </w:p>
    <w:p>
      <w:pPr>
        <w:spacing w:after="0" w:line="233" w:lineRule="exact"/>
        <w:rPr>
          <w:rFonts w:ascii="Arial" w:cs="Arial" w:eastAsia="Arial" w:hAnsi="Arial"/>
          <w:sz w:val="22"/>
          <w:szCs w:val="22"/>
          <w:color w:val="auto"/>
        </w:rPr>
      </w:pPr>
    </w:p>
    <w:p>
      <w:pPr>
        <w:jc w:val="both"/>
        <w:ind w:left="660" w:firstLine="645"/>
        <w:spacing w:after="0" w:line="238" w:lineRule="auto"/>
        <w:tabs>
          <w:tab w:leader="none" w:pos="2182" w:val="left"/>
        </w:tabs>
        <w:numPr>
          <w:ilvl w:val="1"/>
          <w:numId w:val="75"/>
        </w:numPr>
        <w:rPr>
          <w:rFonts w:ascii="Arial" w:cs="Arial" w:eastAsia="Arial" w:hAnsi="Arial"/>
          <w:sz w:val="22"/>
          <w:szCs w:val="22"/>
          <w:color w:val="auto"/>
        </w:rPr>
      </w:pPr>
      <w:r>
        <w:rPr>
          <w:rFonts w:ascii="Arial" w:cs="Arial" w:eastAsia="Arial" w:hAnsi="Arial"/>
          <w:sz w:val="22"/>
          <w:szCs w:val="22"/>
          <w:i w:val="1"/>
          <w:iCs w:val="1"/>
          <w:color w:val="auto"/>
        </w:rPr>
        <w:t>Beneficial Interests in Restricted Global Notes to Restricted Definitive Notes</w:t>
      </w:r>
      <w:r>
        <w:rPr>
          <w:rFonts w:ascii="Arial" w:cs="Arial" w:eastAsia="Arial" w:hAnsi="Arial"/>
          <w:sz w:val="22"/>
          <w:szCs w:val="22"/>
          <w:color w:val="auto"/>
        </w:rPr>
        <w:t>. If any holder of a beneficial</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212" w:lineRule="exact"/>
        <w:rPr>
          <w:rFonts w:ascii="Arial" w:cs="Arial" w:eastAsia="Arial" w:hAnsi="Arial"/>
          <w:sz w:val="22"/>
          <w:szCs w:val="22"/>
          <w:color w:val="auto"/>
        </w:rPr>
      </w:pPr>
    </w:p>
    <w:p>
      <w:pPr>
        <w:jc w:val="both"/>
        <w:ind w:firstLine="2144"/>
        <w:spacing w:after="0"/>
        <w:tabs>
          <w:tab w:leader="none" w:pos="3138" w:val="left"/>
        </w:tabs>
        <w:numPr>
          <w:ilvl w:val="3"/>
          <w:numId w:val="75"/>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exchange such beneficial interest for a Restricted Definitive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(2)(a) thereof;</w:t>
      </w:r>
    </w:p>
    <w:p>
      <w:pPr>
        <w:spacing w:after="0" w:line="213" w:lineRule="exact"/>
        <w:rPr>
          <w:rFonts w:ascii="Arial" w:cs="Arial" w:eastAsia="Arial" w:hAnsi="Arial"/>
          <w:sz w:val="22"/>
          <w:szCs w:val="22"/>
          <w:color w:val="auto"/>
        </w:rPr>
      </w:pPr>
    </w:p>
    <w:p>
      <w:pPr>
        <w:ind w:left="3400" w:hanging="1199"/>
        <w:spacing w:after="0"/>
        <w:tabs>
          <w:tab w:leader="none" w:pos="3400" w:val="left"/>
        </w:tabs>
        <w:numPr>
          <w:ilvl w:val="5"/>
          <w:numId w:val="75"/>
        </w:numPr>
        <w:rPr>
          <w:rFonts w:ascii="Arial" w:cs="Arial" w:eastAsia="Arial" w:hAnsi="Arial"/>
          <w:sz w:val="19"/>
          <w:szCs w:val="19"/>
          <w:color w:val="auto"/>
        </w:rPr>
      </w:pPr>
      <w:r>
        <w:rPr>
          <w:rFonts w:ascii="Arial" w:cs="Arial" w:eastAsia="Arial" w:hAnsi="Arial"/>
          <w:sz w:val="19"/>
          <w:szCs w:val="19"/>
          <w:color w:val="auto"/>
        </w:rPr>
        <w:t>if such beneficial interest is being transferred to a QIB in accordance with Rule 144A, 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(1) thereof;</w:t>
      </w:r>
    </w:p>
    <w:p>
      <w:pPr>
        <w:spacing w:after="0" w:line="215" w:lineRule="exact"/>
        <w:rPr>
          <w:rFonts w:ascii="Arial" w:cs="Arial" w:eastAsia="Arial" w:hAnsi="Arial"/>
          <w:sz w:val="19"/>
          <w:szCs w:val="19"/>
          <w:color w:val="auto"/>
        </w:rPr>
      </w:pPr>
    </w:p>
    <w:p>
      <w:pPr>
        <w:jc w:val="both"/>
        <w:ind w:firstLine="2130"/>
        <w:spacing w:after="0"/>
        <w:tabs>
          <w:tab w:leader="none" w:pos="3061" w:val="left"/>
        </w:tabs>
        <w:numPr>
          <w:ilvl w:val="2"/>
          <w:numId w:val="75"/>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to a Non-U.S. Person in an offshore transaction in accordance with Rule 903 or Rule 904,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w:t>
      </w:r>
    </w:p>
    <w:p>
      <w:pPr>
        <w:spacing w:after="0" w:line="213" w:lineRule="exact"/>
        <w:rPr>
          <w:rFonts w:ascii="Arial" w:cs="Arial" w:eastAsia="Arial" w:hAnsi="Arial"/>
          <w:sz w:val="22"/>
          <w:szCs w:val="22"/>
          <w:color w:val="auto"/>
        </w:rPr>
      </w:pPr>
    </w:p>
    <w:p>
      <w:pPr>
        <w:jc w:val="both"/>
        <w:ind w:firstLine="2163"/>
        <w:spacing w:after="0"/>
        <w:tabs>
          <w:tab w:leader="none" w:pos="3225" w:val="left"/>
        </w:tabs>
        <w:numPr>
          <w:ilvl w:val="4"/>
          <w:numId w:val="75"/>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pursuant to an exemption from the registration requirements of the Securities Act in accordance with Rule 144,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(3)(a) thereof;</w:t>
      </w:r>
    </w:p>
    <w:p>
      <w:pPr>
        <w:spacing w:after="0" w:line="213" w:lineRule="exact"/>
        <w:rPr>
          <w:rFonts w:ascii="Arial" w:cs="Arial" w:eastAsia="Arial" w:hAnsi="Arial"/>
          <w:sz w:val="22"/>
          <w:szCs w:val="22"/>
          <w:color w:val="auto"/>
        </w:rPr>
      </w:pPr>
    </w:p>
    <w:p>
      <w:pPr>
        <w:jc w:val="both"/>
        <w:ind w:firstLine="2140"/>
        <w:spacing w:after="0" w:line="238" w:lineRule="auto"/>
        <w:tabs>
          <w:tab w:leader="none" w:pos="3096" w:val="left"/>
        </w:tabs>
        <w:numPr>
          <w:ilvl w:val="3"/>
          <w:numId w:val="76"/>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w:t>
      </w:r>
    </w:p>
    <w:p>
      <w:pPr>
        <w:spacing w:after="0" w:line="212" w:lineRule="exact"/>
        <w:rPr>
          <w:rFonts w:ascii="Arial" w:cs="Arial" w:eastAsia="Arial" w:hAnsi="Arial"/>
          <w:sz w:val="22"/>
          <w:szCs w:val="22"/>
          <w:color w:val="auto"/>
        </w:rPr>
      </w:pPr>
    </w:p>
    <w:p>
      <w:pPr>
        <w:ind w:left="3340" w:hanging="1148"/>
        <w:spacing w:after="0"/>
        <w:tabs>
          <w:tab w:leader="none" w:pos="3340" w:val="left"/>
        </w:tabs>
        <w:numPr>
          <w:ilvl w:val="4"/>
          <w:numId w:val="76"/>
        </w:numPr>
        <w:rPr>
          <w:rFonts w:ascii="Arial" w:cs="Arial" w:eastAsia="Arial" w:hAnsi="Arial"/>
          <w:sz w:val="19"/>
          <w:szCs w:val="19"/>
          <w:color w:val="auto"/>
        </w:rPr>
      </w:pPr>
      <w:r>
        <w:rPr>
          <w:rFonts w:ascii="Arial" w:cs="Arial" w:eastAsia="Arial" w:hAnsi="Arial"/>
          <w:sz w:val="19"/>
          <w:szCs w:val="19"/>
          <w:color w:val="auto"/>
        </w:rPr>
        <w:t>if such beneficial interest is being transferred to the Issuers or any of their Subsidiaries, 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(3)(b) thereof; or</w:t>
      </w:r>
    </w:p>
    <w:p>
      <w:pPr>
        <w:spacing w:after="0" w:line="215" w:lineRule="exact"/>
        <w:rPr>
          <w:rFonts w:ascii="Arial" w:cs="Arial" w:eastAsia="Arial" w:hAnsi="Arial"/>
          <w:sz w:val="19"/>
          <w:szCs w:val="19"/>
          <w:color w:val="auto"/>
        </w:rPr>
      </w:pPr>
    </w:p>
    <w:p>
      <w:pPr>
        <w:ind w:firstLine="2173"/>
        <w:spacing w:after="0" w:line="328" w:lineRule="auto"/>
        <w:tabs>
          <w:tab w:leader="none" w:pos="3270" w:val="left"/>
        </w:tabs>
        <w:numPr>
          <w:ilvl w:val="4"/>
          <w:numId w:val="76"/>
        </w:numPr>
        <w:rPr>
          <w:rFonts w:ascii="Arial" w:cs="Arial" w:eastAsia="Arial" w:hAnsi="Arial"/>
          <w:sz w:val="19"/>
          <w:szCs w:val="19"/>
          <w:color w:val="auto"/>
        </w:rPr>
      </w:pPr>
      <w:r>
        <w:rPr>
          <w:rFonts w:ascii="Arial" w:cs="Arial" w:eastAsia="Arial" w:hAnsi="Arial"/>
          <w:sz w:val="19"/>
          <w:szCs w:val="19"/>
          <w:color w:val="auto"/>
        </w:rPr>
        <w:t xml:space="preserve">if such beneficial interest is being transferred pursuant to an effective registration statement under the Securities Act, a certificate to the effect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including the certifications in item (3)(c) thereof,</w:t>
      </w:r>
    </w:p>
    <w:p>
      <w:pPr>
        <w:spacing w:after="0" w:line="13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Trustee shall cause the aggregate principal amount of the applicable Global Note to be reduced accordingly pursuant to Section 2.06(h) hereof, and the Issuers shall execute and the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9"/>
          <w:szCs w:val="19"/>
          <w:color w:val="auto"/>
        </w:rPr>
        <w:t>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80" w:lineRule="exact"/>
        <w:rPr>
          <w:sz w:val="20"/>
          <w:szCs w:val="20"/>
          <w:color w:val="auto"/>
        </w:rPr>
      </w:pPr>
    </w:p>
    <w:p>
      <w:pPr>
        <w:jc w:val="both"/>
        <w:ind w:left="660" w:firstLine="645"/>
        <w:spacing w:after="0" w:line="271" w:lineRule="auto"/>
        <w:tabs>
          <w:tab w:leader="none" w:pos="2168" w:val="left"/>
        </w:tabs>
        <w:numPr>
          <w:ilvl w:val="0"/>
          <w:numId w:val="77"/>
        </w:numPr>
        <w:rPr>
          <w:rFonts w:ascii="Arial" w:cs="Arial" w:eastAsia="Arial" w:hAnsi="Arial"/>
          <w:sz w:val="19"/>
          <w:szCs w:val="19"/>
          <w:color w:val="auto"/>
        </w:rPr>
      </w:pPr>
      <w:r>
        <w:rPr>
          <w:rFonts w:ascii="Arial" w:cs="Arial" w:eastAsia="Arial" w:hAnsi="Arial"/>
          <w:sz w:val="19"/>
          <w:szCs w:val="19"/>
          <w:i w:val="1"/>
          <w:iCs w:val="1"/>
          <w:color w:val="auto"/>
        </w:rPr>
        <w:t xml:space="preserve">Beneficial Interests in Regulation S Temporary Global Note to Definitive Notes. </w:t>
      </w:r>
      <w:r>
        <w:rPr>
          <w:rFonts w:ascii="Arial" w:cs="Arial" w:eastAsia="Arial" w:hAnsi="Arial"/>
          <w:sz w:val="19"/>
          <w:szCs w:val="19"/>
          <w:color w:val="auto"/>
        </w:rPr>
        <w:t>Notwithstanding Sections</w:t>
      </w:r>
      <w:r>
        <w:rPr>
          <w:rFonts w:ascii="Arial" w:cs="Arial" w:eastAsia="Arial" w:hAnsi="Arial"/>
          <w:sz w:val="19"/>
          <w:szCs w:val="19"/>
          <w:i w:val="1"/>
          <w:iCs w:val="1"/>
          <w:color w:val="auto"/>
        </w:rPr>
        <w:t xml:space="preserve"> </w:t>
      </w:r>
      <w:r>
        <w:rPr>
          <w:rFonts w:ascii="Arial" w:cs="Arial" w:eastAsia="Arial" w:hAnsi="Arial"/>
          <w:sz w:val="19"/>
          <w:szCs w:val="19"/>
          <w:color w:val="auto"/>
        </w:rPr>
        <w:t>2.06(c)(1)(A) and (C) hereof, a 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Rule 903(b)</w:t>
      </w:r>
    </w:p>
    <w:p>
      <w:pPr>
        <w:spacing w:after="0" w:line="3" w:lineRule="exact"/>
        <w:rPr>
          <w:rFonts w:ascii="Arial" w:cs="Arial" w:eastAsia="Arial" w:hAnsi="Arial"/>
          <w:sz w:val="19"/>
          <w:szCs w:val="19"/>
          <w:color w:val="auto"/>
        </w:rPr>
      </w:pPr>
    </w:p>
    <w:p>
      <w:pPr>
        <w:ind w:left="660"/>
        <w:spacing w:after="0" w:line="237" w:lineRule="auto"/>
        <w:rPr>
          <w:rFonts w:ascii="Arial" w:cs="Arial" w:eastAsia="Arial" w:hAnsi="Arial"/>
          <w:sz w:val="19"/>
          <w:szCs w:val="19"/>
          <w:color w:val="auto"/>
        </w:rPr>
      </w:pPr>
      <w:r>
        <w:rPr>
          <w:rFonts w:ascii="Arial" w:cs="Arial" w:eastAsia="Arial" w:hAnsi="Arial"/>
          <w:sz w:val="22"/>
          <w:szCs w:val="22"/>
          <w:color w:val="auto"/>
        </w:rPr>
        <w:t>(3)(ii)(B) under the Securities Act, except in the case of a transfer pursuant to an exemption from the registration requirements of the Securities Act other than Rule 903 or Rule 904.</w:t>
      </w:r>
    </w:p>
    <w:p>
      <w:pPr>
        <w:spacing w:after="0" w:line="211" w:lineRule="exact"/>
        <w:rPr>
          <w:rFonts w:ascii="Arial" w:cs="Arial" w:eastAsia="Arial" w:hAnsi="Arial"/>
          <w:sz w:val="19"/>
          <w:szCs w:val="19"/>
          <w:color w:val="auto"/>
        </w:rPr>
      </w:pPr>
    </w:p>
    <w:p>
      <w:pPr>
        <w:jc w:val="both"/>
        <w:ind w:left="660" w:firstLine="645"/>
        <w:spacing w:after="0" w:line="238" w:lineRule="auto"/>
        <w:tabs>
          <w:tab w:leader="none" w:pos="2249" w:val="left"/>
        </w:tabs>
        <w:numPr>
          <w:ilvl w:val="0"/>
          <w:numId w:val="77"/>
        </w:numPr>
        <w:rPr>
          <w:rFonts w:ascii="Arial" w:cs="Arial" w:eastAsia="Arial" w:hAnsi="Arial"/>
          <w:sz w:val="22"/>
          <w:szCs w:val="22"/>
          <w:color w:val="auto"/>
        </w:rPr>
      </w:pPr>
      <w:r>
        <w:rPr>
          <w:rFonts w:ascii="Arial" w:cs="Arial" w:eastAsia="Arial" w:hAnsi="Arial"/>
          <w:sz w:val="22"/>
          <w:szCs w:val="22"/>
          <w:i w:val="1"/>
          <w:iCs w:val="1"/>
          <w:color w:val="auto"/>
        </w:rPr>
        <w:t>Beneficial Interests in Restricted Global Notes to Unrestricted Definitive Notes</w:t>
      </w:r>
      <w:r>
        <w:rPr>
          <w:rFonts w:ascii="Arial" w:cs="Arial" w:eastAsia="Arial" w:hAnsi="Arial"/>
          <w:sz w:val="22"/>
          <w:szCs w:val="22"/>
          <w:color w:val="auto"/>
        </w:rPr>
        <w:t>. A holder of a beneficial</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in a Restricted Global Note may exchange such beneficial interest for an Unrestricted Definitive Note or may transfer such beneficial interest to a Person who takes delivery thereof in the form of an Unrestricted Definitive Note only if:</w:t>
      </w:r>
    </w:p>
    <w:p>
      <w:pPr>
        <w:spacing w:after="0" w:line="212" w:lineRule="exact"/>
        <w:rPr>
          <w:rFonts w:ascii="Arial" w:cs="Arial" w:eastAsia="Arial" w:hAnsi="Arial"/>
          <w:sz w:val="22"/>
          <w:szCs w:val="22"/>
          <w:color w:val="auto"/>
        </w:rPr>
      </w:pPr>
    </w:p>
    <w:p>
      <w:pPr>
        <w:jc w:val="both"/>
        <w:ind w:firstLine="2167"/>
        <w:spacing w:after="0" w:line="287" w:lineRule="auto"/>
        <w:tabs>
          <w:tab w:leader="none" w:pos="3244" w:val="left"/>
        </w:tabs>
        <w:numPr>
          <w:ilvl w:val="2"/>
          <w:numId w:val="77"/>
        </w:numPr>
        <w:rPr>
          <w:rFonts w:ascii="Arial" w:cs="Arial" w:eastAsia="Arial" w:hAnsi="Arial"/>
          <w:sz w:val="19"/>
          <w:szCs w:val="19"/>
          <w:color w:val="auto"/>
        </w:rPr>
      </w:pPr>
      <w:r>
        <w:rPr>
          <w:rFonts w:ascii="Arial" w:cs="Arial" w:eastAsia="Arial" w:hAnsi="Arial"/>
          <w:sz w:val="19"/>
          <w:szCs w:val="19"/>
          <w:color w:val="auto"/>
        </w:rPr>
        <w:t>such exchange or transfer is effected pursuant to the Exchange Offer in accordance with the Registration Rights Agreement and the holder of such beneficial interest,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the Issuers;</w:t>
      </w:r>
    </w:p>
    <w:p>
      <w:pPr>
        <w:spacing w:after="0" w:line="170" w:lineRule="exact"/>
        <w:rPr>
          <w:rFonts w:ascii="Arial" w:cs="Arial" w:eastAsia="Arial" w:hAnsi="Arial"/>
          <w:sz w:val="19"/>
          <w:szCs w:val="19"/>
          <w:color w:val="auto"/>
        </w:rPr>
      </w:pPr>
    </w:p>
    <w:p>
      <w:pPr>
        <w:ind w:left="3240" w:hanging="1071"/>
        <w:spacing w:after="0"/>
        <w:tabs>
          <w:tab w:leader="none" w:pos="3240" w:val="left"/>
        </w:tabs>
        <w:numPr>
          <w:ilvl w:val="2"/>
          <w:numId w:val="77"/>
        </w:numPr>
        <w:rPr>
          <w:rFonts w:ascii="Arial" w:cs="Arial" w:eastAsia="Arial" w:hAnsi="Arial"/>
          <w:sz w:val="19"/>
          <w:szCs w:val="19"/>
          <w:color w:val="auto"/>
        </w:rPr>
      </w:pPr>
      <w:r>
        <w:rPr>
          <w:rFonts w:ascii="Arial" w:cs="Arial" w:eastAsia="Arial" w:hAnsi="Arial"/>
          <w:sz w:val="19"/>
          <w:szCs w:val="19"/>
          <w:color w:val="auto"/>
        </w:rPr>
        <w:t>such transfer is effected pursuant to the Shelf Registration Statement in accordance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Registration Rights Agreement;</w:t>
      </w:r>
    </w:p>
    <w:p>
      <w:pPr>
        <w:spacing w:after="0" w:line="215" w:lineRule="exact"/>
        <w:rPr>
          <w:rFonts w:ascii="Arial" w:cs="Arial" w:eastAsia="Arial" w:hAnsi="Arial"/>
          <w:sz w:val="19"/>
          <w:szCs w:val="19"/>
          <w:color w:val="auto"/>
        </w:rPr>
      </w:pPr>
    </w:p>
    <w:p>
      <w:pPr>
        <w:ind w:firstLine="2204"/>
        <w:spacing w:after="0" w:line="251" w:lineRule="auto"/>
        <w:tabs>
          <w:tab w:leader="none" w:pos="3404" w:val="left"/>
        </w:tabs>
        <w:numPr>
          <w:ilvl w:val="3"/>
          <w:numId w:val="77"/>
        </w:numPr>
        <w:rPr>
          <w:rFonts w:ascii="Arial" w:cs="Arial" w:eastAsia="Arial" w:hAnsi="Arial"/>
          <w:sz w:val="22"/>
          <w:szCs w:val="22"/>
          <w:color w:val="auto"/>
        </w:rPr>
      </w:pPr>
      <w:r>
        <w:rPr>
          <w:rFonts w:ascii="Arial" w:cs="Arial" w:eastAsia="Arial" w:hAnsi="Arial"/>
          <w:sz w:val="22"/>
          <w:szCs w:val="22"/>
          <w:color w:val="auto"/>
        </w:rPr>
        <w:t>such transfer is effected by a Broker-Dealer pursuant to the Exchange Offer Registration Statement in accordance with the Registration Rights Agreement; or</w:t>
      </w:r>
    </w:p>
    <w:p>
      <w:pPr>
        <w:spacing w:after="0" w:line="200" w:lineRule="exact"/>
        <w:rPr>
          <w:rFonts w:ascii="Arial" w:cs="Arial" w:eastAsia="Arial" w:hAnsi="Arial"/>
          <w:sz w:val="22"/>
          <w:szCs w:val="22"/>
          <w:color w:val="auto"/>
        </w:rPr>
      </w:pPr>
    </w:p>
    <w:p>
      <w:pPr>
        <w:ind w:left="3000" w:hanging="885"/>
        <w:spacing w:after="0"/>
        <w:tabs>
          <w:tab w:leader="none" w:pos="3000"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Registrar receives the following:</w:t>
      </w:r>
    </w:p>
    <w:p>
      <w:pPr>
        <w:spacing w:after="0" w:line="233" w:lineRule="exact"/>
        <w:rPr>
          <w:rFonts w:ascii="Arial" w:cs="Arial" w:eastAsia="Arial" w:hAnsi="Arial"/>
          <w:sz w:val="22"/>
          <w:szCs w:val="22"/>
          <w:color w:val="auto"/>
        </w:rPr>
      </w:pPr>
    </w:p>
    <w:p>
      <w:pPr>
        <w:jc w:val="both"/>
        <w:ind w:firstLine="2930"/>
        <w:spacing w:after="0"/>
        <w:tabs>
          <w:tab w:leader="none" w:pos="3730" w:val="left"/>
        </w:tabs>
        <w:numPr>
          <w:ilvl w:val="4"/>
          <w:numId w:val="77"/>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exchange such beneficial interest for an Unrestricted Definitive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(1)(b) thereof; 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66" w:name="page67"/>
    <w:bookmarkEnd w:id="66"/>
    <w:p>
      <w:pPr>
        <w:jc w:val="both"/>
        <w:ind w:firstLine="2949"/>
        <w:spacing w:after="0"/>
        <w:tabs>
          <w:tab w:leader="none" w:pos="3842"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(4) thereof;</w:t>
      </w:r>
    </w:p>
    <w:p>
      <w:pPr>
        <w:spacing w:after="0" w:line="213" w:lineRule="exact"/>
        <w:rPr>
          <w:sz w:val="20"/>
          <w:szCs w:val="20"/>
          <w:color w:val="auto"/>
        </w:rPr>
      </w:pPr>
    </w:p>
    <w:p>
      <w:pPr>
        <w:jc w:val="both"/>
        <w:ind w:left="1300"/>
        <w:spacing w:after="0" w:line="287" w:lineRule="auto"/>
        <w:rPr>
          <w:sz w:val="20"/>
          <w:szCs w:val="20"/>
          <w:color w:val="auto"/>
        </w:rPr>
      </w:pPr>
      <w:r>
        <w:rPr>
          <w:rFonts w:ascii="Arial" w:cs="Arial" w:eastAsia="Arial" w:hAnsi="Arial"/>
          <w:sz w:val="19"/>
          <w:szCs w:val="19"/>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0" w:lineRule="exact"/>
        <w:rPr>
          <w:sz w:val="20"/>
          <w:szCs w:val="20"/>
          <w:color w:val="auto"/>
        </w:rPr>
      </w:pPr>
    </w:p>
    <w:p>
      <w:pPr>
        <w:jc w:val="both"/>
        <w:ind w:left="660" w:firstLine="645"/>
        <w:spacing w:after="0" w:line="244" w:lineRule="auto"/>
        <w:tabs>
          <w:tab w:leader="none" w:pos="2384" w:val="left"/>
        </w:tabs>
        <w:numPr>
          <w:ilvl w:val="1"/>
          <w:numId w:val="79"/>
        </w:numPr>
        <w:rPr>
          <w:rFonts w:ascii="Arial" w:cs="Arial" w:eastAsia="Arial" w:hAnsi="Arial"/>
          <w:sz w:val="21"/>
          <w:szCs w:val="21"/>
          <w:color w:val="auto"/>
        </w:rPr>
      </w:pPr>
      <w:r>
        <w:rPr>
          <w:rFonts w:ascii="Arial" w:cs="Arial" w:eastAsia="Arial" w:hAnsi="Arial"/>
          <w:sz w:val="21"/>
          <w:szCs w:val="21"/>
          <w:i w:val="1"/>
          <w:iCs w:val="1"/>
          <w:color w:val="auto"/>
        </w:rPr>
        <w:t>Beneficial Interests in Unrestricted Global Notes to Unrestricted Definitive Notes</w:t>
      </w:r>
      <w:r>
        <w:rPr>
          <w:rFonts w:ascii="Arial" w:cs="Arial" w:eastAsia="Arial" w:hAnsi="Arial"/>
          <w:sz w:val="21"/>
          <w:szCs w:val="21"/>
          <w:color w:val="auto"/>
        </w:rPr>
        <w:t>. If any holder of a</w:t>
      </w:r>
      <w:r>
        <w:rPr>
          <w:rFonts w:ascii="Arial" w:cs="Arial" w:eastAsia="Arial" w:hAnsi="Arial"/>
          <w:sz w:val="21"/>
          <w:szCs w:val="21"/>
          <w:i w:val="1"/>
          <w:iCs w:val="1"/>
          <w:color w:val="auto"/>
        </w:rPr>
        <w:t xml:space="preserve"> </w:t>
      </w:r>
      <w:r>
        <w:rPr>
          <w:rFonts w:ascii="Arial" w:cs="Arial" w:eastAsia="Arial" w:hAnsi="Arial"/>
          <w:sz w:val="21"/>
          <w:szCs w:val="21"/>
          <w:color w:val="auto"/>
        </w:rPr>
        <w:t>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2.06(h) hereof, and the Issuers shall execute and the Trustee shall authenticate and deliver to the Person designated in the instructions a Definitive No te in the appropriate principal amount. Any Definitive Note issued in exchange for a beneficial interest pursuant to this Section 2.06(c)(4)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Any Definitive Note issued in exchange for a beneficial interest pursuant to this Section 2.06(c)(4) shall not bear the Private Placement Legend.</w:t>
      </w:r>
    </w:p>
    <w:p>
      <w:pPr>
        <w:spacing w:after="0" w:line="214" w:lineRule="exact"/>
        <w:rPr>
          <w:rFonts w:ascii="Arial" w:cs="Arial" w:eastAsia="Arial" w:hAnsi="Arial"/>
          <w:sz w:val="21"/>
          <w:szCs w:val="21"/>
          <w:color w:val="auto"/>
        </w:rPr>
      </w:pPr>
    </w:p>
    <w:p>
      <w:pPr>
        <w:ind w:left="1340" w:hanging="684"/>
        <w:spacing w:after="0"/>
        <w:tabs>
          <w:tab w:leader="none" w:pos="1340" w:val="left"/>
        </w:tabs>
        <w:numPr>
          <w:ilvl w:val="0"/>
          <w:numId w:val="80"/>
        </w:numPr>
        <w:rPr>
          <w:rFonts w:ascii="Arial" w:cs="Arial" w:eastAsia="Arial" w:hAnsi="Arial"/>
          <w:sz w:val="22"/>
          <w:szCs w:val="22"/>
          <w:color w:val="auto"/>
        </w:rPr>
      </w:pPr>
      <w:r>
        <w:rPr>
          <w:rFonts w:ascii="Arial" w:cs="Arial" w:eastAsia="Arial" w:hAnsi="Arial"/>
          <w:sz w:val="22"/>
          <w:szCs w:val="22"/>
          <w:i w:val="1"/>
          <w:iCs w:val="1"/>
          <w:color w:val="auto"/>
        </w:rPr>
        <w:t>Transfer and Exchange of Definitive Notes for Beneficial Interests.</w:t>
      </w:r>
    </w:p>
    <w:p>
      <w:pPr>
        <w:spacing w:after="0" w:line="233" w:lineRule="exact"/>
        <w:rPr>
          <w:rFonts w:ascii="Arial" w:cs="Arial" w:eastAsia="Arial" w:hAnsi="Arial"/>
          <w:sz w:val="22"/>
          <w:szCs w:val="22"/>
          <w:color w:val="auto"/>
        </w:rPr>
      </w:pPr>
    </w:p>
    <w:p>
      <w:pPr>
        <w:jc w:val="both"/>
        <w:ind w:left="660" w:firstLine="645"/>
        <w:spacing w:after="0" w:line="238" w:lineRule="auto"/>
        <w:tabs>
          <w:tab w:leader="none" w:pos="2155" w:val="left"/>
        </w:tabs>
        <w:numPr>
          <w:ilvl w:val="1"/>
          <w:numId w:val="80"/>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Beneficial Interests in Restricted Global Notes. </w:t>
      </w:r>
      <w:r>
        <w:rPr>
          <w:rFonts w:ascii="Arial" w:cs="Arial" w:eastAsia="Arial" w:hAnsi="Arial"/>
          <w:sz w:val="22"/>
          <w:szCs w:val="22"/>
          <w:color w:val="auto"/>
        </w:rPr>
        <w:t>If any Holder of a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212" w:lineRule="exact"/>
        <w:rPr>
          <w:rFonts w:ascii="Arial" w:cs="Arial" w:eastAsia="Arial" w:hAnsi="Arial"/>
          <w:sz w:val="22"/>
          <w:szCs w:val="22"/>
          <w:color w:val="auto"/>
        </w:rPr>
      </w:pPr>
    </w:p>
    <w:p>
      <w:pPr>
        <w:jc w:val="both"/>
        <w:ind w:firstLine="2123"/>
        <w:spacing w:after="0"/>
        <w:tabs>
          <w:tab w:leader="none" w:pos="3040" w:val="left"/>
        </w:tabs>
        <w:numPr>
          <w:ilvl w:val="2"/>
          <w:numId w:val="80"/>
        </w:numPr>
        <w:rPr>
          <w:rFonts w:ascii="Arial" w:cs="Arial" w:eastAsia="Arial" w:hAnsi="Arial"/>
          <w:sz w:val="22"/>
          <w:szCs w:val="22"/>
          <w:color w:val="auto"/>
        </w:rPr>
      </w:pPr>
      <w:r>
        <w:rPr>
          <w:rFonts w:ascii="Arial" w:cs="Arial" w:eastAsia="Arial" w:hAnsi="Arial"/>
          <w:sz w:val="22"/>
          <w:szCs w:val="22"/>
          <w:color w:val="auto"/>
        </w:rPr>
        <w:t xml:space="preserve">if the Holder of such Restricted Definitive Note proposes to exchange such Note for a beneficial interest in a Restricted Global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(2)(b) thereof;</w:t>
      </w:r>
    </w:p>
    <w:p>
      <w:pPr>
        <w:spacing w:after="0" w:line="213" w:lineRule="exact"/>
        <w:rPr>
          <w:rFonts w:ascii="Arial" w:cs="Arial" w:eastAsia="Arial" w:hAnsi="Arial"/>
          <w:sz w:val="22"/>
          <w:szCs w:val="22"/>
          <w:color w:val="auto"/>
        </w:rPr>
      </w:pPr>
    </w:p>
    <w:p>
      <w:pPr>
        <w:ind w:left="3040" w:hanging="916"/>
        <w:spacing w:after="0"/>
        <w:tabs>
          <w:tab w:leader="none" w:pos="3040" w:val="left"/>
        </w:tabs>
        <w:numPr>
          <w:ilvl w:val="2"/>
          <w:numId w:val="80"/>
        </w:numPr>
        <w:rPr>
          <w:rFonts w:ascii="Arial" w:cs="Arial" w:eastAsia="Arial" w:hAnsi="Arial"/>
          <w:sz w:val="19"/>
          <w:szCs w:val="19"/>
          <w:color w:val="auto"/>
        </w:rPr>
      </w:pPr>
      <w:r>
        <w:rPr>
          <w:rFonts w:ascii="Arial" w:cs="Arial" w:eastAsia="Arial" w:hAnsi="Arial"/>
          <w:sz w:val="19"/>
          <w:szCs w:val="19"/>
          <w:color w:val="auto"/>
        </w:rPr>
        <w:t>if such Restricted Definitive Note is being transferred to a QIB in accordance with Rule 144A, 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(1) thereof;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7" w:name="page68"/>
    <w:bookmarkEnd w:id="67"/>
    <w:p>
      <w:pPr>
        <w:jc w:val="both"/>
        <w:ind w:firstLine="2112"/>
        <w:spacing w:after="0"/>
        <w:tabs>
          <w:tab w:leader="none" w:pos="3267" w:val="left"/>
        </w:tabs>
        <w:numPr>
          <w:ilvl w:val="2"/>
          <w:numId w:val="81"/>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to a Non-U.S. Person in an offshore transaction in accordance with Rule 903 or Rule 904,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w:t>
      </w:r>
    </w:p>
    <w:p>
      <w:pPr>
        <w:spacing w:after="0" w:line="213" w:lineRule="exact"/>
        <w:rPr>
          <w:rFonts w:ascii="Arial" w:cs="Arial" w:eastAsia="Arial" w:hAnsi="Arial"/>
          <w:sz w:val="22"/>
          <w:szCs w:val="22"/>
          <w:color w:val="auto"/>
        </w:rPr>
      </w:pPr>
    </w:p>
    <w:p>
      <w:pPr>
        <w:jc w:val="both"/>
        <w:ind w:firstLine="2121"/>
        <w:spacing w:after="0"/>
        <w:tabs>
          <w:tab w:leader="none" w:pos="3339" w:val="left"/>
        </w:tabs>
        <w:numPr>
          <w:ilvl w:val="2"/>
          <w:numId w:val="81"/>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pursuant to an exemption from the registration requirements of the Securities Act in accordance with Rule 144,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(3)(a) thereof;</w:t>
      </w:r>
    </w:p>
    <w:p>
      <w:pPr>
        <w:spacing w:after="0" w:line="213" w:lineRule="exact"/>
        <w:rPr>
          <w:rFonts w:ascii="Arial" w:cs="Arial" w:eastAsia="Arial" w:hAnsi="Arial"/>
          <w:sz w:val="22"/>
          <w:szCs w:val="22"/>
          <w:color w:val="auto"/>
        </w:rPr>
      </w:pPr>
    </w:p>
    <w:p>
      <w:pPr>
        <w:jc w:val="both"/>
        <w:ind w:firstLine="2083"/>
        <w:spacing w:after="0" w:line="238" w:lineRule="auto"/>
        <w:tabs>
          <w:tab w:leader="none" w:pos="3065" w:val="left"/>
        </w:tabs>
        <w:numPr>
          <w:ilvl w:val="1"/>
          <w:numId w:val="82"/>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w:t>
      </w:r>
    </w:p>
    <w:p>
      <w:pPr>
        <w:spacing w:after="0" w:line="212" w:lineRule="exact"/>
        <w:rPr>
          <w:rFonts w:ascii="Arial" w:cs="Arial" w:eastAsia="Arial" w:hAnsi="Arial"/>
          <w:sz w:val="22"/>
          <w:szCs w:val="22"/>
          <w:color w:val="auto"/>
        </w:rPr>
      </w:pPr>
    </w:p>
    <w:p>
      <w:pPr>
        <w:ind w:firstLine="2065"/>
        <w:spacing w:after="0" w:line="251" w:lineRule="auto"/>
        <w:tabs>
          <w:tab w:leader="none" w:pos="2941"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to the Issuers or any of their Subsidiaries,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(3)(b) thereof; or</w:t>
      </w:r>
    </w:p>
    <w:p>
      <w:pPr>
        <w:spacing w:after="0" w:line="200" w:lineRule="exact"/>
        <w:rPr>
          <w:rFonts w:ascii="Arial" w:cs="Arial" w:eastAsia="Arial" w:hAnsi="Arial"/>
          <w:sz w:val="22"/>
          <w:szCs w:val="22"/>
          <w:color w:val="auto"/>
        </w:rPr>
      </w:pPr>
    </w:p>
    <w:p>
      <w:pPr>
        <w:jc w:val="both"/>
        <w:ind w:firstLine="2117"/>
        <w:spacing w:after="0"/>
        <w:tabs>
          <w:tab w:leader="none" w:pos="3312" w:val="left"/>
        </w:tabs>
        <w:numPr>
          <w:ilvl w:val="2"/>
          <w:numId w:val="83"/>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213" w:lineRule="exact"/>
        <w:rPr>
          <w:sz w:val="20"/>
          <w:szCs w:val="20"/>
          <w:color w:val="auto"/>
        </w:rPr>
      </w:pPr>
    </w:p>
    <w:p>
      <w:pPr>
        <w:jc w:val="both"/>
        <w:ind w:left="1300"/>
        <w:spacing w:after="0" w:line="258" w:lineRule="auto"/>
        <w:rPr>
          <w:sz w:val="20"/>
          <w:szCs w:val="20"/>
          <w:color w:val="auto"/>
        </w:rPr>
      </w:pPr>
      <w:r>
        <w:rPr>
          <w:rFonts w:ascii="Arial" w:cs="Arial" w:eastAsia="Arial" w:hAnsi="Arial"/>
          <w:sz w:val="21"/>
          <w:szCs w:val="21"/>
          <w:color w:val="auto"/>
        </w:rPr>
        <w:t>the Trustee shall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w:t>
      </w:r>
    </w:p>
    <w:p>
      <w:pPr>
        <w:spacing w:after="0" w:line="194" w:lineRule="exact"/>
        <w:rPr>
          <w:sz w:val="20"/>
          <w:szCs w:val="20"/>
          <w:color w:val="auto"/>
        </w:rPr>
      </w:pPr>
    </w:p>
    <w:p>
      <w:pPr>
        <w:jc w:val="both"/>
        <w:ind w:left="660" w:firstLine="645"/>
        <w:spacing w:after="0" w:line="238" w:lineRule="auto"/>
        <w:tabs>
          <w:tab w:leader="none" w:pos="2209" w:val="left"/>
        </w:tabs>
        <w:numPr>
          <w:ilvl w:val="0"/>
          <w:numId w:val="84"/>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Beneficial Interests in Unrestricted Global Notes. </w:t>
      </w:r>
      <w:r>
        <w:rPr>
          <w:rFonts w:ascii="Arial" w:cs="Arial" w:eastAsia="Arial" w:hAnsi="Arial"/>
          <w:sz w:val="22"/>
          <w:szCs w:val="22"/>
          <w:color w:val="auto"/>
        </w:rPr>
        <w:t>A Holder of a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Definitive Note may exchange such Note for a beneficial interest in an Unrestricted Global Note or transfer such Restricted Definitive Note to a Person who takes delivery thereof in the form of a beneficial interest in an Unrestricted Global Note only if:</w:t>
      </w:r>
    </w:p>
    <w:p>
      <w:pPr>
        <w:spacing w:after="0" w:line="212" w:lineRule="exact"/>
        <w:rPr>
          <w:rFonts w:ascii="Arial" w:cs="Arial" w:eastAsia="Arial" w:hAnsi="Arial"/>
          <w:sz w:val="22"/>
          <w:szCs w:val="22"/>
          <w:color w:val="auto"/>
        </w:rPr>
      </w:pPr>
    </w:p>
    <w:p>
      <w:pPr>
        <w:jc w:val="both"/>
        <w:ind w:firstLine="2101"/>
        <w:spacing w:after="0" w:line="252" w:lineRule="auto"/>
        <w:tabs>
          <w:tab w:leader="none" w:pos="3207" w:val="left"/>
        </w:tabs>
        <w:numPr>
          <w:ilvl w:val="1"/>
          <w:numId w:val="84"/>
        </w:numPr>
        <w:rPr>
          <w:rFonts w:ascii="Arial" w:cs="Arial" w:eastAsia="Arial" w:hAnsi="Arial"/>
          <w:sz w:val="21"/>
          <w:szCs w:val="21"/>
          <w:color w:val="auto"/>
        </w:rPr>
      </w:pPr>
      <w:r>
        <w:rPr>
          <w:rFonts w:ascii="Arial" w:cs="Arial" w:eastAsia="Arial" w:hAnsi="Arial"/>
          <w:sz w:val="21"/>
          <w:szCs w:val="21"/>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either of the Issuers;</w:t>
      </w:r>
    </w:p>
    <w:p>
      <w:pPr>
        <w:spacing w:after="0" w:line="201" w:lineRule="exact"/>
        <w:rPr>
          <w:rFonts w:ascii="Arial" w:cs="Arial" w:eastAsia="Arial" w:hAnsi="Arial"/>
          <w:sz w:val="21"/>
          <w:szCs w:val="21"/>
          <w:color w:val="auto"/>
        </w:rPr>
      </w:pPr>
    </w:p>
    <w:p>
      <w:pPr>
        <w:ind w:left="3240" w:hanging="1143"/>
        <w:spacing w:after="0"/>
        <w:tabs>
          <w:tab w:leader="none" w:pos="3240" w:val="left"/>
        </w:tabs>
        <w:numPr>
          <w:ilvl w:val="1"/>
          <w:numId w:val="84"/>
        </w:numPr>
        <w:rPr>
          <w:rFonts w:ascii="Arial" w:cs="Arial" w:eastAsia="Arial" w:hAnsi="Arial"/>
          <w:sz w:val="19"/>
          <w:szCs w:val="19"/>
          <w:color w:val="auto"/>
        </w:rPr>
      </w:pPr>
      <w:r>
        <w:rPr>
          <w:rFonts w:ascii="Arial" w:cs="Arial" w:eastAsia="Arial" w:hAnsi="Arial"/>
          <w:sz w:val="19"/>
          <w:szCs w:val="19"/>
          <w:color w:val="auto"/>
        </w:rPr>
        <w:t>such transfer is effected pursuant to the Shelf Registration Statement in accordance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Registration Rights Agreement;</w:t>
      </w:r>
    </w:p>
    <w:p>
      <w:pPr>
        <w:spacing w:after="0" w:line="215" w:lineRule="exact"/>
        <w:rPr>
          <w:rFonts w:ascii="Arial" w:cs="Arial" w:eastAsia="Arial" w:hAnsi="Arial"/>
          <w:sz w:val="19"/>
          <w:szCs w:val="19"/>
          <w:color w:val="auto"/>
        </w:rPr>
      </w:pPr>
    </w:p>
    <w:p>
      <w:pPr>
        <w:ind w:firstLine="2127"/>
        <w:spacing w:after="0" w:line="251" w:lineRule="auto"/>
        <w:tabs>
          <w:tab w:leader="none" w:pos="3363" w:val="left"/>
        </w:tabs>
        <w:numPr>
          <w:ilvl w:val="2"/>
          <w:numId w:val="84"/>
        </w:numPr>
        <w:rPr>
          <w:rFonts w:ascii="Arial" w:cs="Arial" w:eastAsia="Arial" w:hAnsi="Arial"/>
          <w:sz w:val="22"/>
          <w:szCs w:val="22"/>
          <w:color w:val="auto"/>
        </w:rPr>
      </w:pPr>
      <w:r>
        <w:rPr>
          <w:rFonts w:ascii="Arial" w:cs="Arial" w:eastAsia="Arial" w:hAnsi="Arial"/>
          <w:sz w:val="22"/>
          <w:szCs w:val="22"/>
          <w:color w:val="auto"/>
        </w:rPr>
        <w:t>such transfer is effected by a Broker-Dealer pursuant to the Exchange Offer Registration Statement in accordance with the Registration Rights Agreement; or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8" w:name="page69"/>
    <w:bookmarkEnd w:id="68"/>
    <w:p>
      <w:pPr>
        <w:ind w:left="2960" w:hanging="899"/>
        <w:spacing w:after="0"/>
        <w:tabs>
          <w:tab w:leader="none" w:pos="29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Registrar receives the following:</w:t>
      </w:r>
    </w:p>
    <w:p>
      <w:pPr>
        <w:spacing w:after="0" w:line="233" w:lineRule="exact"/>
        <w:rPr>
          <w:rFonts w:ascii="Arial" w:cs="Arial" w:eastAsia="Arial" w:hAnsi="Arial"/>
          <w:sz w:val="22"/>
          <w:szCs w:val="22"/>
          <w:color w:val="auto"/>
        </w:rPr>
      </w:pPr>
    </w:p>
    <w:p>
      <w:pPr>
        <w:jc w:val="both"/>
        <w:ind w:firstLine="2951"/>
        <w:spacing w:after="0"/>
        <w:tabs>
          <w:tab w:leader="none" w:pos="3789" w:val="left"/>
        </w:tabs>
        <w:numPr>
          <w:ilvl w:val="1"/>
          <w:numId w:val="85"/>
        </w:numPr>
        <w:rPr>
          <w:rFonts w:ascii="Arial" w:cs="Arial" w:eastAsia="Arial" w:hAnsi="Arial"/>
          <w:sz w:val="22"/>
          <w:szCs w:val="22"/>
          <w:color w:val="auto"/>
        </w:rPr>
      </w:pPr>
      <w:r>
        <w:rPr>
          <w:rFonts w:ascii="Arial" w:cs="Arial" w:eastAsia="Arial" w:hAnsi="Arial"/>
          <w:sz w:val="22"/>
          <w:szCs w:val="22"/>
          <w:color w:val="auto"/>
        </w:rPr>
        <w:t xml:space="preserve">if the Holder of such Definitive Notes proposes to exchange such Notes for a beneficial interest in the Unrestricted Global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(1)(c) thereof; or</w:t>
      </w:r>
    </w:p>
    <w:p>
      <w:pPr>
        <w:spacing w:after="0" w:line="213" w:lineRule="exact"/>
        <w:rPr>
          <w:rFonts w:ascii="Arial" w:cs="Arial" w:eastAsia="Arial" w:hAnsi="Arial"/>
          <w:sz w:val="22"/>
          <w:szCs w:val="22"/>
          <w:color w:val="auto"/>
        </w:rPr>
      </w:pPr>
    </w:p>
    <w:p>
      <w:pPr>
        <w:jc w:val="both"/>
        <w:ind w:firstLine="2953"/>
        <w:spacing w:after="0"/>
        <w:tabs>
          <w:tab w:leader="none" w:pos="3854" w:val="left"/>
        </w:tabs>
        <w:numPr>
          <w:ilvl w:val="1"/>
          <w:numId w:val="85"/>
        </w:numPr>
        <w:rPr>
          <w:rFonts w:ascii="Arial" w:cs="Arial" w:eastAsia="Arial" w:hAnsi="Arial"/>
          <w:sz w:val="22"/>
          <w:szCs w:val="22"/>
          <w:color w:val="auto"/>
        </w:rPr>
      </w:pPr>
      <w:r>
        <w:rPr>
          <w:rFonts w:ascii="Arial" w:cs="Arial" w:eastAsia="Arial" w:hAnsi="Arial"/>
          <w:sz w:val="22"/>
          <w:szCs w:val="22"/>
          <w:color w:val="auto"/>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(4) thereof;</w:t>
      </w:r>
    </w:p>
    <w:p>
      <w:pPr>
        <w:spacing w:after="0" w:line="213" w:lineRule="exact"/>
        <w:rPr>
          <w:sz w:val="20"/>
          <w:szCs w:val="20"/>
          <w:color w:val="auto"/>
        </w:rPr>
      </w:pPr>
    </w:p>
    <w:p>
      <w:pPr>
        <w:jc w:val="both"/>
        <w:ind w:left="1300"/>
        <w:spacing w:after="0" w:line="287" w:lineRule="auto"/>
        <w:rPr>
          <w:sz w:val="20"/>
          <w:szCs w:val="20"/>
          <w:color w:val="auto"/>
        </w:rPr>
      </w:pPr>
      <w:r>
        <w:rPr>
          <w:rFonts w:ascii="Arial" w:cs="Arial" w:eastAsia="Arial" w:hAnsi="Arial"/>
          <w:sz w:val="19"/>
          <w:szCs w:val="19"/>
          <w:color w:val="auto"/>
        </w:rPr>
        <w:t>and, in each such case set forth in this subparagraph (D),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0" w:lineRule="exact"/>
        <w:rPr>
          <w:sz w:val="20"/>
          <w:szCs w:val="20"/>
          <w:color w:val="auto"/>
        </w:rPr>
      </w:pPr>
    </w:p>
    <w:p>
      <w:pPr>
        <w:ind w:left="660" w:firstLine="648"/>
        <w:spacing w:after="0" w:line="328" w:lineRule="auto"/>
        <w:rPr>
          <w:sz w:val="20"/>
          <w:szCs w:val="20"/>
          <w:color w:val="auto"/>
        </w:rPr>
      </w:pPr>
      <w:r>
        <w:rPr>
          <w:rFonts w:ascii="Arial" w:cs="Arial" w:eastAsia="Arial" w:hAnsi="Arial"/>
          <w:sz w:val="19"/>
          <w:szCs w:val="19"/>
          <w:color w:val="auto"/>
        </w:rPr>
        <w:t>Upon satisfaction of the conditions of any of the subparagraphs in this Section 2.06(d)(2), the Trustee shall cancel the Definitive Notes and increase or cause to be increased the aggregate principal amount of the Unrestricted Global Note.</w:t>
      </w:r>
    </w:p>
    <w:p>
      <w:pPr>
        <w:spacing w:after="0" w:line="132" w:lineRule="exact"/>
        <w:rPr>
          <w:sz w:val="20"/>
          <w:szCs w:val="20"/>
          <w:color w:val="auto"/>
        </w:rPr>
      </w:pPr>
    </w:p>
    <w:p>
      <w:pPr>
        <w:jc w:val="both"/>
        <w:ind w:left="660" w:firstLine="645"/>
        <w:spacing w:after="0" w:line="235" w:lineRule="auto"/>
        <w:tabs>
          <w:tab w:leader="none" w:pos="2479" w:val="left"/>
        </w:tabs>
        <w:numPr>
          <w:ilvl w:val="0"/>
          <w:numId w:val="86"/>
        </w:numPr>
        <w:rPr>
          <w:rFonts w:ascii="Arial" w:cs="Arial" w:eastAsia="Arial" w:hAnsi="Arial"/>
          <w:sz w:val="22"/>
          <w:szCs w:val="22"/>
          <w:color w:val="auto"/>
        </w:rPr>
      </w:pPr>
      <w:r>
        <w:rPr>
          <w:rFonts w:ascii="Arial" w:cs="Arial" w:eastAsia="Arial" w:hAnsi="Arial"/>
          <w:sz w:val="22"/>
          <w:szCs w:val="22"/>
          <w:i w:val="1"/>
          <w:iCs w:val="1"/>
          <w:color w:val="auto"/>
        </w:rPr>
        <w:t xml:space="preserve">Unrestricted Definitive Notes to Beneficial Interests in Unrestricted Global Notes. </w:t>
      </w:r>
      <w:r>
        <w:rPr>
          <w:rFonts w:ascii="Arial" w:cs="Arial" w:eastAsia="Arial" w:hAnsi="Arial"/>
          <w:sz w:val="22"/>
          <w:szCs w:val="22"/>
          <w:color w:val="auto"/>
        </w:rPr>
        <w:t>A Holder of an</w:t>
      </w:r>
      <w:r>
        <w:rPr>
          <w:rFonts w:ascii="Arial" w:cs="Arial" w:eastAsia="Arial" w:hAnsi="Arial"/>
          <w:sz w:val="22"/>
          <w:szCs w:val="22"/>
          <w:i w:val="1"/>
          <w:iCs w:val="1"/>
          <w:color w:val="auto"/>
        </w:rPr>
        <w:t xml:space="preserve"> </w:t>
      </w:r>
      <w:r>
        <w:rPr>
          <w:rFonts w:ascii="Arial" w:cs="Arial" w:eastAsia="Arial" w:hAnsi="Arial"/>
          <w:sz w:val="22"/>
          <w:szCs w:val="22"/>
          <w:color w:val="auto"/>
        </w:rPr>
        <w:t>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215" w:lineRule="exact"/>
        <w:rPr>
          <w:sz w:val="20"/>
          <w:szCs w:val="20"/>
          <w:color w:val="auto"/>
        </w:rPr>
      </w:pPr>
    </w:p>
    <w:p>
      <w:pPr>
        <w:jc w:val="both"/>
        <w:ind w:left="660" w:firstLine="648"/>
        <w:spacing w:after="0" w:line="236" w:lineRule="auto"/>
        <w:rPr>
          <w:sz w:val="20"/>
          <w:szCs w:val="20"/>
          <w:color w:val="auto"/>
        </w:rPr>
      </w:pPr>
      <w:r>
        <w:rPr>
          <w:rFonts w:ascii="Arial" w:cs="Arial" w:eastAsia="Arial" w:hAnsi="Arial"/>
          <w:sz w:val="22"/>
          <w:szCs w:val="22"/>
          <w:color w:val="auto"/>
        </w:rPr>
        <w:t>If any such exchange or transfer from a Definitive Note to a beneficial interest is effected pursuant to subparagraphs (2)(B), (2)(D) or (3)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215" w:lineRule="exact"/>
        <w:rPr>
          <w:sz w:val="20"/>
          <w:szCs w:val="20"/>
          <w:color w:val="auto"/>
        </w:rPr>
      </w:pPr>
    </w:p>
    <w:p>
      <w:pPr>
        <w:jc w:val="both"/>
        <w:ind w:firstLine="656"/>
        <w:spacing w:after="0" w:line="234" w:lineRule="auto"/>
        <w:tabs>
          <w:tab w:leader="none" w:pos="1617" w:val="left"/>
        </w:tabs>
        <w:numPr>
          <w:ilvl w:val="0"/>
          <w:numId w:val="87"/>
        </w:numPr>
        <w:rPr>
          <w:rFonts w:ascii="Arial" w:cs="Arial" w:eastAsia="Arial" w:hAnsi="Arial"/>
          <w:sz w:val="22"/>
          <w:szCs w:val="22"/>
          <w:color w:val="auto"/>
        </w:rPr>
      </w:pPr>
      <w:r>
        <w:rPr>
          <w:rFonts w:ascii="Arial" w:cs="Arial" w:eastAsia="Arial" w:hAnsi="Arial"/>
          <w:sz w:val="22"/>
          <w:szCs w:val="22"/>
          <w:i w:val="1"/>
          <w:iCs w:val="1"/>
          <w:color w:val="auto"/>
        </w:rPr>
        <w:t xml:space="preserve">Transfer and Exchange of Definitive Notes for Definitive Notes. </w:t>
      </w:r>
      <w:r>
        <w:rPr>
          <w:rFonts w:ascii="Arial" w:cs="Arial" w:eastAsia="Arial" w:hAnsi="Arial"/>
          <w:sz w:val="22"/>
          <w:szCs w:val="22"/>
          <w:color w:val="auto"/>
        </w:rPr>
        <w:t>Upon request by a Holder of Definitive Notes</w:t>
      </w:r>
      <w:r>
        <w:rPr>
          <w:rFonts w:ascii="Arial" w:cs="Arial" w:eastAsia="Arial" w:hAnsi="Arial"/>
          <w:sz w:val="22"/>
          <w:szCs w:val="22"/>
          <w:i w:val="1"/>
          <w:iCs w:val="1"/>
          <w:color w:val="auto"/>
        </w:rPr>
        <w:t xml:space="preserve"> </w:t>
      </w:r>
      <w:r>
        <w:rPr>
          <w:rFonts w:ascii="Arial" w:cs="Arial" w:eastAsia="Arial" w:hAnsi="Arial"/>
          <w:sz w:val="22"/>
          <w:szCs w:val="22"/>
          <w:color w:val="auto"/>
        </w:rPr>
        <w:t>and such Holder’s compliance with the 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 rmation, as applicable, required pursuant to the following provisions of this Section 2.06(e).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69" w:name="page70"/>
    <w:bookmarkEnd w:id="69"/>
    <w:p>
      <w:pPr>
        <w:jc w:val="both"/>
        <w:ind w:left="660" w:firstLine="645"/>
        <w:spacing w:after="0"/>
        <w:tabs>
          <w:tab w:leader="none" w:pos="2506" w:val="left"/>
        </w:tabs>
        <w:numPr>
          <w:ilvl w:val="1"/>
          <w:numId w:val="88"/>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Restricted Definitive Notes. </w:t>
      </w:r>
      <w:r>
        <w:rPr>
          <w:rFonts w:ascii="Arial" w:cs="Arial" w:eastAsia="Arial" w:hAnsi="Arial"/>
          <w:sz w:val="22"/>
          <w:szCs w:val="22"/>
          <w:color w:val="auto"/>
        </w:rPr>
        <w:t>Any Restricted Definitive Note may be</w:t>
      </w:r>
      <w:r>
        <w:rPr>
          <w:rFonts w:ascii="Arial" w:cs="Arial" w:eastAsia="Arial" w:hAnsi="Arial"/>
          <w:sz w:val="22"/>
          <w:szCs w:val="22"/>
          <w:i w:val="1"/>
          <w:iCs w:val="1"/>
          <w:color w:val="auto"/>
        </w:rPr>
        <w:t xml:space="preserve"> </w:t>
      </w:r>
      <w:r>
        <w:rPr>
          <w:rFonts w:ascii="Arial" w:cs="Arial" w:eastAsia="Arial" w:hAnsi="Arial"/>
          <w:sz w:val="22"/>
          <w:szCs w:val="22"/>
          <w:color w:val="auto"/>
        </w:rPr>
        <w:t>transferred to and registered in the name of Persons who take delivery thereof in the form of a Restricted Definitive Note if the Registrar receives the following:</w:t>
      </w:r>
    </w:p>
    <w:p>
      <w:pPr>
        <w:spacing w:after="0" w:line="213" w:lineRule="exact"/>
        <w:rPr>
          <w:rFonts w:ascii="Arial" w:cs="Arial" w:eastAsia="Arial" w:hAnsi="Arial"/>
          <w:sz w:val="22"/>
          <w:szCs w:val="22"/>
          <w:color w:val="auto"/>
        </w:rPr>
      </w:pPr>
    </w:p>
    <w:p>
      <w:pPr>
        <w:ind w:firstLine="2071"/>
        <w:spacing w:after="0" w:line="251" w:lineRule="auto"/>
        <w:tabs>
          <w:tab w:leader="none" w:pos="3014" w:val="left"/>
        </w:tabs>
        <w:numPr>
          <w:ilvl w:val="3"/>
          <w:numId w:val="88"/>
        </w:numPr>
        <w:rPr>
          <w:rFonts w:ascii="Arial" w:cs="Arial" w:eastAsia="Arial" w:hAnsi="Arial"/>
          <w:sz w:val="22"/>
          <w:szCs w:val="22"/>
          <w:color w:val="auto"/>
        </w:rPr>
      </w:pPr>
      <w:r>
        <w:rPr>
          <w:rFonts w:ascii="Arial" w:cs="Arial" w:eastAsia="Arial" w:hAnsi="Arial"/>
          <w:sz w:val="22"/>
          <w:szCs w:val="22"/>
          <w:color w:val="auto"/>
        </w:rPr>
        <w:t xml:space="preserve">if the transfer shall be made pursuant to Rule 144A,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(1) thereof;</w:t>
      </w:r>
    </w:p>
    <w:p>
      <w:pPr>
        <w:spacing w:after="0" w:line="200" w:lineRule="exact"/>
        <w:rPr>
          <w:rFonts w:ascii="Arial" w:cs="Arial" w:eastAsia="Arial" w:hAnsi="Arial"/>
          <w:sz w:val="22"/>
          <w:szCs w:val="22"/>
          <w:color w:val="auto"/>
        </w:rPr>
      </w:pPr>
    </w:p>
    <w:p>
      <w:pPr>
        <w:ind w:firstLine="2071"/>
        <w:spacing w:after="0" w:line="251" w:lineRule="auto"/>
        <w:tabs>
          <w:tab w:leader="none" w:pos="3003" w:val="left"/>
        </w:tabs>
        <w:numPr>
          <w:ilvl w:val="3"/>
          <w:numId w:val="88"/>
        </w:numPr>
        <w:rPr>
          <w:rFonts w:ascii="Arial" w:cs="Arial" w:eastAsia="Arial" w:hAnsi="Arial"/>
          <w:sz w:val="22"/>
          <w:szCs w:val="22"/>
          <w:color w:val="auto"/>
        </w:rPr>
      </w:pPr>
      <w:r>
        <w:rPr>
          <w:rFonts w:ascii="Arial" w:cs="Arial" w:eastAsia="Arial" w:hAnsi="Arial"/>
          <w:sz w:val="22"/>
          <w:szCs w:val="22"/>
          <w:color w:val="auto"/>
        </w:rPr>
        <w:t xml:space="preserve">if the transfer shall be made pursuant to Rule 903 or Rule 904,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 and</w:t>
      </w:r>
    </w:p>
    <w:p>
      <w:pPr>
        <w:spacing w:after="0" w:line="200" w:lineRule="exact"/>
        <w:rPr>
          <w:rFonts w:ascii="Arial" w:cs="Arial" w:eastAsia="Arial" w:hAnsi="Arial"/>
          <w:sz w:val="22"/>
          <w:szCs w:val="22"/>
          <w:color w:val="auto"/>
        </w:rPr>
      </w:pPr>
    </w:p>
    <w:p>
      <w:pPr>
        <w:jc w:val="both"/>
        <w:ind w:firstLine="2076"/>
        <w:spacing w:after="0"/>
        <w:tabs>
          <w:tab w:leader="none" w:pos="3033" w:val="left"/>
        </w:tabs>
        <w:numPr>
          <w:ilvl w:val="3"/>
          <w:numId w:val="88"/>
        </w:numPr>
        <w:rPr>
          <w:rFonts w:ascii="Arial" w:cs="Arial" w:eastAsia="Arial" w:hAnsi="Arial"/>
          <w:sz w:val="22"/>
          <w:szCs w:val="22"/>
          <w:color w:val="auto"/>
        </w:rPr>
      </w:pPr>
      <w:r>
        <w:rPr>
          <w:rFonts w:ascii="Arial" w:cs="Arial" w:eastAsia="Arial" w:hAnsi="Arial"/>
          <w:sz w:val="22"/>
          <w:szCs w:val="22"/>
          <w:color w:val="auto"/>
        </w:rPr>
        <w:t xml:space="preserve">if the transfer shall be made pursuant to any other exemption from the registration requirements of the Securities Act,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w:t>
      </w:r>
    </w:p>
    <w:p>
      <w:pPr>
        <w:spacing w:after="0" w:line="213" w:lineRule="exact"/>
        <w:rPr>
          <w:rFonts w:ascii="Arial" w:cs="Arial" w:eastAsia="Arial" w:hAnsi="Arial"/>
          <w:sz w:val="22"/>
          <w:szCs w:val="22"/>
          <w:color w:val="auto"/>
        </w:rPr>
      </w:pPr>
    </w:p>
    <w:p>
      <w:pPr>
        <w:jc w:val="both"/>
        <w:ind w:left="660" w:firstLine="645"/>
        <w:spacing w:after="0"/>
        <w:tabs>
          <w:tab w:leader="none" w:pos="2411" w:val="left"/>
        </w:tabs>
        <w:numPr>
          <w:ilvl w:val="1"/>
          <w:numId w:val="88"/>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Unrestricted Definitive Notes. </w:t>
      </w:r>
      <w:r>
        <w:rPr>
          <w:rFonts w:ascii="Arial" w:cs="Arial" w:eastAsia="Arial" w:hAnsi="Arial"/>
          <w:sz w:val="22"/>
          <w:szCs w:val="22"/>
          <w:color w:val="auto"/>
        </w:rPr>
        <w:t>Any Restricted Definitive Note may be</w:t>
      </w:r>
      <w:r>
        <w:rPr>
          <w:rFonts w:ascii="Arial" w:cs="Arial" w:eastAsia="Arial" w:hAnsi="Arial"/>
          <w:sz w:val="22"/>
          <w:szCs w:val="22"/>
          <w:i w:val="1"/>
          <w:iCs w:val="1"/>
          <w:color w:val="auto"/>
        </w:rPr>
        <w:t xml:space="preserve"> </w:t>
      </w:r>
      <w:r>
        <w:rPr>
          <w:rFonts w:ascii="Arial" w:cs="Arial" w:eastAsia="Arial" w:hAnsi="Arial"/>
          <w:sz w:val="22"/>
          <w:szCs w:val="22"/>
          <w:color w:val="auto"/>
        </w:rPr>
        <w:t>exchanged by the Holder thereof for an Unrestricted Definitive Note or transferred to a Person or Persons who take delivery thereof in the form of an Unrestricted Definitive Note if:</w:t>
      </w:r>
    </w:p>
    <w:p>
      <w:pPr>
        <w:spacing w:after="0" w:line="213" w:lineRule="exact"/>
        <w:rPr>
          <w:rFonts w:ascii="Arial" w:cs="Arial" w:eastAsia="Arial" w:hAnsi="Arial"/>
          <w:sz w:val="22"/>
          <w:szCs w:val="22"/>
          <w:color w:val="auto"/>
        </w:rPr>
      </w:pPr>
    </w:p>
    <w:p>
      <w:pPr>
        <w:jc w:val="both"/>
        <w:ind w:firstLine="2101"/>
        <w:spacing w:after="0" w:line="252" w:lineRule="auto"/>
        <w:tabs>
          <w:tab w:leader="none" w:pos="3207" w:val="left"/>
        </w:tabs>
        <w:numPr>
          <w:ilvl w:val="4"/>
          <w:numId w:val="88"/>
        </w:numPr>
        <w:rPr>
          <w:rFonts w:ascii="Arial" w:cs="Arial" w:eastAsia="Arial" w:hAnsi="Arial"/>
          <w:sz w:val="21"/>
          <w:szCs w:val="21"/>
          <w:color w:val="auto"/>
        </w:rPr>
      </w:pPr>
      <w:r>
        <w:rPr>
          <w:rFonts w:ascii="Arial" w:cs="Arial" w:eastAsia="Arial" w:hAnsi="Arial"/>
          <w:sz w:val="21"/>
          <w:szCs w:val="21"/>
          <w:color w:val="auto"/>
        </w:rPr>
        <w:t>such exchange or transfer is effected pursuant to the Exchange Offer in accordance with the Registration Rights Agreement and the Holder, in the case of an exchange, or the transferee, in the case of a transfer, certifies in the applicable Letter of Transmittal that it is not (i) a Broker-Dealer, (ii) a Person participating in the distribution of the Exchange Notes or (iii) a Person who is an affiliate (as defined in Rule 144) of either of the Issuers;</w:t>
      </w:r>
    </w:p>
    <w:p>
      <w:pPr>
        <w:spacing w:after="0" w:line="201" w:lineRule="exact"/>
        <w:rPr>
          <w:rFonts w:ascii="Arial" w:cs="Arial" w:eastAsia="Arial" w:hAnsi="Arial"/>
          <w:sz w:val="21"/>
          <w:szCs w:val="21"/>
          <w:color w:val="auto"/>
        </w:rPr>
      </w:pPr>
    </w:p>
    <w:p>
      <w:pPr>
        <w:ind w:left="3020" w:hanging="946"/>
        <w:spacing w:after="0"/>
        <w:tabs>
          <w:tab w:leader="none" w:pos="3020" w:val="left"/>
        </w:tabs>
        <w:numPr>
          <w:ilvl w:val="3"/>
          <w:numId w:val="89"/>
        </w:numPr>
        <w:rPr>
          <w:rFonts w:ascii="Arial" w:cs="Arial" w:eastAsia="Arial" w:hAnsi="Arial"/>
          <w:sz w:val="19"/>
          <w:szCs w:val="19"/>
          <w:color w:val="auto"/>
        </w:rPr>
      </w:pPr>
      <w:r>
        <w:rPr>
          <w:rFonts w:ascii="Arial" w:cs="Arial" w:eastAsia="Arial" w:hAnsi="Arial"/>
          <w:sz w:val="19"/>
          <w:szCs w:val="19"/>
          <w:color w:val="auto"/>
        </w:rPr>
        <w:t>any such transfer is effected pursuant to the Shelf Registration Statement in accordance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Registration Rights Agreement;</w:t>
      </w:r>
    </w:p>
    <w:p>
      <w:pPr>
        <w:spacing w:after="0" w:line="215" w:lineRule="exact"/>
        <w:rPr>
          <w:rFonts w:ascii="Arial" w:cs="Arial" w:eastAsia="Arial" w:hAnsi="Arial"/>
          <w:sz w:val="19"/>
          <w:szCs w:val="19"/>
          <w:color w:val="auto"/>
        </w:rPr>
      </w:pPr>
    </w:p>
    <w:p>
      <w:pPr>
        <w:ind w:firstLine="2096"/>
        <w:spacing w:after="0" w:line="251" w:lineRule="auto"/>
        <w:tabs>
          <w:tab w:leader="none" w:pos="3165" w:val="left"/>
        </w:tabs>
        <w:numPr>
          <w:ilvl w:val="4"/>
          <w:numId w:val="89"/>
        </w:numPr>
        <w:rPr>
          <w:rFonts w:ascii="Arial" w:cs="Arial" w:eastAsia="Arial" w:hAnsi="Arial"/>
          <w:sz w:val="22"/>
          <w:szCs w:val="22"/>
          <w:color w:val="auto"/>
        </w:rPr>
      </w:pPr>
      <w:r>
        <w:rPr>
          <w:rFonts w:ascii="Arial" w:cs="Arial" w:eastAsia="Arial" w:hAnsi="Arial"/>
          <w:sz w:val="22"/>
          <w:szCs w:val="22"/>
          <w:color w:val="auto"/>
        </w:rPr>
        <w:t>any such transfer is effected by a Broker-Dealer pursuant to the Exchange Offer Registration Statement in accordance with the Registration Rights Agreement; or</w:t>
      </w:r>
    </w:p>
    <w:p>
      <w:pPr>
        <w:spacing w:after="0" w:line="200" w:lineRule="exact"/>
        <w:rPr>
          <w:rFonts w:ascii="Arial" w:cs="Arial" w:eastAsia="Arial" w:hAnsi="Arial"/>
          <w:sz w:val="22"/>
          <w:szCs w:val="22"/>
          <w:color w:val="auto"/>
        </w:rPr>
      </w:pPr>
    </w:p>
    <w:p>
      <w:pPr>
        <w:ind w:left="2960" w:hanging="899"/>
        <w:spacing w:after="0"/>
        <w:tabs>
          <w:tab w:leader="none" w:pos="2960" w:val="left"/>
        </w:tabs>
        <w:numPr>
          <w:ilvl w:val="2"/>
          <w:numId w:val="90"/>
        </w:numPr>
        <w:rPr>
          <w:rFonts w:ascii="Arial" w:cs="Arial" w:eastAsia="Arial" w:hAnsi="Arial"/>
          <w:sz w:val="22"/>
          <w:szCs w:val="22"/>
          <w:color w:val="auto"/>
        </w:rPr>
      </w:pPr>
      <w:r>
        <w:rPr>
          <w:rFonts w:ascii="Arial" w:cs="Arial" w:eastAsia="Arial" w:hAnsi="Arial"/>
          <w:sz w:val="22"/>
          <w:szCs w:val="22"/>
          <w:color w:val="auto"/>
        </w:rPr>
        <w:t>the Registrar receives the following:</w:t>
      </w:r>
    </w:p>
    <w:p>
      <w:pPr>
        <w:spacing w:after="0" w:line="233" w:lineRule="exact"/>
        <w:rPr>
          <w:rFonts w:ascii="Arial" w:cs="Arial" w:eastAsia="Arial" w:hAnsi="Arial"/>
          <w:sz w:val="22"/>
          <w:szCs w:val="22"/>
          <w:color w:val="auto"/>
        </w:rPr>
      </w:pPr>
    </w:p>
    <w:p>
      <w:pPr>
        <w:jc w:val="both"/>
        <w:ind w:firstLine="2925"/>
        <w:spacing w:after="0" w:line="276" w:lineRule="auto"/>
        <w:tabs>
          <w:tab w:leader="none" w:pos="3715" w:val="left"/>
        </w:tabs>
        <w:numPr>
          <w:ilvl w:val="5"/>
          <w:numId w:val="90"/>
        </w:numPr>
        <w:rPr>
          <w:rFonts w:ascii="Arial" w:cs="Arial" w:eastAsia="Arial" w:hAnsi="Arial"/>
          <w:sz w:val="19"/>
          <w:szCs w:val="19"/>
          <w:color w:val="auto"/>
        </w:rPr>
      </w:pPr>
      <w:r>
        <w:rPr>
          <w:rFonts w:ascii="Arial" w:cs="Arial" w:eastAsia="Arial" w:hAnsi="Arial"/>
          <w:sz w:val="19"/>
          <w:szCs w:val="19"/>
          <w:color w:val="auto"/>
        </w:rPr>
        <w:t xml:space="preserve">if the Holder of such Restricted Definitive Notes proposes to exchange such Notes for an Unrestricted Definitive Note, a certificate from such Holder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including the certifications in item (1)</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thereof; or</w:t>
      </w:r>
    </w:p>
    <w:p>
      <w:pPr>
        <w:spacing w:after="0" w:line="215" w:lineRule="exact"/>
        <w:rPr>
          <w:rFonts w:ascii="Arial" w:cs="Arial" w:eastAsia="Arial" w:hAnsi="Arial"/>
          <w:sz w:val="22"/>
          <w:szCs w:val="22"/>
          <w:color w:val="auto"/>
        </w:rPr>
      </w:pPr>
    </w:p>
    <w:p>
      <w:pPr>
        <w:jc w:val="both"/>
        <w:ind w:firstLine="2980"/>
        <w:spacing w:after="0"/>
        <w:tabs>
          <w:tab w:leader="none" w:pos="3931" w:val="left"/>
        </w:tabs>
        <w:numPr>
          <w:ilvl w:val="6"/>
          <w:numId w:val="91"/>
        </w:numPr>
        <w:rPr>
          <w:rFonts w:ascii="Arial" w:cs="Arial" w:eastAsia="Arial" w:hAnsi="Arial"/>
          <w:sz w:val="22"/>
          <w:szCs w:val="22"/>
          <w:color w:val="auto"/>
        </w:rPr>
      </w:pPr>
      <w:r>
        <w:rPr>
          <w:rFonts w:ascii="Arial" w:cs="Arial" w:eastAsia="Arial" w:hAnsi="Arial"/>
          <w:sz w:val="22"/>
          <w:szCs w:val="22"/>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(4) thereof;</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0" w:name="page71"/>
    <w:bookmarkEnd w:id="70"/>
    <w:p>
      <w:pPr>
        <w:jc w:val="both"/>
        <w:ind w:left="660"/>
        <w:spacing w:after="0" w:line="238" w:lineRule="auto"/>
        <w:rPr>
          <w:sz w:val="20"/>
          <w:szCs w:val="20"/>
          <w:color w:val="auto"/>
        </w:rPr>
      </w:pPr>
      <w:r>
        <w:rPr>
          <w:rFonts w:ascii="Arial" w:cs="Arial" w:eastAsia="Arial" w:hAnsi="Arial"/>
          <w:sz w:val="22"/>
          <w:szCs w:val="22"/>
          <w:color w:val="auto"/>
        </w:rPr>
        <w:t>and, in each such case set forth in this subparagraph (D), if the Registrar so requests ,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12" w:lineRule="exact"/>
        <w:rPr>
          <w:sz w:val="20"/>
          <w:szCs w:val="20"/>
          <w:color w:val="auto"/>
        </w:rPr>
      </w:pPr>
    </w:p>
    <w:p>
      <w:pPr>
        <w:jc w:val="both"/>
        <w:ind w:left="660" w:firstLine="645"/>
        <w:spacing w:after="0" w:line="238" w:lineRule="auto"/>
        <w:tabs>
          <w:tab w:leader="none" w:pos="2195" w:val="left"/>
        </w:tabs>
        <w:numPr>
          <w:ilvl w:val="1"/>
          <w:numId w:val="92"/>
        </w:numPr>
        <w:rPr>
          <w:rFonts w:ascii="Arial" w:cs="Arial" w:eastAsia="Arial" w:hAnsi="Arial"/>
          <w:sz w:val="22"/>
          <w:szCs w:val="22"/>
          <w:color w:val="auto"/>
        </w:rPr>
      </w:pPr>
      <w:r>
        <w:rPr>
          <w:rFonts w:ascii="Arial" w:cs="Arial" w:eastAsia="Arial" w:hAnsi="Arial"/>
          <w:sz w:val="22"/>
          <w:szCs w:val="22"/>
          <w:i w:val="1"/>
          <w:iCs w:val="1"/>
          <w:color w:val="auto"/>
        </w:rPr>
        <w:t xml:space="preserve">Unrestricted Definitive Notes to Unrestricted Definitive Notes. </w:t>
      </w:r>
      <w:r>
        <w:rPr>
          <w:rFonts w:ascii="Arial" w:cs="Arial" w:eastAsia="Arial" w:hAnsi="Arial"/>
          <w:sz w:val="22"/>
          <w:szCs w:val="22"/>
          <w:color w:val="auto"/>
        </w:rPr>
        <w:t>A Holder of Unrestricted Definitive Notes</w:t>
      </w:r>
      <w:r>
        <w:rPr>
          <w:rFonts w:ascii="Arial" w:cs="Arial" w:eastAsia="Arial" w:hAnsi="Arial"/>
          <w:sz w:val="22"/>
          <w:szCs w:val="22"/>
          <w:i w:val="1"/>
          <w:iCs w:val="1"/>
          <w:color w:val="auto"/>
        </w:rPr>
        <w:t xml:space="preserve"> </w:t>
      </w:r>
      <w:r>
        <w:rPr>
          <w:rFonts w:ascii="Arial" w:cs="Arial" w:eastAsia="Arial" w:hAnsi="Arial"/>
          <w:sz w:val="22"/>
          <w:szCs w:val="22"/>
          <w:color w:val="auto"/>
        </w:rPr>
        <w:t>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212" w:lineRule="exact"/>
        <w:rPr>
          <w:rFonts w:ascii="Arial" w:cs="Arial" w:eastAsia="Arial" w:hAnsi="Arial"/>
          <w:sz w:val="22"/>
          <w:szCs w:val="22"/>
          <w:color w:val="auto"/>
        </w:rPr>
      </w:pPr>
    </w:p>
    <w:p>
      <w:pPr>
        <w:jc w:val="both"/>
        <w:ind w:firstLine="656"/>
        <w:spacing w:after="0"/>
        <w:tabs>
          <w:tab w:leader="none" w:pos="1742" w:val="left"/>
        </w:tabs>
        <w:numPr>
          <w:ilvl w:val="0"/>
          <w:numId w:val="93"/>
        </w:numPr>
        <w:rPr>
          <w:rFonts w:ascii="Arial" w:cs="Arial" w:eastAsia="Arial" w:hAnsi="Arial"/>
          <w:sz w:val="22"/>
          <w:szCs w:val="22"/>
          <w:color w:val="auto"/>
        </w:rPr>
      </w:pPr>
      <w:r>
        <w:rPr>
          <w:rFonts w:ascii="Arial" w:cs="Arial" w:eastAsia="Arial" w:hAnsi="Arial"/>
          <w:sz w:val="22"/>
          <w:szCs w:val="22"/>
          <w:i w:val="1"/>
          <w:iCs w:val="1"/>
          <w:color w:val="auto"/>
        </w:rPr>
        <w:t xml:space="preserve">Exchange Offer. </w:t>
      </w:r>
      <w:r>
        <w:rPr>
          <w:rFonts w:ascii="Arial" w:cs="Arial" w:eastAsia="Arial" w:hAnsi="Arial"/>
          <w:sz w:val="22"/>
          <w:szCs w:val="22"/>
          <w:color w:val="auto"/>
        </w:rPr>
        <w:t>Upon the occurrence of the Exchange Offer in accordance with the Registration Rights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the Issuers shall issue and, upon receipt of an Authentication Order in accordance with Section 2.02 hereof, the Trustee shall authenticate:</w:t>
      </w:r>
    </w:p>
    <w:p>
      <w:pPr>
        <w:spacing w:after="0" w:line="213" w:lineRule="exact"/>
        <w:rPr>
          <w:rFonts w:ascii="Arial" w:cs="Arial" w:eastAsia="Arial" w:hAnsi="Arial"/>
          <w:sz w:val="22"/>
          <w:szCs w:val="22"/>
          <w:color w:val="auto"/>
        </w:rPr>
      </w:pPr>
    </w:p>
    <w:p>
      <w:pPr>
        <w:jc w:val="both"/>
        <w:ind w:left="660" w:firstLine="645"/>
        <w:spacing w:after="0" w:line="287" w:lineRule="auto"/>
        <w:tabs>
          <w:tab w:leader="none" w:pos="2189" w:val="left"/>
        </w:tabs>
        <w:numPr>
          <w:ilvl w:val="1"/>
          <w:numId w:val="93"/>
        </w:numPr>
        <w:rPr>
          <w:rFonts w:ascii="Arial" w:cs="Arial" w:eastAsia="Arial" w:hAnsi="Arial"/>
          <w:sz w:val="19"/>
          <w:szCs w:val="19"/>
          <w:color w:val="auto"/>
        </w:rPr>
      </w:pPr>
      <w:r>
        <w:rPr>
          <w:rFonts w:ascii="Arial" w:cs="Arial" w:eastAsia="Arial" w:hAnsi="Arial"/>
          <w:sz w:val="19"/>
          <w:szCs w:val="19"/>
          <w:color w:val="auto"/>
        </w:rPr>
        <w:t>one or more Unrestricted Global Notes in an aggregate principal amount equal to the principal amount of the beneficial interests in the Restricted Global Notes accepted for exchange in the Exchange Offer by Persons that certify in the applicable Letters of Transmittal that (A) they are not Broker-Dealers, (B) they are not participating in a distribution of the Exchange Notes and (C) they are not affiliates (as defined in Rule 144) of the Issuers and</w:t>
      </w:r>
    </w:p>
    <w:p>
      <w:pPr>
        <w:spacing w:after="0" w:line="170" w:lineRule="exact"/>
        <w:rPr>
          <w:rFonts w:ascii="Arial" w:cs="Arial" w:eastAsia="Arial" w:hAnsi="Arial"/>
          <w:sz w:val="19"/>
          <w:szCs w:val="19"/>
          <w:color w:val="auto"/>
        </w:rPr>
      </w:pPr>
    </w:p>
    <w:p>
      <w:pPr>
        <w:jc w:val="both"/>
        <w:ind w:left="660" w:firstLine="645"/>
        <w:spacing w:after="0" w:line="273" w:lineRule="auto"/>
        <w:tabs>
          <w:tab w:leader="none" w:pos="2404" w:val="left"/>
        </w:tabs>
        <w:numPr>
          <w:ilvl w:val="1"/>
          <w:numId w:val="93"/>
        </w:numPr>
        <w:rPr>
          <w:rFonts w:ascii="Arial" w:cs="Arial" w:eastAsia="Arial" w:hAnsi="Arial"/>
          <w:sz w:val="19"/>
          <w:szCs w:val="19"/>
          <w:color w:val="auto"/>
        </w:rPr>
      </w:pPr>
      <w:r>
        <w:rPr>
          <w:rFonts w:ascii="Arial" w:cs="Arial" w:eastAsia="Arial" w:hAnsi="Arial"/>
          <w:sz w:val="19"/>
          <w:szCs w:val="19"/>
          <w:color w:val="auto"/>
        </w:rPr>
        <w:t>Unrestricted Definitive Notes in an aggregate principal amount equal to the principal amount of the Restricted Definitive Notes accepted for exchange in the Exchange Offer by Persons that certify in the applicable Letters of Transmittal that (A) they are not Broker-Dealers, (B) they are not participating in a distribution of the Exchange Notes and</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 they are not affiliates (as defined in Rule 144) of the Issuers.</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Concurrently with the issuance of such Notes, the Trustee shall cause the aggregate principal amount of the applicable Restricted Global Notes to be reduced accordingly, and the Issuers shall execute and the Trustee shall authenticate and deliver to the Persons designated by the Holders of Definitive Notes so accepted Unrestricted Definitive Notes in the appropriate principal amount.</w:t>
      </w:r>
    </w:p>
    <w:p>
      <w:pPr>
        <w:spacing w:after="0" w:line="212" w:lineRule="exact"/>
        <w:rPr>
          <w:sz w:val="20"/>
          <w:szCs w:val="20"/>
          <w:color w:val="auto"/>
        </w:rPr>
      </w:pPr>
    </w:p>
    <w:p>
      <w:pPr>
        <w:ind w:firstLine="656"/>
        <w:spacing w:after="0" w:line="251" w:lineRule="auto"/>
        <w:tabs>
          <w:tab w:leader="none" w:pos="1400" w:val="left"/>
        </w:tabs>
        <w:numPr>
          <w:ilvl w:val="0"/>
          <w:numId w:val="94"/>
        </w:numPr>
        <w:rPr>
          <w:rFonts w:ascii="Arial" w:cs="Arial" w:eastAsia="Arial" w:hAnsi="Arial"/>
          <w:sz w:val="22"/>
          <w:szCs w:val="22"/>
          <w:color w:val="auto"/>
        </w:rPr>
      </w:pPr>
      <w:r>
        <w:rPr>
          <w:rFonts w:ascii="Arial" w:cs="Arial" w:eastAsia="Arial" w:hAnsi="Arial"/>
          <w:sz w:val="22"/>
          <w:szCs w:val="22"/>
          <w:i w:val="1"/>
          <w:iCs w:val="1"/>
          <w:color w:val="auto"/>
        </w:rPr>
        <w:t>Legends</w:t>
      </w:r>
      <w:r>
        <w:rPr>
          <w:rFonts w:ascii="Arial" w:cs="Arial" w:eastAsia="Arial" w:hAnsi="Arial"/>
          <w:sz w:val="22"/>
          <w:szCs w:val="22"/>
          <w:color w:val="auto"/>
        </w:rPr>
        <w:t>. The following legends shall appear on the face of all Global Notes and Definitive Notes issued under this</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unless specifically stated otherwise in the applicable provisions of this Indenture.</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1"/>
          <w:numId w:val="94"/>
        </w:numPr>
        <w:rPr>
          <w:rFonts w:ascii="Arial" w:cs="Arial" w:eastAsia="Arial" w:hAnsi="Arial"/>
          <w:sz w:val="22"/>
          <w:szCs w:val="22"/>
          <w:color w:val="auto"/>
        </w:rPr>
      </w:pPr>
      <w:r>
        <w:rPr>
          <w:rFonts w:ascii="Arial" w:cs="Arial" w:eastAsia="Arial" w:hAnsi="Arial"/>
          <w:sz w:val="22"/>
          <w:szCs w:val="22"/>
          <w:i w:val="1"/>
          <w:iCs w:val="1"/>
          <w:color w:val="auto"/>
        </w:rPr>
        <w:t>Private Placement Legend.</w:t>
      </w:r>
    </w:p>
    <w:p>
      <w:pPr>
        <w:spacing w:after="0" w:line="233" w:lineRule="exact"/>
        <w:rPr>
          <w:rFonts w:ascii="Arial" w:cs="Arial" w:eastAsia="Arial" w:hAnsi="Arial"/>
          <w:sz w:val="22"/>
          <w:szCs w:val="22"/>
          <w:color w:val="auto"/>
        </w:rPr>
      </w:pPr>
    </w:p>
    <w:p>
      <w:pPr>
        <w:ind w:firstLine="2066"/>
        <w:spacing w:after="0" w:line="328" w:lineRule="auto"/>
        <w:tabs>
          <w:tab w:leader="none" w:pos="2980" w:val="left"/>
        </w:tabs>
        <w:numPr>
          <w:ilvl w:val="2"/>
          <w:numId w:val="94"/>
        </w:numPr>
        <w:rPr>
          <w:rFonts w:ascii="Arial" w:cs="Arial" w:eastAsia="Arial" w:hAnsi="Arial"/>
          <w:sz w:val="19"/>
          <w:szCs w:val="19"/>
          <w:color w:val="auto"/>
        </w:rPr>
      </w:pPr>
      <w:r>
        <w:rPr>
          <w:rFonts w:ascii="Arial" w:cs="Arial" w:eastAsia="Arial" w:hAnsi="Arial"/>
          <w:sz w:val="19"/>
          <w:szCs w:val="19"/>
          <w:color w:val="auto"/>
        </w:rPr>
        <w:t>Except as permitted by subparagraph (B) below, each Global Note and each Definitive Note (and all Notes issued in exchange therefor or substitution thereof) shall bear the legend in substantially the following form:</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NOTE HAS NOT BEEN REGISTERED UNDER THE U.S. SECURITIES ACT OF 1933, AS AMENDED (THE “SECURITIES ACT”) AND, ACCORDINGLY, MAY NOT BE OFFERED, SOLD, PLEDGED OR OTHERWISE TRANSFERRED WITHIN THE UNITED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1" w:name="page72"/>
    <w:bookmarkEnd w:id="71"/>
    <w:p>
      <w:pPr>
        <w:spacing w:after="0" w:line="250" w:lineRule="auto"/>
        <w:rPr>
          <w:sz w:val="20"/>
          <w:szCs w:val="20"/>
          <w:color w:val="auto"/>
        </w:rPr>
      </w:pPr>
      <w:r>
        <w:rPr>
          <w:rFonts w:ascii="Arial" w:cs="Arial" w:eastAsia="Arial" w:hAnsi="Arial"/>
          <w:sz w:val="21"/>
          <w:szCs w:val="21"/>
          <w:color w:val="auto"/>
        </w:rPr>
        <w:t>STATES OR TO, OR FOR THE ACCOUNT OR BENEFIT OF, U.S. PERSONS, EXCEPT AS SET FORTH IN THE FOLLOWING SENTENCE. BY ITS ACQUISITION HEREOF OR OF A BENEFICIAL INTEREST HEREIN, THE HOLDER</w:t>
      </w:r>
    </w:p>
    <w:p>
      <w:pPr>
        <w:spacing w:after="0" w:line="1" w:lineRule="exact"/>
        <w:rPr>
          <w:sz w:val="20"/>
          <w:szCs w:val="20"/>
          <w:color w:val="auto"/>
        </w:rPr>
      </w:pPr>
    </w:p>
    <w:p>
      <w:pPr>
        <w:jc w:val="both"/>
        <w:ind w:firstLine="8"/>
        <w:spacing w:after="0" w:line="241" w:lineRule="auto"/>
        <w:tabs>
          <w:tab w:leader="none" w:pos="314" w:val="left"/>
        </w:tabs>
        <w:numPr>
          <w:ilvl w:val="0"/>
          <w:numId w:val="95"/>
        </w:numPr>
        <w:rPr>
          <w:rFonts w:ascii="Arial" w:cs="Arial" w:eastAsia="Arial" w:hAnsi="Arial"/>
          <w:sz w:val="21"/>
          <w:szCs w:val="21"/>
          <w:color w:val="auto"/>
        </w:rPr>
      </w:pPr>
      <w:r>
        <w:rPr>
          <w:rFonts w:ascii="Arial" w:cs="Arial" w:eastAsia="Arial" w:hAnsi="Arial"/>
          <w:sz w:val="21"/>
          <w:szCs w:val="21"/>
          <w:color w:val="auto"/>
        </w:rPr>
        <w:t>REPRESENTS THAT (A) IT IS A “QUALIFIED INSTITUTIONAL BUYER” (AS DEFINED IN RULE 144A UNDER THE SECURITIES ACT) (A “QIB”), (B) IT IS NOT A U.S. PERSON, IS NOT ACQUIRING THIS NOTE FOR THE ACCOUNT OR BENEFIT OF A U.S. PERSON AND IS ACQUIRING THIS NOTE IN AN OFFSHORE TRANSACTION IN COMPLIANCE WITH REGULATION S UNDER THE SECURITIES ACT OR (C) IT IS AN INSTITUTIONAL “ACCREDITED INVESTOR” (AS DEFINED IN RULE 501(A)(1), (2), (3) OR (7) OF REGULATION D UNDER THE SECURITIES ACT) (AN “IAI”),</w:t>
      </w:r>
    </w:p>
    <w:p>
      <w:pPr>
        <w:spacing w:after="0" w:line="3" w:lineRule="exact"/>
        <w:rPr>
          <w:rFonts w:ascii="Arial" w:cs="Arial" w:eastAsia="Arial" w:hAnsi="Arial"/>
          <w:sz w:val="21"/>
          <w:szCs w:val="21"/>
          <w:color w:val="auto"/>
        </w:rPr>
      </w:pPr>
    </w:p>
    <w:p>
      <w:pPr>
        <w:jc w:val="both"/>
        <w:ind w:firstLine="8"/>
        <w:spacing w:after="0" w:line="241" w:lineRule="auto"/>
        <w:tabs>
          <w:tab w:leader="none" w:pos="327" w:val="left"/>
        </w:tabs>
        <w:numPr>
          <w:ilvl w:val="0"/>
          <w:numId w:val="95"/>
        </w:numPr>
        <w:rPr>
          <w:rFonts w:ascii="Arial" w:cs="Arial" w:eastAsia="Arial" w:hAnsi="Arial"/>
          <w:sz w:val="21"/>
          <w:szCs w:val="21"/>
          <w:color w:val="auto"/>
        </w:rPr>
      </w:pPr>
      <w:r>
        <w:rPr>
          <w:rFonts w:ascii="Arial" w:cs="Arial" w:eastAsia="Arial" w:hAnsi="Arial"/>
          <w:sz w:val="21"/>
          <w:szCs w:val="21"/>
          <w:color w:val="auto"/>
        </w:rPr>
        <w:t>AGREES THAT IT WILL NOT, PRIOR TO THE DATE [</w:t>
      </w:r>
      <w:r>
        <w:rPr>
          <w:rFonts w:ascii="Arial" w:cs="Arial" w:eastAsia="Arial" w:hAnsi="Arial"/>
          <w:sz w:val="21"/>
          <w:szCs w:val="21"/>
          <w:b w:val="1"/>
          <w:bCs w:val="1"/>
          <w:color w:val="auto"/>
        </w:rPr>
        <w:t>IN THE CASE OF RULE 144A NOTES:</w:t>
      </w:r>
      <w:r>
        <w:rPr>
          <w:rFonts w:ascii="Arial" w:cs="Arial" w:eastAsia="Arial" w:hAnsi="Arial"/>
          <w:sz w:val="21"/>
          <w:szCs w:val="21"/>
          <w:color w:val="auto"/>
        </w:rPr>
        <w:t xml:space="preserve"> ON WHICH THE COMPANY INSTRUCTS THE TRUSTEE THAT THIS RESTRICTIVE LEGEND SHALL BE DEEMED REMOVED (WHICH INSTRUCTION IS EXPECTED TO BE GIVEN ON OR ABOUT THE ONE-YEAR ANNIVERSARY OF THE ISSUANCE OF THIS NOTE)] [</w:t>
      </w:r>
      <w:r>
        <w:rPr>
          <w:rFonts w:ascii="Arial" w:cs="Arial" w:eastAsia="Arial" w:hAnsi="Arial"/>
          <w:sz w:val="21"/>
          <w:szCs w:val="21"/>
          <w:b w:val="1"/>
          <w:bCs w:val="1"/>
          <w:color w:val="auto"/>
        </w:rPr>
        <w:t>IN THE CASE OF REGULATION S NOTES</w:t>
      </w:r>
      <w:r>
        <w:rPr>
          <w:rFonts w:ascii="Arial" w:cs="Arial" w:eastAsia="Arial" w:hAnsi="Arial"/>
          <w:sz w:val="21"/>
          <w:szCs w:val="21"/>
          <w:color w:val="auto"/>
        </w:rPr>
        <w:t>: 40 DAYS AFTER THE LATER OF THE ORIGINAL ISSUE DATE HEREOF AND THE LAST DATE ON WHICH THE COMPANY OR ANY AFFILIATE OF THE COMPANY WAS THE OWNER OF THIS NOTE (OR ANY PREDECESSOR OF SUCH NOTE)], RESELL OR OTHERWISE TRANSFER THIS NOTE EXCEPT (A) TO THE COMPANY OR ANY SUBSIDIARY THEREOF, (B) TO A PERSON WHOM THE HOLDER REASONABLY BELIEVES IS A QIB PURCHASING FOR ITS OWN ACCOUNT OR FOR THE ACCOUNT OF A QIB IN COMPLIANCE WITH RULE 144A UNDER THE SECURITIES ACT, (C) OUTSIDE THE UNITED STATES IN AN OFFSHORE TRANSACTION IN COMPLIANCE WITH RULE 904 UNDER THE SECURITIES ACT, (D) PURSUANT TO THE EXEMPTION FROM REGISTRATION PROVIDED BY RULE 144 UND ER THE SECURITIES ACT (IF AVAILABLE),</w:t>
      </w:r>
    </w:p>
    <w:p>
      <w:pPr>
        <w:spacing w:after="0" w:line="6" w:lineRule="exact"/>
        <w:rPr>
          <w:rFonts w:ascii="Arial" w:cs="Arial" w:eastAsia="Arial" w:hAnsi="Arial"/>
          <w:sz w:val="21"/>
          <w:szCs w:val="21"/>
          <w:color w:val="auto"/>
        </w:rPr>
      </w:pPr>
    </w:p>
    <w:p>
      <w:pPr>
        <w:jc w:val="both"/>
        <w:spacing w:after="0" w:line="241" w:lineRule="auto"/>
        <w:rPr>
          <w:rFonts w:ascii="Arial" w:cs="Arial" w:eastAsia="Arial" w:hAnsi="Arial"/>
          <w:sz w:val="21"/>
          <w:szCs w:val="21"/>
          <w:color w:val="auto"/>
        </w:rPr>
      </w:pPr>
      <w:r>
        <w:rPr>
          <w:rFonts w:ascii="Arial" w:cs="Arial" w:eastAsia="Arial" w:hAnsi="Arial"/>
          <w:sz w:val="21"/>
          <w:szCs w:val="21"/>
          <w:color w:val="auto"/>
        </w:rPr>
        <w:t>(E) TO AN IAI THAT, PRIOR TO SUCH TRANSFER, FURNISHES TO THE TRUSTEE A SIGNED LETTER CONTAINING CERTAIN REPRESENTATIONS AND AGREEMENTS RELATING TO THE REGISTRATION OF TRANSFER OF THIS NOTE (THE FORM OF WHICH LETTER CAN BE OBTAINED FROM THE TRUSTEE) AND AN OPINION OF COUNSEL ACCEPTABLE TO THE COMPANY THAT SUCH TRANSFER IS IN COMPLIANCE WITH THE SECURITIES ACT OR</w:t>
      </w:r>
    </w:p>
    <w:p>
      <w:pPr>
        <w:spacing w:after="0" w:line="2" w:lineRule="exact"/>
        <w:rPr>
          <w:rFonts w:ascii="Arial" w:cs="Arial" w:eastAsia="Arial" w:hAnsi="Arial"/>
          <w:sz w:val="21"/>
          <w:szCs w:val="21"/>
          <w:color w:val="auto"/>
        </w:rPr>
      </w:pPr>
    </w:p>
    <w:p>
      <w:pPr>
        <w:jc w:val="both"/>
        <w:spacing w:after="0" w:line="243" w:lineRule="auto"/>
        <w:rPr>
          <w:rFonts w:ascii="Arial" w:cs="Arial" w:eastAsia="Arial" w:hAnsi="Arial"/>
          <w:sz w:val="21"/>
          <w:szCs w:val="21"/>
          <w:color w:val="auto"/>
        </w:rPr>
      </w:pPr>
      <w:r>
        <w:rPr>
          <w:rFonts w:ascii="Arial" w:cs="Arial" w:eastAsia="Arial" w:hAnsi="Arial"/>
          <w:sz w:val="21"/>
          <w:szCs w:val="21"/>
          <w:color w:val="auto"/>
        </w:rPr>
        <w:t>(F) PURSUANT TO AN EFFECTIVE REGISTRATION STATEMENT UNDER THE SECURITIES ACT AND, IN EACH CASE, IN ACCORDANCE WITH APPLICABLE STATE SECURITIES LAWS, AND (3) AGREES THAT IT WILL DELIVER TO EACH PERSON TO WHOM THIS NOTE OR AN INTEREST HEREIN IS TRANSFERRED A NOTICE SUBSTANTIALLY TO THE EFFECT OF THIS LEGEND. IN CONNECTION WITH ANY TRANSFER OF THIS NOTE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w:t>
      </w:r>
    </w:p>
    <w:p>
      <w:pPr>
        <w:spacing w:after="0" w:line="211" w:lineRule="exact"/>
        <w:rPr>
          <w:rFonts w:ascii="Arial" w:cs="Arial" w:eastAsia="Arial" w:hAnsi="Arial"/>
          <w:sz w:val="21"/>
          <w:szCs w:val="21"/>
          <w:color w:val="auto"/>
        </w:rPr>
      </w:pPr>
    </w:p>
    <w:p>
      <w:pPr>
        <w:ind w:firstLine="2146"/>
        <w:spacing w:after="0" w:line="251" w:lineRule="auto"/>
        <w:tabs>
          <w:tab w:leader="none" w:pos="3491" w:val="left"/>
        </w:tabs>
        <w:numPr>
          <w:ilvl w:val="1"/>
          <w:numId w:val="95"/>
        </w:numPr>
        <w:rPr>
          <w:rFonts w:ascii="Arial" w:cs="Arial" w:eastAsia="Arial" w:hAnsi="Arial"/>
          <w:sz w:val="22"/>
          <w:szCs w:val="22"/>
          <w:color w:val="auto"/>
        </w:rPr>
      </w:pPr>
      <w:r>
        <w:rPr>
          <w:rFonts w:ascii="Arial" w:cs="Arial" w:eastAsia="Arial" w:hAnsi="Arial"/>
          <w:sz w:val="22"/>
          <w:szCs w:val="22"/>
          <w:color w:val="auto"/>
        </w:rPr>
        <w:t>Notwithstanding the foregoing, any Global Note or Definitive Note issued pursuant to subparagraphs (b)(4), (c)(3), (c)(4), (d)(2), (d)(3), (e)(2), (e)(3) or (f) of this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2" w:name="page73"/>
    <w:bookmarkEnd w:id="72"/>
    <w:p>
      <w:pPr>
        <w:spacing w:after="0"/>
        <w:rPr>
          <w:sz w:val="20"/>
          <w:szCs w:val="20"/>
          <w:color w:val="auto"/>
        </w:rPr>
      </w:pPr>
      <w:r>
        <w:rPr>
          <w:rFonts w:ascii="Arial" w:cs="Arial" w:eastAsia="Arial" w:hAnsi="Arial"/>
          <w:sz w:val="19"/>
          <w:szCs w:val="19"/>
          <w:color w:val="auto"/>
        </w:rPr>
        <w:t>Section 2.06 (and all Notes issued in exchange therefor or substitution thereof) shall not bear the Private Placement Legend.</w:t>
      </w:r>
    </w:p>
    <w:p>
      <w:pPr>
        <w:spacing w:after="0" w:line="268" w:lineRule="exact"/>
        <w:rPr>
          <w:sz w:val="20"/>
          <w:szCs w:val="20"/>
          <w:color w:val="auto"/>
        </w:rPr>
      </w:pPr>
    </w:p>
    <w:p>
      <w:pPr>
        <w:ind w:left="2160" w:hanging="855"/>
        <w:spacing w:after="0"/>
        <w:tabs>
          <w:tab w:leader="none" w:pos="2160" w:val="left"/>
        </w:tabs>
        <w:numPr>
          <w:ilvl w:val="0"/>
          <w:numId w:val="96"/>
        </w:numPr>
        <w:rPr>
          <w:rFonts w:ascii="Arial" w:cs="Arial" w:eastAsia="Arial" w:hAnsi="Arial"/>
          <w:sz w:val="22"/>
          <w:szCs w:val="22"/>
          <w:color w:val="auto"/>
        </w:rPr>
      </w:pPr>
      <w:r>
        <w:rPr>
          <w:rFonts w:ascii="Arial" w:cs="Arial" w:eastAsia="Arial" w:hAnsi="Arial"/>
          <w:sz w:val="22"/>
          <w:szCs w:val="22"/>
          <w:i w:val="1"/>
          <w:iCs w:val="1"/>
          <w:color w:val="auto"/>
        </w:rPr>
        <w:t xml:space="preserve">Global Note Legend. </w:t>
      </w:r>
      <w:r>
        <w:rPr>
          <w:rFonts w:ascii="Arial" w:cs="Arial" w:eastAsia="Arial" w:hAnsi="Arial"/>
          <w:sz w:val="22"/>
          <w:szCs w:val="22"/>
          <w:color w:val="auto"/>
        </w:rPr>
        <w:t>Each Global Note shall bear a legend in substantially the following form:</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ISSUERS.</w:t>
      </w:r>
    </w:p>
    <w:p>
      <w:pPr>
        <w:spacing w:after="0" w:line="21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14" w:lineRule="exact"/>
        <w:rPr>
          <w:sz w:val="20"/>
          <w:szCs w:val="20"/>
          <w:color w:val="auto"/>
        </w:rPr>
      </w:pPr>
    </w:p>
    <w:p>
      <w:pPr>
        <w:ind w:left="660" w:firstLine="645"/>
        <w:spacing w:after="0" w:line="251" w:lineRule="auto"/>
        <w:tabs>
          <w:tab w:leader="none" w:pos="2371" w:val="left"/>
        </w:tabs>
        <w:numPr>
          <w:ilvl w:val="0"/>
          <w:numId w:val="97"/>
        </w:numPr>
        <w:rPr>
          <w:rFonts w:ascii="Arial" w:cs="Arial" w:eastAsia="Arial" w:hAnsi="Arial"/>
          <w:sz w:val="22"/>
          <w:szCs w:val="22"/>
          <w:color w:val="auto"/>
        </w:rPr>
      </w:pPr>
      <w:r>
        <w:rPr>
          <w:rFonts w:ascii="Arial" w:cs="Arial" w:eastAsia="Arial" w:hAnsi="Arial"/>
          <w:sz w:val="22"/>
          <w:szCs w:val="22"/>
          <w:i w:val="1"/>
          <w:iCs w:val="1"/>
          <w:color w:val="auto"/>
        </w:rPr>
        <w:t xml:space="preserve">Regulation S Temporary Global Note Legend. </w:t>
      </w:r>
      <w:r>
        <w:rPr>
          <w:rFonts w:ascii="Arial" w:cs="Arial" w:eastAsia="Arial" w:hAnsi="Arial"/>
          <w:sz w:val="22"/>
          <w:szCs w:val="22"/>
          <w:color w:val="auto"/>
        </w:rPr>
        <w:t>The Regulation S Temporary Global Note shall bear a</w:t>
      </w:r>
      <w:r>
        <w:rPr>
          <w:rFonts w:ascii="Arial" w:cs="Arial" w:eastAsia="Arial" w:hAnsi="Arial"/>
          <w:sz w:val="22"/>
          <w:szCs w:val="22"/>
          <w:i w:val="1"/>
          <w:iCs w:val="1"/>
          <w:color w:val="auto"/>
        </w:rPr>
        <w:t xml:space="preserve"> </w:t>
      </w:r>
      <w:r>
        <w:rPr>
          <w:rFonts w:ascii="Arial" w:cs="Arial" w:eastAsia="Arial" w:hAnsi="Arial"/>
          <w:sz w:val="22"/>
          <w:szCs w:val="22"/>
          <w:color w:val="auto"/>
        </w:rPr>
        <w:t>Legend in substantially the following form:</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RIGHTS ATTACHING TO THIS REGULATION S TEMPORARY GLOBAL NOTE, AND THE CONDITIONS AND PROCEDURES GOVERNING ITS EXCHANGE FOR CERTIFICATED NOTES, ARE AS SPECIFIED IN THE INDENTURE (AS DEFINED HEREIN). NEITHER THE HOLDER NOR THE BENEFICIAL OWNERS OF THIS REGULATION S TEMPORARY GLOBAL NOTE SHALL BE ENTITLED TO RECEIVE PAYMENT OF INTEREST HEREON.”</w:t>
      </w:r>
    </w:p>
    <w:p>
      <w:pPr>
        <w:spacing w:after="0" w:line="201" w:lineRule="exact"/>
        <w:rPr>
          <w:sz w:val="20"/>
          <w:szCs w:val="20"/>
          <w:color w:val="auto"/>
        </w:rPr>
      </w:pPr>
    </w:p>
    <w:p>
      <w:pPr>
        <w:ind w:firstLine="656"/>
        <w:spacing w:after="0" w:line="251" w:lineRule="auto"/>
        <w:tabs>
          <w:tab w:leader="none" w:pos="1386" w:val="left"/>
        </w:tabs>
        <w:numPr>
          <w:ilvl w:val="0"/>
          <w:numId w:val="98"/>
        </w:numPr>
        <w:rPr>
          <w:rFonts w:ascii="Arial" w:cs="Arial" w:eastAsia="Arial" w:hAnsi="Arial"/>
          <w:sz w:val="22"/>
          <w:szCs w:val="22"/>
          <w:color w:val="auto"/>
        </w:rPr>
      </w:pPr>
      <w:r>
        <w:rPr>
          <w:rFonts w:ascii="Arial" w:cs="Arial" w:eastAsia="Arial" w:hAnsi="Arial"/>
          <w:sz w:val="22"/>
          <w:szCs w:val="22"/>
          <w:i w:val="1"/>
          <w:iCs w:val="1"/>
          <w:color w:val="auto"/>
        </w:rPr>
        <w:t xml:space="preserve">Cancellation and/or Adjustment of Global Notes. </w:t>
      </w:r>
      <w:r>
        <w:rPr>
          <w:rFonts w:ascii="Arial" w:cs="Arial" w:eastAsia="Arial" w:hAnsi="Arial"/>
          <w:sz w:val="22"/>
          <w:szCs w:val="22"/>
          <w:color w:val="auto"/>
        </w:rPr>
        <w:t>At such time as all beneficial interests in a particular Global Note</w:t>
      </w:r>
      <w:r>
        <w:rPr>
          <w:rFonts w:ascii="Arial" w:cs="Arial" w:eastAsia="Arial" w:hAnsi="Arial"/>
          <w:sz w:val="22"/>
          <w:szCs w:val="22"/>
          <w:i w:val="1"/>
          <w:iCs w:val="1"/>
          <w:color w:val="auto"/>
        </w:rPr>
        <w:t xml:space="preserve"> </w:t>
      </w:r>
      <w:r>
        <w:rPr>
          <w:rFonts w:ascii="Arial" w:cs="Arial" w:eastAsia="Arial" w:hAnsi="Arial"/>
          <w:sz w:val="22"/>
          <w:szCs w:val="22"/>
          <w:color w:val="auto"/>
        </w:rPr>
        <w:t>have been exchanged for Definitive Notes or a particular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3" w:name="page74"/>
    <w:bookmarkEnd w:id="73"/>
    <w:p>
      <w:pPr>
        <w:jc w:val="both"/>
        <w:spacing w:after="0" w:line="245" w:lineRule="auto"/>
        <w:rPr>
          <w:sz w:val="20"/>
          <w:szCs w:val="20"/>
          <w:color w:val="auto"/>
        </w:rPr>
      </w:pPr>
      <w:r>
        <w:rPr>
          <w:rFonts w:ascii="Arial" w:cs="Arial" w:eastAsia="Arial" w:hAnsi="Arial"/>
          <w:sz w:val="21"/>
          <w:szCs w:val="21"/>
          <w:color w:val="auto"/>
        </w:rPr>
        <w:t>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212" w:lineRule="exact"/>
        <w:rPr>
          <w:sz w:val="20"/>
          <w:szCs w:val="20"/>
          <w:color w:val="auto"/>
        </w:rPr>
      </w:pPr>
    </w:p>
    <w:p>
      <w:pPr>
        <w:ind w:left="1340" w:hanging="684"/>
        <w:spacing w:after="0"/>
        <w:tabs>
          <w:tab w:leader="none" w:pos="1340" w:val="left"/>
        </w:tabs>
        <w:numPr>
          <w:ilvl w:val="0"/>
          <w:numId w:val="99"/>
        </w:numPr>
        <w:rPr>
          <w:rFonts w:ascii="Arial" w:cs="Arial" w:eastAsia="Arial" w:hAnsi="Arial"/>
          <w:sz w:val="22"/>
          <w:szCs w:val="22"/>
          <w:color w:val="auto"/>
        </w:rPr>
      </w:pPr>
      <w:r>
        <w:rPr>
          <w:rFonts w:ascii="Arial" w:cs="Arial" w:eastAsia="Arial" w:hAnsi="Arial"/>
          <w:sz w:val="22"/>
          <w:szCs w:val="22"/>
          <w:i w:val="1"/>
          <w:iCs w:val="1"/>
          <w:color w:val="auto"/>
        </w:rPr>
        <w:t>General Provisions Relating to Transfers and Exchanges.</w:t>
      </w:r>
    </w:p>
    <w:p>
      <w:pPr>
        <w:spacing w:after="0" w:line="233" w:lineRule="exact"/>
        <w:rPr>
          <w:rFonts w:ascii="Arial" w:cs="Arial" w:eastAsia="Arial" w:hAnsi="Arial"/>
          <w:sz w:val="22"/>
          <w:szCs w:val="22"/>
          <w:color w:val="auto"/>
        </w:rPr>
      </w:pPr>
    </w:p>
    <w:p>
      <w:pPr>
        <w:jc w:val="both"/>
        <w:ind w:left="660" w:firstLine="645"/>
        <w:spacing w:after="0"/>
        <w:tabs>
          <w:tab w:leader="none" w:pos="2549" w:val="left"/>
        </w:tabs>
        <w:numPr>
          <w:ilvl w:val="1"/>
          <w:numId w:val="99"/>
        </w:numPr>
        <w:rPr>
          <w:rFonts w:ascii="Arial" w:cs="Arial" w:eastAsia="Arial" w:hAnsi="Arial"/>
          <w:sz w:val="22"/>
          <w:szCs w:val="22"/>
          <w:color w:val="auto"/>
        </w:rPr>
      </w:pPr>
      <w:r>
        <w:rPr>
          <w:rFonts w:ascii="Arial" w:cs="Arial" w:eastAsia="Arial" w:hAnsi="Arial"/>
          <w:sz w:val="22"/>
          <w:szCs w:val="22"/>
          <w:color w:val="auto"/>
        </w:rPr>
        <w:t>To permit registrations of transfers and exchanges, the Issuers shall execute and the Trustee shall authenticate Global Notes and Definitive Notes upon receipt of an Authentication Order in accordance with Section 2.02 or at the Registrar’s request.</w:t>
      </w:r>
    </w:p>
    <w:p>
      <w:pPr>
        <w:spacing w:after="0" w:line="213" w:lineRule="exact"/>
        <w:rPr>
          <w:rFonts w:ascii="Arial" w:cs="Arial" w:eastAsia="Arial" w:hAnsi="Arial"/>
          <w:sz w:val="22"/>
          <w:szCs w:val="22"/>
          <w:color w:val="auto"/>
        </w:rPr>
      </w:pPr>
    </w:p>
    <w:p>
      <w:pPr>
        <w:jc w:val="both"/>
        <w:ind w:left="660" w:firstLine="645"/>
        <w:spacing w:after="0" w:line="287" w:lineRule="auto"/>
        <w:tabs>
          <w:tab w:leader="none" w:pos="2227" w:val="left"/>
        </w:tabs>
        <w:numPr>
          <w:ilvl w:val="1"/>
          <w:numId w:val="99"/>
        </w:numPr>
        <w:rPr>
          <w:rFonts w:ascii="Arial" w:cs="Arial" w:eastAsia="Arial" w:hAnsi="Arial"/>
          <w:sz w:val="19"/>
          <w:szCs w:val="19"/>
          <w:color w:val="auto"/>
        </w:rPr>
      </w:pPr>
      <w:r>
        <w:rPr>
          <w:rFonts w:ascii="Arial" w:cs="Arial" w:eastAsia="Arial" w:hAnsi="Arial"/>
          <w:sz w:val="19"/>
          <w:szCs w:val="19"/>
          <w:color w:val="auto"/>
        </w:rPr>
        <w:t>No service charge shall be made to a Holder of a Global Note or to a Holder of a Definitive Note for any registration of transfer or exchange, but the Issuers may require payment of a sum sufficient to cover any transfer tax or similar governmental charge payable in connection therewith (other than any such transfer taxes or similar governmental charge payable upon exchange or transfer pursuant to Sections 2.10, 3.06, 3.10, 4.10, 4.15, 4.16 and 9.05 hereof).</w:t>
      </w:r>
    </w:p>
    <w:p>
      <w:pPr>
        <w:spacing w:after="0" w:line="170" w:lineRule="exact"/>
        <w:rPr>
          <w:rFonts w:ascii="Arial" w:cs="Arial" w:eastAsia="Arial" w:hAnsi="Arial"/>
          <w:sz w:val="19"/>
          <w:szCs w:val="19"/>
          <w:color w:val="auto"/>
        </w:rPr>
      </w:pPr>
    </w:p>
    <w:p>
      <w:pPr>
        <w:ind w:left="660" w:right="20" w:firstLine="645"/>
        <w:spacing w:after="0" w:line="251" w:lineRule="auto"/>
        <w:tabs>
          <w:tab w:leader="none" w:pos="2161"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Registrar shall not be required to register the transfer of or exchange any Note selected for redemption in whole or in part, except the unredeemed portion of any Note being redeemed in part.</w:t>
      </w:r>
    </w:p>
    <w:p>
      <w:pPr>
        <w:spacing w:after="0" w:line="200" w:lineRule="exact"/>
        <w:rPr>
          <w:rFonts w:ascii="Arial" w:cs="Arial" w:eastAsia="Arial" w:hAnsi="Arial"/>
          <w:sz w:val="22"/>
          <w:szCs w:val="22"/>
          <w:color w:val="auto"/>
        </w:rPr>
      </w:pPr>
    </w:p>
    <w:p>
      <w:pPr>
        <w:jc w:val="both"/>
        <w:ind w:left="660" w:firstLine="645"/>
        <w:spacing w:after="0" w:line="238" w:lineRule="auto"/>
        <w:tabs>
          <w:tab w:leader="none" w:pos="2365" w:val="left"/>
        </w:tabs>
        <w:numPr>
          <w:ilvl w:val="1"/>
          <w:numId w:val="99"/>
        </w:numPr>
        <w:rPr>
          <w:rFonts w:ascii="Arial" w:cs="Arial" w:eastAsia="Arial" w:hAnsi="Arial"/>
          <w:sz w:val="22"/>
          <w:szCs w:val="22"/>
          <w:color w:val="auto"/>
        </w:rPr>
      </w:pPr>
      <w:r>
        <w:rPr>
          <w:rFonts w:ascii="Arial" w:cs="Arial" w:eastAsia="Arial" w:hAnsi="Arial"/>
          <w:sz w:val="22"/>
          <w:szCs w:val="22"/>
          <w:color w:val="auto"/>
        </w:rPr>
        <w:t>All Global Notes and Definitive Notes issued upon any registration of transfer or exchange of Global Notes or Definitive Notes shall be the valid obligations of the Issuers, evidencing the same debt, and entitled to the same benefits under this Indenture, as the Global Notes or Definitive Notes surrendered upon such registration of transfer or exchange.</w:t>
      </w:r>
    </w:p>
    <w:p>
      <w:pPr>
        <w:spacing w:after="0" w:line="212" w:lineRule="exact"/>
        <w:rPr>
          <w:rFonts w:ascii="Arial" w:cs="Arial" w:eastAsia="Arial" w:hAnsi="Arial"/>
          <w:sz w:val="22"/>
          <w:szCs w:val="22"/>
          <w:color w:val="auto"/>
        </w:rPr>
      </w:pPr>
    </w:p>
    <w:p>
      <w:pPr>
        <w:ind w:left="2160" w:hanging="855"/>
        <w:spacing w:after="0"/>
        <w:tabs>
          <w:tab w:leader="none" w:pos="2160" w:val="left"/>
        </w:tabs>
        <w:numPr>
          <w:ilvl w:val="1"/>
          <w:numId w:val="99"/>
        </w:numPr>
        <w:rPr>
          <w:rFonts w:ascii="Arial" w:cs="Arial" w:eastAsia="Arial" w:hAnsi="Arial"/>
          <w:sz w:val="22"/>
          <w:szCs w:val="22"/>
          <w:color w:val="auto"/>
        </w:rPr>
      </w:pPr>
      <w:r>
        <w:rPr>
          <w:rFonts w:ascii="Arial" w:cs="Arial" w:eastAsia="Arial" w:hAnsi="Arial"/>
          <w:sz w:val="22"/>
          <w:szCs w:val="22"/>
          <w:color w:val="auto"/>
        </w:rPr>
        <w:t>Neither the Registrar nor the Issuers shall be required:</w:t>
      </w:r>
    </w:p>
    <w:p>
      <w:pPr>
        <w:spacing w:after="0" w:line="233" w:lineRule="exact"/>
        <w:rPr>
          <w:rFonts w:ascii="Arial" w:cs="Arial" w:eastAsia="Arial" w:hAnsi="Arial"/>
          <w:sz w:val="22"/>
          <w:szCs w:val="22"/>
          <w:color w:val="auto"/>
        </w:rPr>
      </w:pPr>
    </w:p>
    <w:p>
      <w:pPr>
        <w:jc w:val="both"/>
        <w:ind w:firstLine="2093"/>
        <w:spacing w:after="0"/>
        <w:tabs>
          <w:tab w:leader="none" w:pos="3158" w:val="left"/>
        </w:tabs>
        <w:numPr>
          <w:ilvl w:val="2"/>
          <w:numId w:val="99"/>
        </w:numPr>
        <w:rPr>
          <w:rFonts w:ascii="Arial" w:cs="Arial" w:eastAsia="Arial" w:hAnsi="Arial"/>
          <w:sz w:val="22"/>
          <w:szCs w:val="22"/>
          <w:color w:val="auto"/>
        </w:rPr>
      </w:pPr>
      <w:r>
        <w:rPr>
          <w:rFonts w:ascii="Arial" w:cs="Arial" w:eastAsia="Arial" w:hAnsi="Arial"/>
          <w:sz w:val="22"/>
          <w:szCs w:val="22"/>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213" w:lineRule="exact"/>
        <w:rPr>
          <w:rFonts w:ascii="Arial" w:cs="Arial" w:eastAsia="Arial" w:hAnsi="Arial"/>
          <w:sz w:val="22"/>
          <w:szCs w:val="22"/>
          <w:color w:val="auto"/>
        </w:rPr>
      </w:pPr>
    </w:p>
    <w:p>
      <w:pPr>
        <w:ind w:right="20" w:firstLine="2085"/>
        <w:spacing w:after="0" w:line="251" w:lineRule="auto"/>
        <w:tabs>
          <w:tab w:leader="none" w:pos="3093" w:val="left"/>
        </w:tabs>
        <w:numPr>
          <w:ilvl w:val="2"/>
          <w:numId w:val="99"/>
        </w:numPr>
        <w:rPr>
          <w:rFonts w:ascii="Arial" w:cs="Arial" w:eastAsia="Arial" w:hAnsi="Arial"/>
          <w:sz w:val="22"/>
          <w:szCs w:val="22"/>
          <w:color w:val="auto"/>
        </w:rPr>
      </w:pPr>
      <w:r>
        <w:rPr>
          <w:rFonts w:ascii="Arial" w:cs="Arial" w:eastAsia="Arial" w:hAnsi="Arial"/>
          <w:sz w:val="22"/>
          <w:szCs w:val="22"/>
          <w:color w:val="auto"/>
        </w:rPr>
        <w:t>to register the transfer of or to exchange any Note selected for redemption in whole or in part, except the unredeemed portion of any Note being redeemed in part; or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4" w:name="page75"/>
    <w:bookmarkEnd w:id="74"/>
    <w:p>
      <w:pPr>
        <w:ind w:left="3080" w:hanging="998"/>
        <w:spacing w:after="0"/>
        <w:tabs>
          <w:tab w:leader="none" w:pos="308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to register the transfer of or to exchange a Note between a record date and the next succeeding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w:t>
      </w:r>
    </w:p>
    <w:p>
      <w:pPr>
        <w:spacing w:after="0" w:line="215" w:lineRule="exact"/>
        <w:rPr>
          <w:sz w:val="20"/>
          <w:szCs w:val="20"/>
          <w:color w:val="auto"/>
        </w:rPr>
      </w:pPr>
    </w:p>
    <w:p>
      <w:pPr>
        <w:jc w:val="both"/>
        <w:ind w:left="660" w:firstLine="645"/>
        <w:spacing w:after="0" w:line="238" w:lineRule="auto"/>
        <w:tabs>
          <w:tab w:leader="none" w:pos="235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Prior to due presentment for the registration of a transfer of any Note, the Trustee, any Agent and the Issuers may deem and treat the Person in whose name any Note is registered as the absolute owner of such Note for the purpose of receiving payment of principal of and interest on such Notes and for all other purposes, and none of the Trustee, any Agent or the Issuers shall be affected by notice to the contrary.</w:t>
      </w:r>
    </w:p>
    <w:p>
      <w:pPr>
        <w:spacing w:after="0" w:line="212" w:lineRule="exact"/>
        <w:rPr>
          <w:rFonts w:ascii="Arial" w:cs="Arial" w:eastAsia="Arial" w:hAnsi="Arial"/>
          <w:sz w:val="22"/>
          <w:szCs w:val="22"/>
          <w:color w:val="auto"/>
        </w:rPr>
      </w:pPr>
    </w:p>
    <w:p>
      <w:pPr>
        <w:ind w:left="660" w:firstLine="645"/>
        <w:spacing w:after="0" w:line="251" w:lineRule="auto"/>
        <w:tabs>
          <w:tab w:leader="none" w:pos="2341"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Trustee shall authenticate Global Notes and Definitive Notes in accordance with the provisions of Section 2.02 hereof.</w:t>
      </w:r>
    </w:p>
    <w:p>
      <w:pPr>
        <w:spacing w:after="0" w:line="200" w:lineRule="exact"/>
        <w:rPr>
          <w:rFonts w:ascii="Arial" w:cs="Arial" w:eastAsia="Arial" w:hAnsi="Arial"/>
          <w:sz w:val="22"/>
          <w:szCs w:val="22"/>
          <w:color w:val="auto"/>
        </w:rPr>
      </w:pPr>
    </w:p>
    <w:p>
      <w:pPr>
        <w:ind w:left="660" w:firstLine="645"/>
        <w:spacing w:after="0" w:line="251" w:lineRule="auto"/>
        <w:tabs>
          <w:tab w:leader="none" w:pos="220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All certifications and certificates required to be submitted to the Registrar pursuant to this Section 2.06 to effect a registration of transfer or exchange may be submitted by facsimile.</w:t>
      </w:r>
    </w:p>
    <w:p>
      <w:pPr>
        <w:spacing w:after="0" w:line="20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8"/>
          <w:szCs w:val="18"/>
          <w:i w:val="1"/>
          <w:iCs w:val="1"/>
          <w:color w:val="auto"/>
        </w:rPr>
        <w:t>Replacement Notes.</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If any mutilated Note is surrendered to the Trustee or the Issuers and the Trustee receives evidence to its satisfaction of the destruction, loss or theft of any Note, the Issuers shall issue and the Trustee, upon receipt of an Authentication Order, shall authenticate a replacement Note if the Trustee’s requirements are met. If required by the Trustee or the Issuers, an indemnity bond must be supplied by the Holder that is sufficient in the judgment of the Trustee and the Issuers to protect the Issuers, the Trustee, any Agent and any authenticating agent from any loss that any of them may suffer if a Note is replaced. The Issuers may charge for their expenses in replacing a Note.</w:t>
      </w:r>
    </w:p>
    <w:p>
      <w:pPr>
        <w:spacing w:after="0" w:line="2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Every replacement Note is an additional obligation of the Issuers and shall be entitled to all of the benefits of this Indenture equally and proportionately with all other Notes duly issued hereunder.</w:t>
      </w:r>
    </w:p>
    <w:p>
      <w:pPr>
        <w:spacing w:after="0" w:line="20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i w:val="1"/>
          <w:iCs w:val="1"/>
          <w:color w:val="auto"/>
        </w:rPr>
        <w:t>Outstanding Notes.</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Issuers or an Affiliate of either Issuer holds the Note.</w:t>
      </w:r>
    </w:p>
    <w:p>
      <w:pPr>
        <w:spacing w:after="0" w:line="20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If a Note is replaced pursuant to Section 2.07 hereof, it ceases to be outstanding unless the Trustee receives proof satisfactory to it that the replaced Note is held by a protected purchaser.</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If the principal amount of any Note is considered paid under Section 4.01 hereof, it ceases to be outstanding and interest on it ceases to accrue.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5" w:name="page76"/>
    <w:bookmarkEnd w:id="75"/>
    <w:p>
      <w:pPr>
        <w:jc w:val="both"/>
        <w:ind w:firstLine="648"/>
        <w:spacing w:after="0"/>
        <w:rPr>
          <w:sz w:val="20"/>
          <w:szCs w:val="20"/>
          <w:color w:val="auto"/>
        </w:rPr>
      </w:pPr>
      <w:r>
        <w:rPr>
          <w:rFonts w:ascii="Arial" w:cs="Arial" w:eastAsia="Arial" w:hAnsi="Arial"/>
          <w:sz w:val="22"/>
          <w:szCs w:val="22"/>
          <w:color w:val="auto"/>
        </w:rPr>
        <w:t>If the Paying Agent (other than an Issuer, a Subsidiary of an Issuer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i w:val="1"/>
          <w:iCs w:val="1"/>
          <w:color w:val="auto"/>
        </w:rPr>
        <w:t>Treasury Notes.</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determining whether the Holders of the required principal amount of Notes have concurred in any direction, waiver or consent, Notes owned by the Issuers, or any of their Affiliates,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i w:val="1"/>
          <w:iCs w:val="1"/>
          <w:color w:val="auto"/>
        </w:rPr>
        <w:t>Temporary Notes.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Until certificates representing Notes are ready for delivery, the Issuers may prepare and the Trustee, upon receipt of an Authentication Order, shall authenticate temporary Notes. Temporary Notes shall be substantially in the form of certificated Notes but may have variations that the Issuers consider appropriate for temporary Notes and as may be reasonably acceptable to the Trustee. Without unreasonable delay, the Issuers shall prepare and the Trustee shall authenticate Definitive Notes in exchange for temporary Notes.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Holders of temporary Notes shall be entitled to all of the benefits of this Indenture.</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i w:val="1"/>
          <w:iCs w:val="1"/>
          <w:color w:val="auto"/>
        </w:rPr>
        <w:t>Cancellation.</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The Issuers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destroy canceled Notes in its customary manner (subject to the record retention requirement of the Exchange Act). Certification of the destruction of all canceled Notes shall be delivered to the Issuers. The Issuers may not issue new Notes to replace Notes that they have paid or that have been delivered to the Trustee for cancellation.</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i w:val="1"/>
          <w:iCs w:val="1"/>
          <w:color w:val="auto"/>
        </w:rPr>
        <w:t>Defaulted Interest.</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If the Issuers default in a payment of interest on the Notes, they shall pay the defaulted interest in any lawful manner plus, to the extent lawful, interest payable on the defaulted interest, to the Persons who are Holders on a subsequent special record date, in each case, at the rate provided in the Notes and in Section 4.01 hereof. The Issuers shall notify the Trustee in writing of the amount of defaulted interest proposed to be paid on each Note and the date of the proposed payment. The Issuers shall fix or cause to be fixed each such special record date and payment date, provided that no such special record date may be less than 10 days prior to the related payment date for such defaulted interest. At least 15 days before the special record date, the Issuers (or, upon the written request of the Issuers, the Trustee in the name and at the expense of the Issuers) shall mail or cause to be mailed to Holders a notice that states the special record date, the related payment date and the amount of such interest to be paid.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6" w:name="page77"/>
    <w:bookmarkEnd w:id="76"/>
    <w:p>
      <w:pPr>
        <w:spacing w:after="0"/>
        <w:tabs>
          <w:tab w:leader="none" w:pos="128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i w:val="1"/>
          <w:iCs w:val="1"/>
          <w:color w:val="auto"/>
        </w:rPr>
        <w:t>Issuance of Additional Notes.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Issuers will be entitled, upon delivery of an Officers’ Certificate, Opinion of Counsel and Authentication Order, subject to compliance with Sections 2.02, 4.09 and 4.12 hereof, to issue Additional Notes under this Indenture, which shall have identical terms as the Initial Notes issued on the date of this Indenture, other than with respect to the date of issuance, the initial date from which interest shall accrue on such Additional Notes and issue price. Subject to Sections 4.09 and 4.12 hereof, without the consent of any Holder of Notes, the Issuers will be entitled to make any amendments to this Indenture, the Note Guarantees or any of the Collateral Documents as they reasonably determine appropriate in good faith to facilitate the issuance of such Additional Notes.</w:t>
      </w:r>
    </w:p>
    <w:p>
      <w:pPr>
        <w:spacing w:after="0" w:line="17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With respect to any Additional Notes, the Issuers will set forth in a resolution of the Board of Directors of Wynn Capital and an Officers’ Certificate, a copy of each which shall be delivered to the Trustee, the following information:</w:t>
      </w:r>
    </w:p>
    <w:p>
      <w:pPr>
        <w:spacing w:after="0" w:line="200" w:lineRule="exact"/>
        <w:rPr>
          <w:sz w:val="20"/>
          <w:szCs w:val="20"/>
          <w:color w:val="auto"/>
        </w:rPr>
      </w:pPr>
    </w:p>
    <w:p>
      <w:pPr>
        <w:ind w:left="1640" w:hanging="984"/>
        <w:spacing w:after="0"/>
        <w:tabs>
          <w:tab w:leader="none" w:pos="164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aggregate principal amount of such Additional Notes to be authenticated and delivered pursuant to this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 and</w:t>
      </w:r>
    </w:p>
    <w:p>
      <w:pPr>
        <w:spacing w:after="0" w:line="215" w:lineRule="exact"/>
        <w:rPr>
          <w:rFonts w:ascii="Arial" w:cs="Arial" w:eastAsia="Arial" w:hAnsi="Arial"/>
          <w:sz w:val="19"/>
          <w:szCs w:val="19"/>
          <w:color w:val="auto"/>
        </w:rPr>
      </w:pPr>
    </w:p>
    <w:p>
      <w:pPr>
        <w:jc w:val="both"/>
        <w:ind w:firstLine="656"/>
        <w:spacing w:after="0"/>
        <w:tabs>
          <w:tab w:leader="none" w:pos="1402"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which such Additional Notes shall be Notes issued in the form of Restricted Global Notes or Restricted Definitive Notes, as the case may be, or shall be Notes issued in the form of Unrestricted Global Notes or Unrestricted Definitive Notes, as the case may be.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REDEMPTION AND PREPAYMENT</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i w:val="1"/>
          <w:iCs w:val="1"/>
          <w:color w:val="auto"/>
        </w:rPr>
        <w:t>Notices to Trustee.</w:t>
      </w:r>
    </w:p>
    <w:p>
      <w:pPr>
        <w:spacing w:after="0" w:line="233"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If the Issuers elect to redeem Notes pursuant to the optional redemption provisions of Section 3.07 hereof, they must furnish to the Trustee, at least 30 days but not more than 60 days before a redemption date, an Officers’ Certificate setting forth:</w:t>
      </w:r>
    </w:p>
    <w:p>
      <w:pPr>
        <w:spacing w:after="0" w:line="132" w:lineRule="exact"/>
        <w:rPr>
          <w:sz w:val="20"/>
          <w:szCs w:val="20"/>
          <w:color w:val="auto"/>
        </w:rPr>
      </w:pPr>
    </w:p>
    <w:p>
      <w:pPr>
        <w:ind w:left="1320" w:hanging="664"/>
        <w:spacing w:after="0"/>
        <w:tabs>
          <w:tab w:leader="none" w:pos="1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clause of this Indenture pursuant to which the redemption shall occur;</w:t>
      </w:r>
    </w:p>
    <w:p>
      <w:pPr>
        <w:spacing w:after="0" w:line="233" w:lineRule="exact"/>
        <w:rPr>
          <w:rFonts w:ascii="Arial" w:cs="Arial" w:eastAsia="Arial" w:hAnsi="Arial"/>
          <w:sz w:val="22"/>
          <w:szCs w:val="22"/>
          <w:color w:val="auto"/>
        </w:rPr>
      </w:pPr>
    </w:p>
    <w:p>
      <w:pPr>
        <w:ind w:left="1340" w:hanging="684"/>
        <w:spacing w:after="0"/>
        <w:tabs>
          <w:tab w:leader="none" w:pos="13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33" w:lineRule="exact"/>
        <w:rPr>
          <w:rFonts w:ascii="Arial" w:cs="Arial" w:eastAsia="Arial" w:hAnsi="Arial"/>
          <w:sz w:val="22"/>
          <w:szCs w:val="22"/>
          <w:color w:val="auto"/>
        </w:rPr>
      </w:pPr>
    </w:p>
    <w:p>
      <w:pPr>
        <w:ind w:left="1320" w:hanging="664"/>
        <w:spacing w:after="0"/>
        <w:tabs>
          <w:tab w:leader="none" w:pos="13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principal amount of Notes to be redeemed; and</w:t>
      </w:r>
    </w:p>
    <w:p>
      <w:pPr>
        <w:spacing w:after="0" w:line="233" w:lineRule="exact"/>
        <w:rPr>
          <w:rFonts w:ascii="Arial" w:cs="Arial" w:eastAsia="Arial" w:hAnsi="Arial"/>
          <w:sz w:val="22"/>
          <w:szCs w:val="22"/>
          <w:color w:val="auto"/>
        </w:rPr>
      </w:pPr>
    </w:p>
    <w:p>
      <w:pPr>
        <w:ind w:left="1340" w:hanging="684"/>
        <w:spacing w:after="0"/>
        <w:tabs>
          <w:tab w:leader="none" w:pos="13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9"/>
          <w:szCs w:val="19"/>
          <w:i w:val="1"/>
          <w:iCs w:val="1"/>
          <w:color w:val="auto"/>
        </w:rPr>
        <w:t>Selection of Notes to Be Redeemed or Purchased.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less than all of the Notes are to be redeemed or purchased in an offer to purchase at any time, the Trustee shall select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Notes for redemption or purchase as follows:</w:t>
      </w:r>
    </w:p>
    <w:p>
      <w:pPr>
        <w:spacing w:after="0" w:line="215" w:lineRule="exact"/>
        <w:rPr>
          <w:sz w:val="20"/>
          <w:szCs w:val="20"/>
          <w:color w:val="auto"/>
        </w:rPr>
      </w:pPr>
    </w:p>
    <w:p>
      <w:pPr>
        <w:ind w:firstLine="656"/>
        <w:spacing w:after="0" w:line="251" w:lineRule="auto"/>
        <w:tabs>
          <w:tab w:leader="none" w:pos="147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the Notes are listed on any national securities exchange, in compliance with the requirements of the principal national securities exchange on which the Notes are listed; or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7" w:name="page78"/>
    <w:bookmarkEnd w:id="77"/>
    <w:p>
      <w:pPr>
        <w:ind w:right="20" w:firstLine="656"/>
        <w:spacing w:after="0" w:line="251" w:lineRule="auto"/>
        <w:tabs>
          <w:tab w:leader="none" w:pos="140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if the Notes are not listed on any national securities exchange, on a pro rata basis, by lot or by such method as the Trustee shall deem fair and appropriate.</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the event of partial redemption or purchase by lot, the particular Notes to be redeemed or purchased shall be selected, unless otherwise provided herein, not less than 30 nor more than 60 days prior to the redemption or purchase date by the Trustee from the outstanding Notes not previously called for redemption or purchase.</w:t>
      </w:r>
    </w:p>
    <w:p>
      <w:pPr>
        <w:spacing w:after="0" w:line="2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Trustee shall promptly notify the Issuers in writing of the Notes selected for redemption or purchase and, in the case of any Note selected for partial redemption or purchase, the principal amount thereof to be redeemed or purchased. Notes and portions of Notes selected shall be in amounts of $2,000 or integral multiples of $1,000 in excess of $2,000; provided, however,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i w:val="1"/>
          <w:iCs w:val="1"/>
          <w:color w:val="auto"/>
        </w:rPr>
        <w:t>Notice of Redemption.</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Subject to the provisions of Section 3.10 hereof, at least 30 days but not more than 60 days before a redemption date, the Issuers shall mail or cause to be mailed, by first class mail, a notice of redemption to each Holder whose Notes are to be redeemed at its registered address, except that redemption notices may be mailed more than 60 days prior to a redemption date if the notice is issued in connection with a defeasance of the Notes or a satisfaction and discharge of this Indenture pursuant to Articles 8 or 12 of this Indenture.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notice shall identify the Notes to be redeemed and shall state:</w:t>
      </w:r>
    </w:p>
    <w:p>
      <w:pPr>
        <w:spacing w:after="0" w:line="233" w:lineRule="exact"/>
        <w:rPr>
          <w:sz w:val="20"/>
          <w:szCs w:val="20"/>
          <w:color w:val="auto"/>
        </w:rPr>
      </w:pPr>
    </w:p>
    <w:p>
      <w:pPr>
        <w:ind w:left="1320" w:hanging="664"/>
        <w:spacing w:after="0"/>
        <w:tabs>
          <w:tab w:leader="none" w:pos="13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33" w:lineRule="exact"/>
        <w:rPr>
          <w:rFonts w:ascii="Arial" w:cs="Arial" w:eastAsia="Arial" w:hAnsi="Arial"/>
          <w:sz w:val="22"/>
          <w:szCs w:val="22"/>
          <w:color w:val="auto"/>
        </w:rPr>
      </w:pPr>
    </w:p>
    <w:p>
      <w:pPr>
        <w:ind w:left="1340" w:hanging="684"/>
        <w:spacing w:after="0"/>
        <w:tabs>
          <w:tab w:leader="none" w:pos="13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33" w:lineRule="exact"/>
        <w:rPr>
          <w:rFonts w:ascii="Arial" w:cs="Arial" w:eastAsia="Arial" w:hAnsi="Arial"/>
          <w:sz w:val="22"/>
          <w:szCs w:val="22"/>
          <w:color w:val="auto"/>
        </w:rPr>
      </w:pPr>
    </w:p>
    <w:p>
      <w:pPr>
        <w:jc w:val="both"/>
        <w:ind w:firstLine="656"/>
        <w:spacing w:after="0"/>
        <w:tabs>
          <w:tab w:leader="none" w:pos="1436"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w:t>
      </w:r>
    </w:p>
    <w:p>
      <w:pPr>
        <w:spacing w:after="0" w:line="213" w:lineRule="exact"/>
        <w:rPr>
          <w:rFonts w:ascii="Arial" w:cs="Arial" w:eastAsia="Arial" w:hAnsi="Arial"/>
          <w:sz w:val="22"/>
          <w:szCs w:val="22"/>
          <w:color w:val="auto"/>
        </w:rPr>
      </w:pPr>
    </w:p>
    <w:p>
      <w:pPr>
        <w:ind w:left="1340" w:hanging="684"/>
        <w:spacing w:after="0"/>
        <w:tabs>
          <w:tab w:leader="none" w:pos="13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33" w:lineRule="exact"/>
        <w:rPr>
          <w:rFonts w:ascii="Arial" w:cs="Arial" w:eastAsia="Arial" w:hAnsi="Arial"/>
          <w:sz w:val="22"/>
          <w:szCs w:val="22"/>
          <w:color w:val="auto"/>
        </w:rPr>
      </w:pPr>
    </w:p>
    <w:p>
      <w:pPr>
        <w:ind w:left="1320" w:hanging="664"/>
        <w:spacing w:after="0"/>
        <w:tabs>
          <w:tab w:leader="none" w:pos="132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that Notes called for redemption must be surrendered to the Paying Agent to collect the redemption price;</w:t>
      </w:r>
    </w:p>
    <w:p>
      <w:pPr>
        <w:spacing w:after="0" w:line="244" w:lineRule="exact"/>
        <w:rPr>
          <w:rFonts w:ascii="Arial" w:cs="Arial" w:eastAsia="Arial" w:hAnsi="Arial"/>
          <w:sz w:val="21"/>
          <w:szCs w:val="21"/>
          <w:color w:val="auto"/>
        </w:rPr>
      </w:pPr>
    </w:p>
    <w:p>
      <w:pPr>
        <w:ind w:right="20" w:firstLine="656"/>
        <w:spacing w:after="0" w:line="251" w:lineRule="auto"/>
        <w:tabs>
          <w:tab w:leader="none" w:pos="140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that, unless the Issuers default in making such redemption payment, interest on Notes called for redemption ceases to accrue on and after the redemption date;</w:t>
      </w:r>
    </w:p>
    <w:p>
      <w:pPr>
        <w:spacing w:after="0" w:line="200" w:lineRule="exact"/>
        <w:rPr>
          <w:rFonts w:ascii="Arial" w:cs="Arial" w:eastAsia="Arial" w:hAnsi="Arial"/>
          <w:sz w:val="22"/>
          <w:szCs w:val="22"/>
          <w:color w:val="auto"/>
        </w:rPr>
      </w:pPr>
    </w:p>
    <w:p>
      <w:pPr>
        <w:ind w:firstLine="656"/>
        <w:spacing w:after="0" w:line="251" w:lineRule="auto"/>
        <w:tabs>
          <w:tab w:leader="none" w:pos="14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paragraph of the Notes and/or Section of this Indenture pursuant to which the Notes called for redemption are being redeemed; and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8" w:name="page79"/>
    <w:bookmarkEnd w:id="78"/>
    <w:p>
      <w:pPr>
        <w:ind w:right="20" w:firstLine="656"/>
        <w:spacing w:after="0" w:line="251" w:lineRule="auto"/>
        <w:tabs>
          <w:tab w:leader="none" w:pos="134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that no representation is made as to the correctness or accuracy of the CUSIP number, if any, listed in such notice or printed on the Notes.</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At the Issuers’ request, the Trustee shall give the notice of redemption in the Issuers’ name and at their expense; provided, however, that the Issuers have delivered to the Trustee, at least 45 days prior to the redemption date, an Officers’ Certificate requesting that the Trustee give such notice and setting forth the information to be stated in such notice as provided in the preceding paragraph.</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i w:val="1"/>
          <w:iCs w:val="1"/>
          <w:color w:val="auto"/>
        </w:rPr>
        <w:t>Effect of Notice of Redemption.</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Once notice of redemption is mailed in accordance with Section 3.03 hereof, Notes called for redemption become irrevocably due and payable on the redemption date at the redemption price. A notice of redemption may not be conditional. If mailed in the manner provided in Section 3.03 hereof, the notice of redemption shall be conclusively presumed to have been given whether or not the Holder receives such notice.</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i w:val="1"/>
          <w:iCs w:val="1"/>
          <w:color w:val="auto"/>
        </w:rPr>
        <w:t>Deposit of Redemption or Purchase Price.</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One Business Day prior to the redemption or purchase price date, the Issuers shall deposit with the Trustee or with the Paying Agent money sufficient to pay the redemption or purchase price of and accrued interest and premium and Liquidated Damages, if any, on all Notes to be redeemed or purchased on that date. The Trustee or the Paying Agent shall promptly return to the Issuers any money deposited with the Trustee or the Paying Agent by the Issuers in excess of the amounts necessary to pay the redemption or purchase price of, and accrued interest and premium and Liquidated Damages, if any, on, all Notes to be redeemed or purchased.</w:t>
      </w: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If the Issuers comply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Issuers to comply with the preceding paragraph, interest shall be paid on the unpaid principal, from the redemption or purchase date until such principal is paid, and to the extent lawful o n any interest not paid on such unpaid principal, in each case at the rate provided in the Notes and in Section 4.01 hereof.</w:t>
      </w: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i w:val="1"/>
          <w:iCs w:val="1"/>
          <w:color w:val="auto"/>
        </w:rPr>
        <w:t>Notes Redeemed or Purchased in Part.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Upon surrender of a Note that is redeemed or purchased in part, the Issuers shall issue and, upon receipt of an Authentication Order, the Trustee shall authenticate for the Holder at the expense of the Issuers a new Note equal in principal amount to the unredeemed or unpurchased portion of the Note surrendered.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79" w:name="page80"/>
    <w:bookmarkEnd w:id="79"/>
    <w:p>
      <w:pPr>
        <w:spacing w:after="0"/>
        <w:tabs>
          <w:tab w:leader="none" w:pos="128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i w:val="1"/>
          <w:iCs w:val="1"/>
          <w:color w:val="auto"/>
        </w:rPr>
        <w:t>Optional Redemption.</w:t>
      </w:r>
    </w:p>
    <w:p>
      <w:pPr>
        <w:spacing w:after="0" w:line="233" w:lineRule="exact"/>
        <w:rPr>
          <w:sz w:val="20"/>
          <w:szCs w:val="20"/>
          <w:color w:val="auto"/>
        </w:rPr>
      </w:pPr>
    </w:p>
    <w:p>
      <w:pPr>
        <w:jc w:val="both"/>
        <w:ind w:firstLine="656"/>
        <w:spacing w:after="0" w:line="287" w:lineRule="auto"/>
        <w:tabs>
          <w:tab w:leader="none" w:pos="159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At any time prior to May 1, 2013, the Issuers may, on any one or more occasions, redeem up to 35% of the aggregate principal amount of Notes issued under this Indenture at a redemption price of 107.875% of the principal amount redeemed, plus accrued and unpaid interest and Liquidated Damages, if any, thereon to the redemption date, with the net cash proceeds of one or more Qualified Equity Offerings of Wynn Resorts that are contributed to Wynn Las Vegas, so long as:</w:t>
      </w:r>
    </w:p>
    <w:p>
      <w:pPr>
        <w:spacing w:after="0" w:line="170" w:lineRule="exact"/>
        <w:rPr>
          <w:rFonts w:ascii="Arial" w:cs="Arial" w:eastAsia="Arial" w:hAnsi="Arial"/>
          <w:sz w:val="19"/>
          <w:szCs w:val="19"/>
          <w:color w:val="auto"/>
        </w:rPr>
      </w:pPr>
    </w:p>
    <w:p>
      <w:pPr>
        <w:ind w:left="660" w:firstLine="645"/>
        <w:spacing w:after="0" w:line="251" w:lineRule="auto"/>
        <w:tabs>
          <w:tab w:leader="none" w:pos="2263"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at least 65% of the aggregate principal amount of Notes issued under this Indenture remains outstanding immediately after the occurrence of such redemption; and</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the redemption must occur within 60 days of the date of the closing of such Qualified Equity Offering.</w:t>
      </w:r>
    </w:p>
    <w:p>
      <w:pPr>
        <w:spacing w:after="0" w:line="267" w:lineRule="exact"/>
        <w:rPr>
          <w:rFonts w:ascii="Arial" w:cs="Arial" w:eastAsia="Arial" w:hAnsi="Arial"/>
          <w:sz w:val="19"/>
          <w:szCs w:val="19"/>
          <w:color w:val="auto"/>
        </w:rPr>
      </w:pPr>
    </w:p>
    <w:p>
      <w:pPr>
        <w:ind w:left="1460" w:hanging="804"/>
        <w:spacing w:after="0"/>
        <w:tabs>
          <w:tab w:leader="none" w:pos="146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Except pursuant to Section 3.07(a) and Section 3.09, the Notes are not redeemable at the Issuers’ option prior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May 1, 2015.</w:t>
      </w:r>
    </w:p>
    <w:p>
      <w:pPr>
        <w:spacing w:after="0" w:line="215" w:lineRule="exact"/>
        <w:rPr>
          <w:rFonts w:ascii="Arial" w:cs="Arial" w:eastAsia="Arial" w:hAnsi="Arial"/>
          <w:sz w:val="19"/>
          <w:szCs w:val="19"/>
          <w:color w:val="auto"/>
        </w:rPr>
      </w:pPr>
    </w:p>
    <w:p>
      <w:pPr>
        <w:jc w:val="both"/>
        <w:ind w:firstLine="656"/>
        <w:spacing w:after="0" w:line="238" w:lineRule="auto"/>
        <w:tabs>
          <w:tab w:leader="none" w:pos="1382" w:val="left"/>
        </w:tabs>
        <w:numPr>
          <w:ilvl w:val="0"/>
          <w:numId w:val="108"/>
        </w:numPr>
        <w:rPr>
          <w:rFonts w:ascii="Arial" w:cs="Arial" w:eastAsia="Arial" w:hAnsi="Arial"/>
          <w:sz w:val="22"/>
          <w:szCs w:val="22"/>
          <w:color w:val="auto"/>
        </w:rPr>
      </w:pPr>
      <w:r>
        <w:rPr>
          <w:rFonts w:ascii="Arial" w:cs="Arial" w:eastAsia="Arial" w:hAnsi="Arial"/>
          <w:sz w:val="22"/>
          <w:szCs w:val="22"/>
          <w:color w:val="auto"/>
        </w:rPr>
        <w:t>On or after May 1, 2015, the Issuers may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May 1 of the years indicated below:</w:t>
      </w:r>
    </w:p>
    <w:p>
      <w:pPr>
        <w:spacing w:after="0" w:line="183" w:lineRule="exact"/>
        <w:rPr>
          <w:sz w:val="20"/>
          <w:szCs w:val="20"/>
          <w:color w:val="auto"/>
        </w:rPr>
      </w:pPr>
    </w:p>
    <w:tbl>
      <w:tblPr>
        <w:tblLayout w:type="fixed"/>
        <w:tblInd w:w="1040" w:type="dxa"/>
        <w:tblCellMar>
          <w:top w:w="0" w:type="dxa"/>
          <w:left w:w="0" w:type="dxa"/>
          <w:bottom w:w="0" w:type="dxa"/>
          <w:right w:w="0" w:type="dxa"/>
        </w:tblCellMar>
      </w:tblPr>
      <w:tr>
        <w:trPr>
          <w:trHeight w:val="253"/>
        </w:trPr>
        <w:tc>
          <w:tcPr>
            <w:tcW w:w="4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7"/>
              </w:rPr>
              <w:t>Year</w:t>
            </w:r>
          </w:p>
        </w:tc>
        <w:tc>
          <w:tcPr>
            <w:tcW w:w="3320" w:type="dxa"/>
            <w:vAlign w:val="bottom"/>
          </w:tcPr>
          <w:p>
            <w:pPr>
              <w:spacing w:after="0"/>
              <w:rPr>
                <w:sz w:val="21"/>
                <w:szCs w:val="21"/>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4"/>
              </w:rPr>
              <w:t>Percentage</w:t>
            </w:r>
          </w:p>
        </w:tc>
      </w:tr>
      <w:tr>
        <w:trPr>
          <w:trHeight w:val="242"/>
        </w:trPr>
        <w:tc>
          <w:tcPr>
            <w:tcW w:w="3760" w:type="dxa"/>
            <w:vAlign w:val="bottom"/>
            <w:gridSpan w:val="2"/>
          </w:tcPr>
          <w:p>
            <w:pPr>
              <w:spacing w:after="0" w:line="242" w:lineRule="exact"/>
              <w:rPr>
                <w:sz w:val="20"/>
                <w:szCs w:val="20"/>
                <w:color w:val="auto"/>
              </w:rPr>
            </w:pPr>
            <w:r>
              <w:rPr>
                <w:rFonts w:ascii="Arial" w:cs="Arial" w:eastAsia="Arial" w:hAnsi="Arial"/>
                <w:sz w:val="22"/>
                <w:szCs w:val="22"/>
                <w:color w:val="auto"/>
              </w:rPr>
              <w:t>2015</w:t>
            </w:r>
          </w:p>
        </w:tc>
        <w:tc>
          <w:tcPr>
            <w:tcW w:w="1020" w:type="dxa"/>
            <w:vAlign w:val="bottom"/>
          </w:tcPr>
          <w:p>
            <w:pPr>
              <w:spacing w:after="0" w:line="242" w:lineRule="exact"/>
              <w:rPr>
                <w:sz w:val="20"/>
                <w:szCs w:val="20"/>
                <w:color w:val="auto"/>
              </w:rPr>
            </w:pPr>
            <w:r>
              <w:rPr>
                <w:rFonts w:ascii="Arial" w:cs="Arial" w:eastAsia="Arial" w:hAnsi="Arial"/>
                <w:sz w:val="22"/>
                <w:szCs w:val="22"/>
                <w:color w:val="auto"/>
              </w:rPr>
              <w:t>103.938%</w:t>
            </w:r>
          </w:p>
        </w:tc>
      </w:tr>
      <w:tr>
        <w:trPr>
          <w:trHeight w:val="243"/>
        </w:trPr>
        <w:tc>
          <w:tcPr>
            <w:tcW w:w="3760" w:type="dxa"/>
            <w:vAlign w:val="bottom"/>
            <w:gridSpan w:val="2"/>
          </w:tcPr>
          <w:p>
            <w:pPr>
              <w:spacing w:after="0" w:line="243" w:lineRule="exact"/>
              <w:rPr>
                <w:sz w:val="20"/>
                <w:szCs w:val="20"/>
                <w:color w:val="auto"/>
              </w:rPr>
            </w:pPr>
            <w:r>
              <w:rPr>
                <w:rFonts w:ascii="Arial" w:cs="Arial" w:eastAsia="Arial" w:hAnsi="Arial"/>
                <w:sz w:val="22"/>
                <w:szCs w:val="22"/>
                <w:color w:val="auto"/>
              </w:rPr>
              <w:t>2016</w:t>
            </w:r>
          </w:p>
        </w:tc>
        <w:tc>
          <w:tcPr>
            <w:tcW w:w="1020" w:type="dxa"/>
            <w:vAlign w:val="bottom"/>
          </w:tcPr>
          <w:p>
            <w:pPr>
              <w:spacing w:after="0" w:line="243" w:lineRule="exact"/>
              <w:rPr>
                <w:sz w:val="20"/>
                <w:szCs w:val="20"/>
                <w:color w:val="auto"/>
              </w:rPr>
            </w:pPr>
            <w:r>
              <w:rPr>
                <w:rFonts w:ascii="Arial" w:cs="Arial" w:eastAsia="Arial" w:hAnsi="Arial"/>
                <w:sz w:val="22"/>
                <w:szCs w:val="22"/>
                <w:color w:val="auto"/>
              </w:rPr>
              <w:t>102.625%</w:t>
            </w:r>
          </w:p>
        </w:tc>
      </w:tr>
      <w:tr>
        <w:trPr>
          <w:trHeight w:val="243"/>
        </w:trPr>
        <w:tc>
          <w:tcPr>
            <w:tcW w:w="3760" w:type="dxa"/>
            <w:vAlign w:val="bottom"/>
            <w:gridSpan w:val="2"/>
          </w:tcPr>
          <w:p>
            <w:pPr>
              <w:spacing w:after="0" w:line="243" w:lineRule="exact"/>
              <w:rPr>
                <w:sz w:val="20"/>
                <w:szCs w:val="20"/>
                <w:color w:val="auto"/>
              </w:rPr>
            </w:pPr>
            <w:r>
              <w:rPr>
                <w:rFonts w:ascii="Arial" w:cs="Arial" w:eastAsia="Arial" w:hAnsi="Arial"/>
                <w:sz w:val="22"/>
                <w:szCs w:val="22"/>
                <w:color w:val="auto"/>
              </w:rPr>
              <w:t>2017</w:t>
            </w:r>
          </w:p>
        </w:tc>
        <w:tc>
          <w:tcPr>
            <w:tcW w:w="1020" w:type="dxa"/>
            <w:vAlign w:val="bottom"/>
          </w:tcPr>
          <w:p>
            <w:pPr>
              <w:spacing w:after="0" w:line="243" w:lineRule="exact"/>
              <w:rPr>
                <w:sz w:val="20"/>
                <w:szCs w:val="20"/>
                <w:color w:val="auto"/>
              </w:rPr>
            </w:pPr>
            <w:r>
              <w:rPr>
                <w:rFonts w:ascii="Arial" w:cs="Arial" w:eastAsia="Arial" w:hAnsi="Arial"/>
                <w:sz w:val="22"/>
                <w:szCs w:val="22"/>
                <w:color w:val="auto"/>
              </w:rPr>
              <w:t>101.313%</w:t>
            </w:r>
          </w:p>
        </w:tc>
      </w:tr>
      <w:tr>
        <w:trPr>
          <w:trHeight w:val="275"/>
        </w:trPr>
        <w:tc>
          <w:tcPr>
            <w:tcW w:w="3760" w:type="dxa"/>
            <w:vAlign w:val="bottom"/>
            <w:gridSpan w:val="2"/>
          </w:tcPr>
          <w:p>
            <w:pPr>
              <w:spacing w:after="0"/>
              <w:rPr>
                <w:sz w:val="20"/>
                <w:szCs w:val="20"/>
                <w:color w:val="auto"/>
              </w:rPr>
            </w:pPr>
            <w:r>
              <w:rPr>
                <w:rFonts w:ascii="Arial" w:cs="Arial" w:eastAsia="Arial" w:hAnsi="Arial"/>
                <w:sz w:val="22"/>
                <w:szCs w:val="22"/>
                <w:color w:val="auto"/>
              </w:rPr>
              <w:t>2018 and thereafter</w:t>
            </w:r>
          </w:p>
        </w:tc>
        <w:tc>
          <w:tcPr>
            <w:tcW w:w="1020" w:type="dxa"/>
            <w:vAlign w:val="bottom"/>
          </w:tcPr>
          <w:p>
            <w:pPr>
              <w:spacing w:after="0"/>
              <w:rPr>
                <w:sz w:val="20"/>
                <w:szCs w:val="20"/>
                <w:color w:val="auto"/>
              </w:rPr>
            </w:pPr>
            <w:r>
              <w:rPr>
                <w:rFonts w:ascii="Arial" w:cs="Arial" w:eastAsia="Arial" w:hAnsi="Arial"/>
                <w:sz w:val="22"/>
                <w:szCs w:val="22"/>
                <w:color w:val="auto"/>
              </w:rPr>
              <w:t>100.000%</w:t>
            </w:r>
          </w:p>
        </w:tc>
      </w:tr>
    </w:tbl>
    <w:p>
      <w:pPr>
        <w:spacing w:after="0" w:line="212" w:lineRule="exact"/>
        <w:rPr>
          <w:sz w:val="20"/>
          <w:szCs w:val="20"/>
          <w:color w:val="auto"/>
        </w:rPr>
      </w:pPr>
    </w:p>
    <w:p>
      <w:pPr>
        <w:ind w:left="1360" w:hanging="704"/>
        <w:spacing w:after="0"/>
        <w:tabs>
          <w:tab w:leader="none" w:pos="136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Any redemption pursuant to this Section 3.07 shall be made pursuant to the provisions of Section 3.01 through 3.06</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3.08</w:t>
      </w:r>
      <w:r>
        <w:rPr>
          <w:sz w:val="20"/>
          <w:szCs w:val="20"/>
          <w:color w:val="auto"/>
        </w:rPr>
        <w:tab/>
      </w:r>
      <w:r>
        <w:rPr>
          <w:rFonts w:ascii="Arial" w:cs="Arial" w:eastAsia="Arial" w:hAnsi="Arial"/>
          <w:sz w:val="19"/>
          <w:szCs w:val="19"/>
          <w:i w:val="1"/>
          <w:iCs w:val="1"/>
          <w:color w:val="auto"/>
        </w:rPr>
        <w:t>Mandatory Redemption.</w:t>
      </w:r>
    </w:p>
    <w:p>
      <w:pPr>
        <w:spacing w:after="0" w:line="23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Other than as set forth in Section 3.09 below, the Issuers are not required to make mandatory redemption or sinking fund payments with respect to the Notes.</w:t>
      </w:r>
    </w:p>
    <w:p>
      <w:pPr>
        <w:spacing w:after="0" w:line="20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3.09</w:t>
      </w:r>
      <w:r>
        <w:rPr>
          <w:sz w:val="20"/>
          <w:szCs w:val="20"/>
          <w:color w:val="auto"/>
        </w:rPr>
        <w:tab/>
      </w:r>
      <w:r>
        <w:rPr>
          <w:rFonts w:ascii="Arial" w:cs="Arial" w:eastAsia="Arial" w:hAnsi="Arial"/>
          <w:sz w:val="19"/>
          <w:szCs w:val="19"/>
          <w:i w:val="1"/>
          <w:iCs w:val="1"/>
          <w:color w:val="auto"/>
        </w:rPr>
        <w:t>Mandatory Disposition or Redemption Pursuant to Gaming Laws.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shall not be licensed, qualified or found suitable, the Issuers shall have the right, at their option, to: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80" w:name="page81"/>
    <w:bookmarkEnd w:id="80"/>
    <w:p>
      <w:pPr>
        <w:ind w:firstLine="656"/>
        <w:spacing w:after="0" w:line="251" w:lineRule="auto"/>
        <w:tabs>
          <w:tab w:leader="none" w:pos="137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require the Holder or Beneficial Owner to dispose of its Notes within 30 days (or such lesser period as required by the Gaming Authority) following the earlier of:</w:t>
      </w:r>
    </w:p>
    <w:p>
      <w:pPr>
        <w:spacing w:after="0" w:line="200" w:lineRule="exact"/>
        <w:rPr>
          <w:rFonts w:ascii="Arial" w:cs="Arial" w:eastAsia="Arial" w:hAnsi="Arial"/>
          <w:sz w:val="22"/>
          <w:szCs w:val="22"/>
          <w:color w:val="auto"/>
        </w:rPr>
      </w:pPr>
    </w:p>
    <w:p>
      <w:pPr>
        <w:jc w:val="both"/>
        <w:ind w:left="660" w:firstLine="645"/>
        <w:spacing w:after="0"/>
        <w:tabs>
          <w:tab w:leader="none" w:pos="2282"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213" w:lineRule="exact"/>
        <w:rPr>
          <w:rFonts w:ascii="Arial" w:cs="Arial" w:eastAsia="Arial" w:hAnsi="Arial"/>
          <w:sz w:val="22"/>
          <w:szCs w:val="22"/>
          <w:color w:val="auto"/>
        </w:rPr>
      </w:pPr>
    </w:p>
    <w:p>
      <w:pPr>
        <w:ind w:left="660" w:firstLine="645"/>
        <w:spacing w:after="0" w:line="251" w:lineRule="auto"/>
        <w:tabs>
          <w:tab w:leader="none" w:pos="2377"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the receipt of the notice from the Gaming Authority that the Holder or Beneficial Owner shall not be licensed, qualified or found suitable by the Gaming Authority; or</w:t>
      </w:r>
    </w:p>
    <w:p>
      <w:pPr>
        <w:spacing w:after="0" w:line="200" w:lineRule="exact"/>
        <w:rPr>
          <w:rFonts w:ascii="Arial" w:cs="Arial" w:eastAsia="Arial" w:hAnsi="Arial"/>
          <w:sz w:val="22"/>
          <w:szCs w:val="22"/>
          <w:color w:val="auto"/>
        </w:rPr>
      </w:pPr>
    </w:p>
    <w:p>
      <w:pPr>
        <w:ind w:left="1340" w:hanging="684"/>
        <w:spacing w:after="0"/>
        <w:tabs>
          <w:tab w:leader="none" w:pos="134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redeem the Notes of the Holder or Beneficial Owner at a redemption price equal to:</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the price required by applicable law or by order of any Gaming Authority; or</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the lesser of:</w:t>
      </w:r>
    </w:p>
    <w:p>
      <w:pPr>
        <w:spacing w:after="0" w:line="233" w:lineRule="exact"/>
        <w:rPr>
          <w:rFonts w:ascii="Arial" w:cs="Arial" w:eastAsia="Arial" w:hAnsi="Arial"/>
          <w:sz w:val="22"/>
          <w:szCs w:val="22"/>
          <w:color w:val="auto"/>
        </w:rPr>
      </w:pPr>
    </w:p>
    <w:p>
      <w:pPr>
        <w:ind w:left="2960" w:hanging="899"/>
        <w:spacing w:after="0"/>
        <w:tabs>
          <w:tab w:leader="none" w:pos="2960" w:val="left"/>
        </w:tabs>
        <w:numPr>
          <w:ilvl w:val="2"/>
          <w:numId w:val="110"/>
        </w:numPr>
        <w:rPr>
          <w:rFonts w:ascii="Arial" w:cs="Arial" w:eastAsia="Arial" w:hAnsi="Arial"/>
          <w:sz w:val="22"/>
          <w:szCs w:val="22"/>
          <w:color w:val="auto"/>
        </w:rPr>
      </w:pPr>
      <w:r>
        <w:rPr>
          <w:rFonts w:ascii="Arial" w:cs="Arial" w:eastAsia="Arial" w:hAnsi="Arial"/>
          <w:sz w:val="22"/>
          <w:szCs w:val="22"/>
          <w:color w:val="auto"/>
        </w:rPr>
        <w:t>the principal amount of the Notes; and</w:t>
      </w:r>
    </w:p>
    <w:p>
      <w:pPr>
        <w:spacing w:after="0" w:line="233" w:lineRule="exact"/>
        <w:rPr>
          <w:rFonts w:ascii="Arial" w:cs="Arial" w:eastAsia="Arial" w:hAnsi="Arial"/>
          <w:sz w:val="22"/>
          <w:szCs w:val="22"/>
          <w:color w:val="auto"/>
        </w:rPr>
      </w:pPr>
    </w:p>
    <w:p>
      <w:pPr>
        <w:ind w:left="2940" w:hanging="879"/>
        <w:spacing w:after="0"/>
        <w:tabs>
          <w:tab w:leader="none" w:pos="2940" w:val="left"/>
        </w:tabs>
        <w:numPr>
          <w:ilvl w:val="2"/>
          <w:numId w:val="110"/>
        </w:numPr>
        <w:rPr>
          <w:rFonts w:ascii="Arial" w:cs="Arial" w:eastAsia="Arial" w:hAnsi="Arial"/>
          <w:sz w:val="22"/>
          <w:szCs w:val="22"/>
          <w:color w:val="auto"/>
        </w:rPr>
      </w:pPr>
      <w:r>
        <w:rPr>
          <w:rFonts w:ascii="Arial" w:cs="Arial" w:eastAsia="Arial" w:hAnsi="Arial"/>
          <w:sz w:val="22"/>
          <w:szCs w:val="22"/>
          <w:color w:val="auto"/>
        </w:rPr>
        <w:t>the price that the Holder or Beneficial Owner paid for the Notes,</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each case, together with accrued and unpaid interest and Liquidated Damages, if any, on the Notes to the earlier of (1) the date of redemption or such earlier date as is required by the Gaming Authority or (2) the date of the finding of unsuitability by the Gaming Authority, which may be less than 30 days following the notice of redemption. The Issuers shall notify the Trustee in writing of any redemption pursuant to this Section 3.09 as soon as reasonably practicable.</w:t>
      </w:r>
    </w:p>
    <w:p>
      <w:pPr>
        <w:spacing w:after="0" w:line="201"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32" w:lineRule="exact"/>
        <w:rPr>
          <w:sz w:val="20"/>
          <w:szCs w:val="20"/>
          <w:color w:val="auto"/>
        </w:rPr>
      </w:pPr>
    </w:p>
    <w:p>
      <w:pPr>
        <w:ind w:left="1320" w:hanging="664"/>
        <w:spacing w:after="0"/>
        <w:tabs>
          <w:tab w:leader="none" w:pos="132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exercise, directly or indirectly, through any Person, any right conferred by the Notes; or</w:t>
      </w:r>
    </w:p>
    <w:p>
      <w:pPr>
        <w:spacing w:after="0" w:line="233" w:lineRule="exact"/>
        <w:rPr>
          <w:rFonts w:ascii="Arial" w:cs="Arial" w:eastAsia="Arial" w:hAnsi="Arial"/>
          <w:sz w:val="22"/>
          <w:szCs w:val="22"/>
          <w:color w:val="auto"/>
        </w:rPr>
      </w:pPr>
    </w:p>
    <w:p>
      <w:pPr>
        <w:ind w:firstLine="656"/>
        <w:spacing w:after="0" w:line="251" w:lineRule="auto"/>
        <w:tabs>
          <w:tab w:leader="none" w:pos="136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receive any interest or any other distribution or payment with respect to the Notes, or any remuneration in any form from the Issuers for services rendered or otherwise, except the redemption price of the Notes.</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i w:val="1"/>
          <w:iCs w:val="1"/>
          <w:color w:val="auto"/>
        </w:rPr>
        <w:t>Offer to Purchase by Application of Excess Proceeds.</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In the event that, pursuant to Section 4.10 or 4.16 hereof, Wynn Las Vegas is required to commence an Asset Sale Offer or an Event of Loss Offer (each Asset Sale Offer or Event of</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81" w:name="page82"/>
    <w:bookmarkEnd w:id="81"/>
    <w:p>
      <w:pPr>
        <w:spacing w:after="0"/>
        <w:rPr>
          <w:sz w:val="20"/>
          <w:szCs w:val="20"/>
          <w:color w:val="auto"/>
        </w:rPr>
      </w:pPr>
      <w:r>
        <w:rPr>
          <w:rFonts w:ascii="Arial" w:cs="Arial" w:eastAsia="Arial" w:hAnsi="Arial"/>
          <w:sz w:val="21"/>
          <w:szCs w:val="21"/>
          <w:color w:val="auto"/>
        </w:rPr>
        <w:t>Loss Offer is referred to in this Section 3.10 as an “</w:t>
      </w:r>
      <w:r>
        <w:rPr>
          <w:rFonts w:ascii="Arial" w:cs="Arial" w:eastAsia="Arial" w:hAnsi="Arial"/>
          <w:sz w:val="21"/>
          <w:szCs w:val="21"/>
          <w:u w:val="single" w:color="auto"/>
          <w:color w:val="auto"/>
        </w:rPr>
        <w:t>Excess Proceeds Offer</w:t>
      </w:r>
      <w:r>
        <w:rPr>
          <w:rFonts w:ascii="Arial" w:cs="Arial" w:eastAsia="Arial" w:hAnsi="Arial"/>
          <w:sz w:val="21"/>
          <w:szCs w:val="21"/>
          <w:color w:val="auto"/>
        </w:rPr>
        <w:t>”), it shall follow the procedures specified below.</w:t>
      </w:r>
    </w:p>
    <w:p>
      <w:pPr>
        <w:spacing w:after="0" w:line="24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Excess Proceeds Offer shall be made to all Holders and any holders of Pari Passu Debt. The Excess Proceeds Offer shall remain open for a period of at least 20 Business Days following its commencement and not more than 30 Business Days, except to the extent that a longer period is required by applicable law (the “</w:t>
      </w:r>
      <w:r>
        <w:rPr>
          <w:rFonts w:ascii="Arial" w:cs="Arial" w:eastAsia="Arial" w:hAnsi="Arial"/>
          <w:sz w:val="19"/>
          <w:szCs w:val="19"/>
          <w:i w:val="1"/>
          <w:iCs w:val="1"/>
          <w:u w:val="single" w:color="auto"/>
          <w:color w:val="auto"/>
        </w:rPr>
        <w:t>Offer Period</w:t>
      </w:r>
      <w:r>
        <w:rPr>
          <w:rFonts w:ascii="Arial" w:cs="Arial" w:eastAsia="Arial" w:hAnsi="Arial"/>
          <w:sz w:val="19"/>
          <w:szCs w:val="19"/>
          <w:color w:val="auto"/>
        </w:rPr>
        <w:t>”). No later than three Business Days after the termination of the Offer Period (the “</w:t>
      </w:r>
      <w:r>
        <w:rPr>
          <w:rFonts w:ascii="Arial" w:cs="Arial" w:eastAsia="Arial" w:hAnsi="Arial"/>
          <w:sz w:val="19"/>
          <w:szCs w:val="19"/>
          <w:i w:val="1"/>
          <w:iCs w:val="1"/>
          <w:u w:val="single" w:color="auto"/>
          <w:color w:val="auto"/>
        </w:rPr>
        <w:t>Purchase Date</w:t>
      </w:r>
      <w:r>
        <w:rPr>
          <w:rFonts w:ascii="Arial" w:cs="Arial" w:eastAsia="Arial" w:hAnsi="Arial"/>
          <w:sz w:val="19"/>
          <w:szCs w:val="19"/>
          <w:color w:val="auto"/>
        </w:rPr>
        <w:t>”), Wynn Las Vegas shall apply all Excess Proceeds (the “</w:t>
      </w:r>
      <w:r>
        <w:rPr>
          <w:rFonts w:ascii="Arial" w:cs="Arial" w:eastAsia="Arial" w:hAnsi="Arial"/>
          <w:sz w:val="19"/>
          <w:szCs w:val="19"/>
          <w:i w:val="1"/>
          <w:iCs w:val="1"/>
          <w:u w:val="single" w:color="auto"/>
          <w:color w:val="auto"/>
        </w:rPr>
        <w:t>Offer Amount</w:t>
      </w:r>
      <w:r>
        <w:rPr>
          <w:rFonts w:ascii="Arial" w:cs="Arial" w:eastAsia="Arial" w:hAnsi="Arial"/>
          <w:sz w:val="19"/>
          <w:szCs w:val="19"/>
          <w:color w:val="auto"/>
        </w:rPr>
        <w:t>”) to the purchase of Notes and any such Pari Passu Debt to be purchased (on a pro rata basis, if applicable) or, if less than the Offer Amount has been tendered, all Notes and any such Pari Passu Debt tendered in response to the Excess Proceeds Offer. Payment for any Notes so purchased shall be made in the same manner as interest payments are made.</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If the Purchase Date is on or after an interest record date and on or before the related interest payment date, any accrued and unpaid interest and Liquidated Damages, if any, shall be paid to the Person in whose name a Note is registered at the close of business on such record date, and no additional interest shall be payable to Holders who tender Notes pursuant to the Excess Proceeds Offer.</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Wynn Las Vegas shall provide the Trustee with notice of the Excess Proceeds Offer at least 10 days (or such lesser time as the Trustee shall permit) prior to its commencement. Upon the commencement of an Excess Proceeds Offer, Wynn Las Vegas shall send, by first class mail, a notice to each of the Holders, with a copy to the Trustee. The notice shall contain all instructions and materials necessary to enable such Holders to tender Notes pursuant to the Excess Proceeds Offer. The notice, which shall govern the terms of the Excess Proceeds Offer, shall state:</w:t>
      </w:r>
    </w:p>
    <w:p>
      <w:pPr>
        <w:spacing w:after="0" w:line="215" w:lineRule="exact"/>
        <w:rPr>
          <w:sz w:val="20"/>
          <w:szCs w:val="20"/>
          <w:color w:val="auto"/>
        </w:rPr>
      </w:pPr>
    </w:p>
    <w:p>
      <w:pPr>
        <w:ind w:firstLine="656"/>
        <w:spacing w:after="0" w:line="251" w:lineRule="auto"/>
        <w:tabs>
          <w:tab w:leader="none" w:pos="13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that the Excess Proceeds Offer is being made pursuant to this Section 3.10 and Section 4.10 or Section 4.16 hereof, as appropriate, and the length of time the Excess Proceeds Offer shall remain open;</w:t>
      </w:r>
    </w:p>
    <w:p>
      <w:pPr>
        <w:spacing w:after="0" w:line="200" w:lineRule="exact"/>
        <w:rPr>
          <w:rFonts w:ascii="Arial" w:cs="Arial" w:eastAsia="Arial" w:hAnsi="Arial"/>
          <w:sz w:val="22"/>
          <w:szCs w:val="22"/>
          <w:color w:val="auto"/>
        </w:rPr>
      </w:pPr>
    </w:p>
    <w:p>
      <w:pPr>
        <w:ind w:left="1340" w:hanging="684"/>
        <w:spacing w:after="0"/>
        <w:tabs>
          <w:tab w:leader="none" w:pos="13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Offer Amount, the purchase price and the Purchase Date;</w:t>
      </w:r>
    </w:p>
    <w:p>
      <w:pPr>
        <w:spacing w:after="0" w:line="233" w:lineRule="exact"/>
        <w:rPr>
          <w:rFonts w:ascii="Arial" w:cs="Arial" w:eastAsia="Arial" w:hAnsi="Arial"/>
          <w:sz w:val="22"/>
          <w:szCs w:val="22"/>
          <w:color w:val="auto"/>
        </w:rPr>
      </w:pPr>
    </w:p>
    <w:p>
      <w:pPr>
        <w:ind w:left="1320" w:hanging="664"/>
        <w:spacing w:after="0"/>
        <w:tabs>
          <w:tab w:leader="none" w:pos="13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that any Note not tendered or accepted for payment shall continue to accrue interest;</w:t>
      </w:r>
    </w:p>
    <w:p>
      <w:pPr>
        <w:spacing w:after="0" w:line="233" w:lineRule="exact"/>
        <w:rPr>
          <w:rFonts w:ascii="Arial" w:cs="Arial" w:eastAsia="Arial" w:hAnsi="Arial"/>
          <w:sz w:val="22"/>
          <w:szCs w:val="22"/>
          <w:color w:val="auto"/>
        </w:rPr>
      </w:pPr>
    </w:p>
    <w:p>
      <w:pPr>
        <w:ind w:firstLine="656"/>
        <w:spacing w:after="0" w:line="251" w:lineRule="auto"/>
        <w:tabs>
          <w:tab w:leader="none" w:pos="1505"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that, unless Wynn Las Vegas defaults in making such payment, any Note accepted for payment pursuant to the Excess Proceeds Offer shall cease to accrue interest after the Purchase Date;</w:t>
      </w:r>
    </w:p>
    <w:p>
      <w:pPr>
        <w:spacing w:after="0" w:line="200" w:lineRule="exact"/>
        <w:rPr>
          <w:rFonts w:ascii="Arial" w:cs="Arial" w:eastAsia="Arial" w:hAnsi="Arial"/>
          <w:sz w:val="22"/>
          <w:szCs w:val="22"/>
          <w:color w:val="auto"/>
        </w:rPr>
      </w:pPr>
    </w:p>
    <w:p>
      <w:pPr>
        <w:ind w:firstLine="656"/>
        <w:spacing w:after="0" w:line="251" w:lineRule="auto"/>
        <w:tabs>
          <w:tab w:leader="none" w:pos="151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that Holders electing to have a Note purchased pursuant to an Excess Proceeds Offer may elect to have Notes purchased in denominations of $2,000 or integral multiples of $1,000 in excess of $2,000 only;</w:t>
      </w:r>
    </w:p>
    <w:p>
      <w:pPr>
        <w:spacing w:after="0" w:line="200" w:lineRule="exact"/>
        <w:rPr>
          <w:rFonts w:ascii="Arial" w:cs="Arial" w:eastAsia="Arial" w:hAnsi="Arial"/>
          <w:sz w:val="22"/>
          <w:szCs w:val="22"/>
          <w:color w:val="auto"/>
        </w:rPr>
      </w:pPr>
    </w:p>
    <w:p>
      <w:pPr>
        <w:jc w:val="both"/>
        <w:ind w:firstLine="656"/>
        <w:spacing w:after="0"/>
        <w:tabs>
          <w:tab w:leader="none" w:pos="1325"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that Holders electing to have a Note purchased pursuant to any Excess Proceeds Offer shall be required to surrender the Note, with the form entitled “Option of Holder to Elect Purchase” attached to the Notes completed, or transfer by book-entry transfer, to Wynn Las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82" w:name="page83"/>
    <w:bookmarkEnd w:id="82"/>
    <w:p>
      <w:pPr>
        <w:spacing w:after="0" w:line="251" w:lineRule="auto"/>
        <w:rPr>
          <w:sz w:val="20"/>
          <w:szCs w:val="20"/>
          <w:color w:val="auto"/>
        </w:rPr>
      </w:pPr>
      <w:r>
        <w:rPr>
          <w:rFonts w:ascii="Arial" w:cs="Arial" w:eastAsia="Arial" w:hAnsi="Arial"/>
          <w:sz w:val="22"/>
          <w:szCs w:val="22"/>
          <w:color w:val="auto"/>
        </w:rPr>
        <w:t>Vegas, the Depositary, if appointed by Wynn Las Vegas, or a Paying Agent at the address specified in the notice at least three days before the Purchase Date;</w:t>
      </w:r>
    </w:p>
    <w:p>
      <w:pPr>
        <w:spacing w:after="0" w:line="200" w:lineRule="exact"/>
        <w:rPr>
          <w:sz w:val="20"/>
          <w:szCs w:val="20"/>
          <w:color w:val="auto"/>
        </w:rPr>
      </w:pPr>
    </w:p>
    <w:p>
      <w:pPr>
        <w:jc w:val="both"/>
        <w:ind w:firstLine="656"/>
        <w:spacing w:after="0" w:line="234" w:lineRule="auto"/>
        <w:tabs>
          <w:tab w:leader="none" w:pos="13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that Holders shall be entitled to withdraw their election if Wynn Las Vegas, the Depositary or the Paying Agent, as the case may be, receives, not later than the expiration of the Offer Period, a telegram, telex, facsimile transmission or letter setting forth the name of the Holder, the principal amount of the Note the Holder delivered for purchase and a statement that such Holder is withdrawing his election to have such Note purchased; provided that, with respect to Notes that have been tendered using the procedure for book-entry transfer, any such notice of withdrawal shall specify the name number of the account at The Depository Trust Company to be credited with the withdrawn Notes and shall otherwise comply with the procedures of the book-entry transfer facility;</w:t>
      </w:r>
    </w:p>
    <w:p>
      <w:pPr>
        <w:spacing w:after="0" w:line="218" w:lineRule="exact"/>
        <w:rPr>
          <w:rFonts w:ascii="Arial" w:cs="Arial" w:eastAsia="Arial" w:hAnsi="Arial"/>
          <w:sz w:val="22"/>
          <w:szCs w:val="22"/>
          <w:color w:val="auto"/>
        </w:rPr>
      </w:pPr>
    </w:p>
    <w:p>
      <w:pPr>
        <w:jc w:val="both"/>
        <w:ind w:firstLine="656"/>
        <w:spacing w:after="0" w:line="236" w:lineRule="auto"/>
        <w:tabs>
          <w:tab w:leader="none" w:pos="135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that, if the aggregate principal amount of Notes surrendered by Holders and Pari Passu Debt surrendered by holders thereof exceeds the Offer Amount, Wynn Las Vegas shall select the Notes and such Pari Passu Debt to be purchased, on a pro rata basis, based on the principal amount of Notes and such Pari Passu Debt surrendered (with such adjustments as may be deemed appropriate by Wynn Las Vegas so that only Notes in denominations of $2,000 or integral multiples of $1,000 in excess of $2,000, shall be purchased); and</w:t>
      </w:r>
    </w:p>
    <w:p>
      <w:pPr>
        <w:spacing w:after="0" w:line="214" w:lineRule="exact"/>
        <w:rPr>
          <w:rFonts w:ascii="Arial" w:cs="Arial" w:eastAsia="Arial" w:hAnsi="Arial"/>
          <w:sz w:val="22"/>
          <w:szCs w:val="22"/>
          <w:color w:val="auto"/>
        </w:rPr>
      </w:pPr>
    </w:p>
    <w:p>
      <w:pPr>
        <w:ind w:firstLine="656"/>
        <w:spacing w:after="0" w:line="251" w:lineRule="auto"/>
        <w:tabs>
          <w:tab w:leader="none" w:pos="143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that Holders whose Notes were purchased only in part shall be issued new Notes equal in principal amount to the unpurchased portion of the Notes surrendered (or transferred by book-entry transfer).</w:t>
      </w:r>
    </w:p>
    <w:p>
      <w:pPr>
        <w:spacing w:after="0" w:line="2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On or before the Purchase Date, Wynn Las Vegas shall, to the extent lawful, accept for payment, on a pro rata basis to the extent necessary, the Offer Amount of Notes and, if applicable, Pari Passu Debt, or portions thereof tendered pursuant to the Excess Proceeds Offer, or if less than the Offer Amount has been tendered, all Notes and if applicable, Pari Passu Debt, tendered, and shall deliver or caused to be delivered to the Trustee the Notes properly accepted together with an Officers’ Certificate stating that such Notes and, if applicable, Pari Passu Debt, or portions thereof were accepted for payment by Wynn Las Vegas in accordance with the terms of this Section 3.10. Wynn Las Vegas, the Depositary or the Paying Agent, as the case may be, shall promptly (but in any case not later than five days after the P urchase Date) mail or deliver to each tendering Holder an amount equal to the purchase price of the Notes tendered by such Holder and accepted by Wynn Las Vegas for purchase, and Wynn Las Vegas shall promptly issue a new Note, and the Trustee, upon written request from Wynn Las Vegas shall authenticate and mail or deliver such new Note to such Holder, in a principal amount equal to any unpurchased portion of the Note surrendered. Any Note not so accepted shall be promptly mailed or delivered by Wynn Las Vegas to the Holder thereof. Wynn Las Vegas shall publicly announce the results of the Excess Proceeds Offer on the Purchase Date.</w:t>
      </w:r>
    </w:p>
    <w:p>
      <w:pPr>
        <w:spacing w:after="0" w:line="189"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Other than as specifically provided in this Section 3.10, any purchase pursuant to this Section 3.10 shall be made pursuant to the provisions of Sections 3.01 through 3.06 hereof.</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w:t>
      </w:r>
    </w:p>
    <w:p>
      <w:pPr>
        <w:spacing w:after="0" w:line="215"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i w:val="1"/>
          <w:iCs w:val="1"/>
          <w:color w:val="auto"/>
        </w:rPr>
        <w:t>Payment of Notes.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Issuers shall pay or cause to be paid the principal of, premium, if any, and interest and Liquidated Damages, if any, on the Notes on the dates and in the manner provided in the Notes. Principal, premium, if any, and interest and Liquidated Damages, if any, shall be considered paid on the date due if the Paying Agent, if other than the Issuers or a Subsidiary thereof, holds as of 10:00 a.m. Eastern Time on the due date money deposited by the Issuers in immediately available funds and designated for and sufficient to pay all principal, premium, if any, and interest then due. The Issuers shall pay all Liquidated Damages, if any, in the same manner on the dates and in the amounts set forth in the Registration Rights Agreement.</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Issuers shall pay interest (including post-petition interest in any proceeding under any Bankruptcy Law) on overdue principal at the rate equal to 1% per annum in excess of the then applicable interest rate on the Notes to the extent lawful; they shall pay interest (including post-petition interest in any proceeding under any Bankruptcy Law) on overdue installments of interest and Liquidated Damages (without regard to any applicable grace period) at the same rate to the extent lawful.</w:t>
      </w:r>
    </w:p>
    <w:p>
      <w:pPr>
        <w:spacing w:after="0" w:line="170"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i w:val="1"/>
          <w:iCs w:val="1"/>
          <w:color w:val="auto"/>
        </w:rPr>
        <w:t>Maintenance of Office or Agency.</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Issuers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Issuers in respect of the Notes and this Indenture may be served. The Issuers shall give prompt written notice to the Trustee of the location, and any change in the location, of such office or agency. If at any time the Issuers fail to maintain any such required office or agency or fail to furnish the Trustee with the address thereof, such presentations, surrenders, notices and demands may be made or served at the Corporate Trust Office of the Trustee.</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The Issuers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such designation or rescission shall in any manner relieve the Issuers of their obligation to maintain an office or agency in the Borough of Manhattan, the City of New York for such purposes. The Issuers shall give prompt written notice to the Trustee of any such designation or rescission and of any change in the location of any such other office or agency.</w:t>
      </w:r>
    </w:p>
    <w:p>
      <w:pPr>
        <w:spacing w:after="0" w:line="17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Issuers hereby designate the Corporate Trust Office of the Trustee as one such office or agency of the Issuers in accordance with Section 2.03 hereof.</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84" w:name="page85"/>
    <w:bookmarkEnd w:id="84"/>
    <w:p>
      <w:pPr>
        <w:spacing w:after="0"/>
        <w:tabs>
          <w:tab w:leader="none" w:pos="194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i w:val="1"/>
          <w:iCs w:val="1"/>
          <w:color w:val="auto"/>
        </w:rPr>
        <w:t>Reports.</w:t>
      </w:r>
    </w:p>
    <w:p>
      <w:pPr>
        <w:spacing w:after="0" w:line="233" w:lineRule="exact"/>
        <w:rPr>
          <w:sz w:val="20"/>
          <w:szCs w:val="20"/>
          <w:color w:val="auto"/>
        </w:rPr>
      </w:pPr>
    </w:p>
    <w:p>
      <w:pPr>
        <w:jc w:val="both"/>
        <w:ind w:firstLine="656"/>
        <w:spacing w:after="0"/>
        <w:tabs>
          <w:tab w:leader="none" w:pos="135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Whether or not required by rules and regulations of the SEC, so long as any Notes are outstanding, the Issuers shall furnish to the Holders of Notes or cause the Trustee to furnish to Holders of Notes, within the time periods specified in the SEC’s rules and regulations:</w:t>
      </w:r>
    </w:p>
    <w:p>
      <w:pPr>
        <w:spacing w:after="0" w:line="213" w:lineRule="exact"/>
        <w:rPr>
          <w:rFonts w:ascii="Arial" w:cs="Arial" w:eastAsia="Arial" w:hAnsi="Arial"/>
          <w:sz w:val="22"/>
          <w:szCs w:val="22"/>
          <w:color w:val="auto"/>
        </w:rPr>
      </w:pPr>
    </w:p>
    <w:p>
      <w:pPr>
        <w:jc w:val="both"/>
        <w:ind w:left="660" w:firstLine="645"/>
        <w:spacing w:after="0" w:line="238" w:lineRule="auto"/>
        <w:tabs>
          <w:tab w:leader="none" w:pos="2166" w:val="left"/>
        </w:tabs>
        <w:numPr>
          <w:ilvl w:val="1"/>
          <w:numId w:val="114"/>
        </w:numPr>
        <w:rPr>
          <w:rFonts w:ascii="Arial" w:cs="Arial" w:eastAsia="Arial" w:hAnsi="Arial"/>
          <w:sz w:val="22"/>
          <w:szCs w:val="22"/>
          <w:color w:val="auto"/>
        </w:rPr>
      </w:pPr>
      <w:r>
        <w:rPr>
          <w:rFonts w:ascii="Arial" w:cs="Arial" w:eastAsia="Arial" w:hAnsi="Arial"/>
          <w:sz w:val="22"/>
          <w:szCs w:val="22"/>
          <w:color w:val="auto"/>
        </w:rPr>
        <w:t>all quarterly and annual reports that would be required to be filed with the SEC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212" w:lineRule="exact"/>
        <w:rPr>
          <w:rFonts w:ascii="Arial" w:cs="Arial" w:eastAsia="Arial" w:hAnsi="Arial"/>
          <w:sz w:val="22"/>
          <w:szCs w:val="22"/>
          <w:color w:val="auto"/>
        </w:rPr>
      </w:pPr>
    </w:p>
    <w:p>
      <w:pPr>
        <w:ind w:left="660" w:firstLine="645"/>
        <w:spacing w:after="0" w:line="251" w:lineRule="auto"/>
        <w:tabs>
          <w:tab w:leader="none" w:pos="2119" w:val="left"/>
        </w:tabs>
        <w:numPr>
          <w:ilvl w:val="1"/>
          <w:numId w:val="114"/>
        </w:numPr>
        <w:rPr>
          <w:rFonts w:ascii="Arial" w:cs="Arial" w:eastAsia="Arial" w:hAnsi="Arial"/>
          <w:sz w:val="22"/>
          <w:szCs w:val="22"/>
          <w:color w:val="auto"/>
        </w:rPr>
      </w:pPr>
      <w:r>
        <w:rPr>
          <w:rFonts w:ascii="Arial" w:cs="Arial" w:eastAsia="Arial" w:hAnsi="Arial"/>
          <w:sz w:val="22"/>
          <w:szCs w:val="22"/>
          <w:color w:val="auto"/>
        </w:rPr>
        <w:t>all current reports that would be required to be filed with the SEC on Form 8-K if the Issuers were required to file such reports.</w:t>
      </w:r>
    </w:p>
    <w:p>
      <w:pPr>
        <w:spacing w:after="0" w:line="20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All such reports shall be prepared in all material respects in accordance with all of the rules and regulations applicable to such reports. Each annual report on Form 10-K shall include a report on Wynn Las Vegas’ and its Restricted Subsidiaries’ consolidated financial statements by Wynn Las Vegas’ certified independent accountants. In addition, Wynn Las Vegas shall file a copy of each of the reports referred to in clauses (1) and (2) above with the SEC for public availability within the time periods specified in the rules and regulations applicable to such reports (unless the SEC will not accept such a filing) and shall post the reports on its website within those time periods.</w:t>
      </w:r>
    </w:p>
    <w:p>
      <w:pPr>
        <w:spacing w:after="0" w:line="215" w:lineRule="exact"/>
        <w:rPr>
          <w:sz w:val="20"/>
          <w:szCs w:val="20"/>
          <w:color w:val="auto"/>
        </w:rPr>
      </w:pPr>
    </w:p>
    <w:p>
      <w:pPr>
        <w:jc w:val="both"/>
        <w:ind w:firstLine="656"/>
        <w:spacing w:after="0" w:line="279" w:lineRule="auto"/>
        <w:tabs>
          <w:tab w:leader="none" w:pos="137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If, at any time Wynn Las Vegas is no longer subject to the periodic reporting requirements of the Exchange Act for any reason, Wynn Las Vegas shall nevertheless continue filing the reports specified in Section 4.03(a) above with the SEC within the time periods specified above unless the SEC will not accept such a filing. Wynn Las Vegas shall not take any action for the purpose of causing the SEC not to accept any such filings. If, notwithstanding the foregoing, the SEC will not accept Wynn Las Vegas’ filings for any reason, Wynn Las Vegas shall post the reports referred to in the preceding paragraphs on its website within the time periods that would apply if Wynn Las Vegas were required to file those reports with the SEC.</w:t>
      </w:r>
    </w:p>
    <w:p>
      <w:pPr>
        <w:spacing w:after="0" w:line="177" w:lineRule="exact"/>
        <w:rPr>
          <w:rFonts w:ascii="Arial" w:cs="Arial" w:eastAsia="Arial" w:hAnsi="Arial"/>
          <w:sz w:val="19"/>
          <w:szCs w:val="19"/>
          <w:color w:val="auto"/>
        </w:rPr>
      </w:pPr>
    </w:p>
    <w:p>
      <w:pPr>
        <w:jc w:val="both"/>
        <w:ind w:firstLine="656"/>
        <w:spacing w:after="0" w:line="238" w:lineRule="auto"/>
        <w:tabs>
          <w:tab w:leader="none" w:pos="142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In addition, the Issuers and the Guarantors agree that, for so long as any Notes remain outstanding, if at any time they are not required to file with the SEC the reports required by Section 4.03(a) above, they shall furnish to the holders of notes and to securities analysts and prospective investors, upon their request, the information required to be delivered pursuant to Rule 144A(d)(4) under the Securities Act.</w:t>
      </w:r>
    </w:p>
    <w:p>
      <w:pPr>
        <w:spacing w:after="0" w:line="212" w:lineRule="exact"/>
        <w:rPr>
          <w:rFonts w:ascii="Arial" w:cs="Arial" w:eastAsia="Arial" w:hAnsi="Arial"/>
          <w:sz w:val="22"/>
          <w:szCs w:val="22"/>
          <w:color w:val="auto"/>
        </w:rPr>
      </w:pPr>
    </w:p>
    <w:p>
      <w:pPr>
        <w:jc w:val="both"/>
        <w:ind w:firstLine="656"/>
        <w:spacing w:after="0"/>
        <w:tabs>
          <w:tab w:leader="none" w:pos="1368" w:val="left"/>
        </w:tabs>
        <w:numPr>
          <w:ilvl w:val="0"/>
          <w:numId w:val="115"/>
        </w:numPr>
        <w:rPr>
          <w:rFonts w:ascii="Arial" w:cs="Arial" w:eastAsia="Arial" w:hAnsi="Arial"/>
          <w:sz w:val="22"/>
          <w:szCs w:val="22"/>
          <w:color w:val="auto"/>
        </w:rPr>
      </w:pPr>
      <w:r>
        <w:rPr>
          <w:rFonts w:ascii="Arial" w:cs="Arial" w:eastAsia="Arial" w:hAnsi="Arial"/>
          <w:sz w:val="22"/>
          <w:szCs w:val="22"/>
          <w:color w:val="auto"/>
        </w:rPr>
        <w:t>Delivery of reports, information and documents to the Trustee under this Section 4.03 is for informational purposes only and the Trustee’s receipt of the foregoing shall not constitute constructive notice of any information contained therein or determinable from information contained therein.</w:t>
      </w:r>
    </w:p>
    <w:p>
      <w:pPr>
        <w:spacing w:after="0" w:line="213"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i w:val="1"/>
          <w:iCs w:val="1"/>
          <w:color w:val="auto"/>
        </w:rPr>
        <w:t>Compliance Certificate.</w:t>
      </w:r>
    </w:p>
    <w:p>
      <w:pPr>
        <w:spacing w:after="0" w:line="233" w:lineRule="exact"/>
        <w:rPr>
          <w:sz w:val="20"/>
          <w:szCs w:val="20"/>
          <w:color w:val="auto"/>
        </w:rPr>
      </w:pPr>
    </w:p>
    <w:p>
      <w:pPr>
        <w:ind w:firstLine="656"/>
        <w:spacing w:after="0" w:line="251" w:lineRule="auto"/>
        <w:tabs>
          <w:tab w:leader="none" w:pos="135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Issuers and, each Guarantor (to the extent that such Guarantor is so required under the TIA) shall deliver to the Trustee, within 90 days after the end of each fiscal year, an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85" w:name="page86"/>
    <w:bookmarkEnd w:id="85"/>
    <w:p>
      <w:pPr>
        <w:jc w:val="both"/>
        <w:spacing w:after="0" w:line="244" w:lineRule="auto"/>
        <w:rPr>
          <w:sz w:val="20"/>
          <w:szCs w:val="20"/>
          <w:color w:val="auto"/>
        </w:rPr>
      </w:pPr>
      <w:r>
        <w:rPr>
          <w:rFonts w:ascii="Arial" w:cs="Arial" w:eastAsia="Arial" w:hAnsi="Arial"/>
          <w:sz w:val="21"/>
          <w:szCs w:val="21"/>
          <w:color w:val="auto"/>
        </w:rPr>
        <w:t>Officers’ Certificate stating that a review of the activities of the Issuers and their respective Subsidiaries during the preceding fiscal year has been made under the supervision of the signing Officers with a view to determining whether the Issuers have kept, observed, performed and fulfilled its obligations under this Indenture and the Collateral Documents, and further stating, as to each such Officer signing such certificate, that to the best of his or her knowledge the Issuers have kept, observed, performed and fulfilled each and every covenant contained in this Indenture and the Collateral Documents and are not in default in the performance or observance of any of the terms, provisions and conditions of this Indenture or the Collateral Documents (or, if a Default or Event of Default has occurred, describing all such Defaults or Events of Default of which he or she may have knowledge and what action the Issuers are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Issuers are taking or propose to take with respect thereto.</w:t>
      </w:r>
    </w:p>
    <w:p>
      <w:pPr>
        <w:spacing w:after="0" w:line="217" w:lineRule="exact"/>
        <w:rPr>
          <w:sz w:val="20"/>
          <w:szCs w:val="20"/>
          <w:color w:val="auto"/>
        </w:rPr>
      </w:pPr>
    </w:p>
    <w:p>
      <w:pPr>
        <w:jc w:val="both"/>
        <w:ind w:firstLine="656"/>
        <w:spacing w:after="0" w:line="247" w:lineRule="auto"/>
        <w:tabs>
          <w:tab w:leader="none" w:pos="1652" w:val="left"/>
        </w:tabs>
        <w:numPr>
          <w:ilvl w:val="0"/>
          <w:numId w:val="117"/>
        </w:numPr>
        <w:rPr>
          <w:rFonts w:ascii="Arial" w:cs="Arial" w:eastAsia="Arial" w:hAnsi="Arial"/>
          <w:sz w:val="21"/>
          <w:szCs w:val="21"/>
          <w:color w:val="auto"/>
        </w:rPr>
      </w:pPr>
      <w:r>
        <w:rPr>
          <w:rFonts w:ascii="Arial" w:cs="Arial" w:eastAsia="Arial" w:hAnsi="Arial"/>
          <w:sz w:val="21"/>
          <w:szCs w:val="21"/>
          <w:color w:val="auto"/>
        </w:rPr>
        <w:t>So long as not contrary to the then current recommendations of the American Institute of Certified Public Accountants, the year-end financial statements delivered pursuant to Section 4.03(a) above shall be accompanied by a written statement of the Issuers’ independent public accountants (who shall be a firm of established national reputation) that in making the examination necessary for certification of such financial statements, nothing has come to their attention that would lead them to believe that the Issuers have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205" w:lineRule="exact"/>
        <w:rPr>
          <w:rFonts w:ascii="Arial" w:cs="Arial" w:eastAsia="Arial" w:hAnsi="Arial"/>
          <w:sz w:val="21"/>
          <w:szCs w:val="21"/>
          <w:color w:val="auto"/>
        </w:rPr>
      </w:pPr>
    </w:p>
    <w:p>
      <w:pPr>
        <w:jc w:val="both"/>
        <w:ind w:firstLine="656"/>
        <w:spacing w:after="0"/>
        <w:tabs>
          <w:tab w:leader="none" w:pos="147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So long as any of the Notes are outstanding, the Issuers shall deliver to the Trustee, forthwith upon any Officer becoming aware of any Default or Event of Default, an Officers’ Certificate specifying such Default or Event of Default and what action the Issuers are taking or proposes to take with respect thereto.</w:t>
      </w:r>
    </w:p>
    <w:p>
      <w:pPr>
        <w:spacing w:after="0" w:line="213"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7"/>
          <w:szCs w:val="17"/>
          <w:i w:val="1"/>
          <w:iCs w:val="1"/>
          <w:color w:val="auto"/>
        </w:rPr>
        <w:t>Taxes.</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Issuers shall pay, and shall cause each of their respective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4.06</w:t>
      </w:r>
      <w:r>
        <w:rPr>
          <w:sz w:val="20"/>
          <w:szCs w:val="20"/>
          <w:color w:val="auto"/>
        </w:rPr>
        <w:tab/>
      </w:r>
      <w:r>
        <w:rPr>
          <w:rFonts w:ascii="Arial" w:cs="Arial" w:eastAsia="Arial" w:hAnsi="Arial"/>
          <w:sz w:val="19"/>
          <w:szCs w:val="19"/>
          <w:i w:val="1"/>
          <w:iCs w:val="1"/>
          <w:color w:val="auto"/>
        </w:rPr>
        <w:t>Stay, Extension and Usury Laws.</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Issuers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each Issuer and each of the Guarantors (to the extent that it may lawfully do so) hereby expressly waives all benefit or advantage of any such law, and covenants that it shall not, by resort to any such law, hinder, delay or impede the execution of any power herein granted to the Trustee, but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86" w:name="page87"/>
    <w:bookmarkEnd w:id="86"/>
    <w:p>
      <w:pPr>
        <w:spacing w:after="0"/>
        <w:rPr>
          <w:sz w:val="20"/>
          <w:szCs w:val="20"/>
          <w:color w:val="auto"/>
        </w:rPr>
      </w:pPr>
      <w:r>
        <w:rPr>
          <w:rFonts w:ascii="Arial" w:cs="Arial" w:eastAsia="Arial" w:hAnsi="Arial"/>
          <w:sz w:val="22"/>
          <w:szCs w:val="22"/>
          <w:color w:val="auto"/>
        </w:rPr>
        <w:t>shall suffer and permit the execution of every such power as though no such law has been enacted.</w:t>
      </w:r>
    </w:p>
    <w:p>
      <w:pPr>
        <w:spacing w:after="0" w:line="233"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4.07</w:t>
      </w:r>
      <w:r>
        <w:rPr>
          <w:sz w:val="20"/>
          <w:szCs w:val="20"/>
          <w:color w:val="auto"/>
        </w:rPr>
        <w:tab/>
      </w:r>
      <w:r>
        <w:rPr>
          <w:rFonts w:ascii="Arial" w:cs="Arial" w:eastAsia="Arial" w:hAnsi="Arial"/>
          <w:sz w:val="19"/>
          <w:szCs w:val="19"/>
          <w:i w:val="1"/>
          <w:iCs w:val="1"/>
          <w:color w:val="auto"/>
        </w:rPr>
        <w:t>Restricted Payments.</w:t>
      </w:r>
    </w:p>
    <w:p>
      <w:pPr>
        <w:spacing w:after="0" w:line="233" w:lineRule="exact"/>
        <w:rPr>
          <w:sz w:val="20"/>
          <w:szCs w:val="20"/>
          <w:color w:val="auto"/>
        </w:rPr>
      </w:pPr>
    </w:p>
    <w:p>
      <w:pPr>
        <w:ind w:left="1320" w:hanging="664"/>
        <w:spacing w:after="0"/>
        <w:tabs>
          <w:tab w:leader="none" w:pos="132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Wynn Las Vegas shall not, and shall not permit any of its Restricted Subsidiaries to, directly or indirectly:</w:t>
      </w:r>
    </w:p>
    <w:p>
      <w:pPr>
        <w:spacing w:after="0" w:line="244" w:lineRule="exact"/>
        <w:rPr>
          <w:rFonts w:ascii="Arial" w:cs="Arial" w:eastAsia="Arial" w:hAnsi="Arial"/>
          <w:sz w:val="21"/>
          <w:szCs w:val="21"/>
          <w:color w:val="auto"/>
        </w:rPr>
      </w:pPr>
    </w:p>
    <w:p>
      <w:pPr>
        <w:jc w:val="both"/>
        <w:ind w:left="660" w:firstLine="645"/>
        <w:spacing w:after="0" w:line="249" w:lineRule="auto"/>
        <w:tabs>
          <w:tab w:leader="none" w:pos="2213" w:val="left"/>
        </w:tabs>
        <w:numPr>
          <w:ilvl w:val="1"/>
          <w:numId w:val="118"/>
        </w:numPr>
        <w:rPr>
          <w:rFonts w:ascii="Arial" w:cs="Arial" w:eastAsia="Arial" w:hAnsi="Arial"/>
          <w:sz w:val="21"/>
          <w:szCs w:val="21"/>
          <w:color w:val="auto"/>
        </w:rPr>
      </w:pPr>
      <w:r>
        <w:rPr>
          <w:rFonts w:ascii="Arial" w:cs="Arial" w:eastAsia="Arial" w:hAnsi="Arial"/>
          <w:sz w:val="21"/>
          <w:szCs w:val="21"/>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(i) dividends or distributions by Wynn Las Vegas payable in Equity Interests (other than Disqualified Stock) of Wynn Las Vegas and (ii) dividends or distributions payable to Wynn Las Vegas or any of its Restricted Subsidiaries;</w:t>
      </w:r>
    </w:p>
    <w:p>
      <w:pPr>
        <w:spacing w:after="0" w:line="205" w:lineRule="exact"/>
        <w:rPr>
          <w:rFonts w:ascii="Arial" w:cs="Arial" w:eastAsia="Arial" w:hAnsi="Arial"/>
          <w:sz w:val="21"/>
          <w:szCs w:val="21"/>
          <w:color w:val="auto"/>
        </w:rPr>
      </w:pPr>
    </w:p>
    <w:p>
      <w:pPr>
        <w:jc w:val="both"/>
        <w:ind w:left="660" w:firstLine="645"/>
        <w:spacing w:after="0"/>
        <w:tabs>
          <w:tab w:leader="none" w:pos="2325" w:val="left"/>
        </w:tabs>
        <w:numPr>
          <w:ilvl w:val="1"/>
          <w:numId w:val="118"/>
        </w:numPr>
        <w:rPr>
          <w:rFonts w:ascii="Arial" w:cs="Arial" w:eastAsia="Arial" w:hAnsi="Arial"/>
          <w:sz w:val="22"/>
          <w:szCs w:val="22"/>
          <w:color w:val="auto"/>
        </w:rPr>
      </w:pPr>
      <w:r>
        <w:rPr>
          <w:rFonts w:ascii="Arial" w:cs="Arial" w:eastAsia="Arial" w:hAnsi="Arial"/>
          <w:sz w:val="22"/>
          <w:szCs w:val="22"/>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213" w:lineRule="exact"/>
        <w:rPr>
          <w:rFonts w:ascii="Arial" w:cs="Arial" w:eastAsia="Arial" w:hAnsi="Arial"/>
          <w:sz w:val="22"/>
          <w:szCs w:val="22"/>
          <w:color w:val="auto"/>
        </w:rPr>
      </w:pPr>
    </w:p>
    <w:p>
      <w:pPr>
        <w:jc w:val="both"/>
        <w:ind w:left="660" w:firstLine="645"/>
        <w:spacing w:after="0" w:line="249" w:lineRule="auto"/>
        <w:tabs>
          <w:tab w:leader="none" w:pos="2282" w:val="left"/>
        </w:tabs>
        <w:numPr>
          <w:ilvl w:val="1"/>
          <w:numId w:val="118"/>
        </w:numPr>
        <w:rPr>
          <w:rFonts w:ascii="Arial" w:cs="Arial" w:eastAsia="Arial" w:hAnsi="Arial"/>
          <w:sz w:val="21"/>
          <w:szCs w:val="21"/>
          <w:color w:val="auto"/>
        </w:rPr>
      </w:pPr>
      <w:r>
        <w:rPr>
          <w:rFonts w:ascii="Arial" w:cs="Arial" w:eastAsia="Arial" w:hAnsi="Arial"/>
          <w:sz w:val="21"/>
          <w:szCs w:val="21"/>
          <w:color w:val="auto"/>
        </w:rPr>
        <w:t>make any payment on or with respect to, or purchase, redeem, defease or otherwise acquire or retire for value any Indebtedness of Wynn Las Vegas or any Guarantor that is secured by a Lien junior to the Lien securing the Notes or the Guarantees or that is expressly subordinated in right of payment to the Notes or the Note Guarantees under this Indenture (excluding any intercompany Indebtedness between or among Wynn Las Vegas or any of its Restricted Subsidiaries), except a payment of interest or principal at the Stated Maturity thereof; or</w:t>
      </w:r>
    </w:p>
    <w:p>
      <w:pPr>
        <w:spacing w:after="0" w:line="205" w:lineRule="exact"/>
        <w:rPr>
          <w:rFonts w:ascii="Arial" w:cs="Arial" w:eastAsia="Arial" w:hAnsi="Arial"/>
          <w:sz w:val="21"/>
          <w:szCs w:val="21"/>
          <w:color w:val="auto"/>
        </w:rPr>
      </w:pPr>
    </w:p>
    <w:p>
      <w:pPr>
        <w:ind w:left="2160" w:hanging="855"/>
        <w:spacing w:after="0"/>
        <w:tabs>
          <w:tab w:leader="none" w:pos="216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make any Restricted Investment,</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(all such payments and other actions set forth in clauses (1) through (4) above being collectively referred to as “</w:t>
      </w:r>
      <w:r>
        <w:rPr>
          <w:rFonts w:ascii="Arial" w:cs="Arial" w:eastAsia="Arial" w:hAnsi="Arial"/>
          <w:sz w:val="22"/>
          <w:szCs w:val="22"/>
          <w:i w:val="1"/>
          <w:iCs w:val="1"/>
          <w:u w:val="single" w:color="auto"/>
          <w:color w:val="auto"/>
        </w:rPr>
        <w:t>Restricted</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Payments</w:t>
      </w:r>
      <w:r>
        <w:rPr>
          <w:rFonts w:ascii="Arial" w:cs="Arial" w:eastAsia="Arial" w:hAnsi="Arial"/>
          <w:sz w:val="22"/>
          <w:szCs w:val="22"/>
          <w:color w:val="auto"/>
        </w:rPr>
        <w:t>”), unless, at the time of and after giving effect to such Restricted Payment:</w:t>
      </w:r>
    </w:p>
    <w:p>
      <w:pPr>
        <w:spacing w:after="0" w:line="200" w:lineRule="exact"/>
        <w:rPr>
          <w:sz w:val="20"/>
          <w:szCs w:val="20"/>
          <w:color w:val="auto"/>
        </w:rPr>
      </w:pPr>
    </w:p>
    <w:p>
      <w:pPr>
        <w:ind w:left="660" w:firstLine="645"/>
        <w:spacing w:after="0" w:line="251" w:lineRule="auto"/>
        <w:tabs>
          <w:tab w:leader="none" w:pos="2283" w:val="left"/>
        </w:tabs>
        <w:numPr>
          <w:ilvl w:val="0"/>
          <w:numId w:val="119"/>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or would occur as a consequence of such Restricted Payment;</w:t>
      </w:r>
    </w:p>
    <w:p>
      <w:pPr>
        <w:spacing w:after="0" w:line="200" w:lineRule="exact"/>
        <w:rPr>
          <w:rFonts w:ascii="Arial" w:cs="Arial" w:eastAsia="Arial" w:hAnsi="Arial"/>
          <w:sz w:val="22"/>
          <w:szCs w:val="22"/>
          <w:color w:val="auto"/>
        </w:rPr>
      </w:pPr>
    </w:p>
    <w:p>
      <w:pPr>
        <w:jc w:val="both"/>
        <w:ind w:left="660" w:right="20" w:firstLine="645"/>
        <w:spacing w:after="0"/>
        <w:tabs>
          <w:tab w:leader="none" w:pos="222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Wynn Las Vegas would, at the time of such Restricted Payment and after giving pro forma effect thereto, have been permitted to incur at least $1.00 of additional Indebtedness pursuant to the Fixed Charge Coverage Ratio test set forth in Section 4.09(a) hereof; and</w:t>
      </w:r>
    </w:p>
    <w:p>
      <w:pPr>
        <w:spacing w:after="0" w:line="213" w:lineRule="exact"/>
        <w:rPr>
          <w:rFonts w:ascii="Arial" w:cs="Arial" w:eastAsia="Arial" w:hAnsi="Arial"/>
          <w:sz w:val="22"/>
          <w:szCs w:val="22"/>
          <w:color w:val="auto"/>
        </w:rPr>
      </w:pPr>
    </w:p>
    <w:p>
      <w:pPr>
        <w:jc w:val="both"/>
        <w:ind w:left="660" w:firstLine="645"/>
        <w:spacing w:after="0" w:line="297" w:lineRule="auto"/>
        <w:tabs>
          <w:tab w:leader="none" w:pos="2303" w:val="left"/>
        </w:tabs>
        <w:numPr>
          <w:ilvl w:val="0"/>
          <w:numId w:val="119"/>
        </w:numPr>
        <w:rPr>
          <w:rFonts w:ascii="Arial" w:cs="Arial" w:eastAsia="Arial" w:hAnsi="Arial"/>
          <w:sz w:val="19"/>
          <w:szCs w:val="19"/>
          <w:color w:val="auto"/>
        </w:rPr>
      </w:pPr>
      <w:r>
        <w:rPr>
          <w:rFonts w:ascii="Arial" w:cs="Arial" w:eastAsia="Arial" w:hAnsi="Arial"/>
          <w:sz w:val="19"/>
          <w:szCs w:val="19"/>
          <w:color w:val="auto"/>
        </w:rPr>
        <w:t>such Restricted Payment, together with the aggregate amount of all other Restricted Payments made by Wynn Las Vegas and its Restricted Subsidiaries after the date of this Indenture (excluding Restricted Payments permitted by clauses (2), (3), (5), (7), (8), (9), (10) and (11) below (with respect to clause (5) to the extent such Restricted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87" w:name="page88"/>
    <w:bookmarkEnd w:id="87"/>
    <w:p>
      <w:pPr>
        <w:ind w:left="660"/>
        <w:spacing w:after="0" w:line="251" w:lineRule="auto"/>
        <w:rPr>
          <w:sz w:val="20"/>
          <w:szCs w:val="20"/>
          <w:color w:val="auto"/>
        </w:rPr>
      </w:pPr>
      <w:r>
        <w:rPr>
          <w:rFonts w:ascii="Arial" w:cs="Arial" w:eastAsia="Arial" w:hAnsi="Arial"/>
          <w:sz w:val="22"/>
          <w:szCs w:val="22"/>
          <w:color w:val="auto"/>
        </w:rPr>
        <w:t>Payments were already deducted from Consolidated Net Income) of Section 4.07(b) hereof), is less than the sum, without duplication, of:</w:t>
      </w:r>
    </w:p>
    <w:p>
      <w:pPr>
        <w:spacing w:after="0" w:line="200" w:lineRule="exact"/>
        <w:rPr>
          <w:sz w:val="20"/>
          <w:szCs w:val="20"/>
          <w:color w:val="auto"/>
        </w:rPr>
      </w:pPr>
    </w:p>
    <w:p>
      <w:pPr>
        <w:jc w:val="both"/>
        <w:ind w:firstLine="2076"/>
        <w:spacing w:after="0" w:line="252" w:lineRule="auto"/>
        <w:tabs>
          <w:tab w:leader="none" w:pos="3047" w:val="left"/>
        </w:tabs>
        <w:numPr>
          <w:ilvl w:val="1"/>
          <w:numId w:val="120"/>
        </w:numPr>
        <w:rPr>
          <w:rFonts w:ascii="Arial" w:cs="Arial" w:eastAsia="Arial" w:hAnsi="Arial"/>
          <w:sz w:val="21"/>
          <w:szCs w:val="21"/>
          <w:color w:val="auto"/>
        </w:rPr>
      </w:pPr>
      <w:r>
        <w:rPr>
          <w:rFonts w:ascii="Arial" w:cs="Arial" w:eastAsia="Arial" w:hAnsi="Arial"/>
          <w:sz w:val="21"/>
          <w:szCs w:val="21"/>
          <w:color w:val="auto"/>
        </w:rPr>
        <w:t xml:space="preserve">50% of the Consolidated Net Income of Wynn Las Vegas and its Restricted Subsidiaries for the period (taken as one accounting period) from the beginning of January 1, 2010 to the end of Wynn Las Vegas’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21"/>
          <w:szCs w:val="21"/>
          <w:i w:val="1"/>
          <w:iCs w:val="1"/>
          <w:color w:val="auto"/>
        </w:rPr>
        <w:t>plus</w:t>
      </w:r>
    </w:p>
    <w:p>
      <w:pPr>
        <w:spacing w:after="0" w:line="201" w:lineRule="exact"/>
        <w:rPr>
          <w:rFonts w:ascii="Arial" w:cs="Arial" w:eastAsia="Arial" w:hAnsi="Arial"/>
          <w:sz w:val="21"/>
          <w:szCs w:val="21"/>
          <w:color w:val="auto"/>
        </w:rPr>
      </w:pPr>
    </w:p>
    <w:p>
      <w:pPr>
        <w:jc w:val="both"/>
        <w:ind w:firstLine="2075"/>
        <w:spacing w:after="0" w:line="249" w:lineRule="auto"/>
        <w:tabs>
          <w:tab w:leader="none" w:pos="3029" w:val="left"/>
        </w:tabs>
        <w:numPr>
          <w:ilvl w:val="1"/>
          <w:numId w:val="120"/>
        </w:numPr>
        <w:rPr>
          <w:rFonts w:ascii="Arial" w:cs="Arial" w:eastAsia="Arial" w:hAnsi="Arial"/>
          <w:sz w:val="21"/>
          <w:szCs w:val="21"/>
          <w:color w:val="auto"/>
        </w:rPr>
      </w:pPr>
      <w:r>
        <w:rPr>
          <w:rFonts w:ascii="Arial" w:cs="Arial" w:eastAsia="Arial" w:hAnsi="Arial"/>
          <w:sz w:val="21"/>
          <w:szCs w:val="21"/>
          <w:color w:val="auto"/>
        </w:rPr>
        <w:t xml:space="preserve">100% of the aggregate net cash proceeds received by Wynn Las Vegas subsequent to January 1, 2010 as a contribution to its common equity capital, excluding (i) any such net cash proceeds received by Wynn Las Vegas subsequent to January 1, 2010 to the extent consisting of capital contributions made to Wynn Las Vegas for the purpose of satisfying the “in-balance” requirements of the Disbursement Agreement and (ii) any such net cash proceeds received by Wynn Las Vegas to the extent used to incur Indebtedness pursuant to clause (16) of Section 4.09(b), </w:t>
      </w:r>
      <w:r>
        <w:rPr>
          <w:rFonts w:ascii="Arial" w:cs="Arial" w:eastAsia="Arial" w:hAnsi="Arial"/>
          <w:sz w:val="21"/>
          <w:szCs w:val="21"/>
          <w:i w:val="1"/>
          <w:iCs w:val="1"/>
          <w:color w:val="auto"/>
        </w:rPr>
        <w:t>plus</w:t>
      </w:r>
    </w:p>
    <w:p>
      <w:pPr>
        <w:spacing w:after="0" w:line="205" w:lineRule="exact"/>
        <w:rPr>
          <w:rFonts w:ascii="Arial" w:cs="Arial" w:eastAsia="Arial" w:hAnsi="Arial"/>
          <w:sz w:val="21"/>
          <w:szCs w:val="21"/>
          <w:color w:val="auto"/>
        </w:rPr>
      </w:pPr>
    </w:p>
    <w:p>
      <w:pPr>
        <w:jc w:val="both"/>
        <w:ind w:firstLine="2085"/>
        <w:spacing w:after="0" w:line="277" w:lineRule="auto"/>
        <w:tabs>
          <w:tab w:leader="none" w:pos="3093" w:val="left"/>
        </w:tabs>
        <w:numPr>
          <w:ilvl w:val="1"/>
          <w:numId w:val="120"/>
        </w:numPr>
        <w:rPr>
          <w:rFonts w:ascii="Arial" w:cs="Arial" w:eastAsia="Arial" w:hAnsi="Arial"/>
          <w:sz w:val="19"/>
          <w:szCs w:val="19"/>
          <w:color w:val="auto"/>
        </w:rPr>
      </w:pPr>
      <w:r>
        <w:rPr>
          <w:rFonts w:ascii="Arial" w:cs="Arial" w:eastAsia="Arial" w:hAnsi="Arial"/>
          <w:sz w:val="19"/>
          <w:szCs w:val="19"/>
          <w:color w:val="auto"/>
        </w:rPr>
        <w:t xml:space="preserve">(i) to the extent that any Restricted Investment that was made after January 1, 2010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 stricted Investment (less the cost of disposition, if any), </w:t>
      </w:r>
      <w:r>
        <w:rPr>
          <w:rFonts w:ascii="Arial" w:cs="Arial" w:eastAsia="Arial" w:hAnsi="Arial"/>
          <w:sz w:val="19"/>
          <w:szCs w:val="19"/>
          <w:i w:val="1"/>
          <w:iCs w:val="1"/>
          <w:color w:val="auto"/>
        </w:rPr>
        <w:t>plus</w:t>
      </w:r>
    </w:p>
    <w:p>
      <w:pPr>
        <w:spacing w:after="0" w:line="179" w:lineRule="exact"/>
        <w:rPr>
          <w:rFonts w:ascii="Arial" w:cs="Arial" w:eastAsia="Arial" w:hAnsi="Arial"/>
          <w:sz w:val="19"/>
          <w:szCs w:val="19"/>
          <w:color w:val="auto"/>
        </w:rPr>
      </w:pPr>
    </w:p>
    <w:p>
      <w:pPr>
        <w:jc w:val="both"/>
        <w:ind w:firstLine="2100"/>
        <w:spacing w:after="0" w:line="238" w:lineRule="auto"/>
        <w:tabs>
          <w:tab w:leader="none" w:pos="3201" w:val="left"/>
        </w:tabs>
        <w:numPr>
          <w:ilvl w:val="2"/>
          <w:numId w:val="120"/>
        </w:numPr>
        <w:rPr>
          <w:rFonts w:ascii="Arial" w:cs="Arial" w:eastAsia="Arial" w:hAnsi="Arial"/>
          <w:sz w:val="22"/>
          <w:szCs w:val="22"/>
          <w:color w:val="auto"/>
        </w:rPr>
      </w:pPr>
      <w:r>
        <w:rPr>
          <w:rFonts w:ascii="Arial" w:cs="Arial" w:eastAsia="Arial" w:hAnsi="Arial"/>
          <w:sz w:val="22"/>
          <w:szCs w:val="22"/>
          <w:color w:val="auto"/>
        </w:rPr>
        <w:t xml:space="preserve">100% of any cash dividends or cash distributions received by Wynn Las Vegas or any of its Restricted Subsidiaries after January 1, 2010 from any Restricted Investment (including any Investment in an Unrestricted Subsidiary of Wynn Las Vegas), to the extent that such dividends or distributions were not otherwise included in the Consolidated Net Income of Wynn Las Vegas for such period, </w:t>
      </w:r>
      <w:r>
        <w:rPr>
          <w:rFonts w:ascii="Arial" w:cs="Arial" w:eastAsia="Arial" w:hAnsi="Arial"/>
          <w:sz w:val="22"/>
          <w:szCs w:val="22"/>
          <w:i w:val="1"/>
          <w:iCs w:val="1"/>
          <w:color w:val="auto"/>
        </w:rPr>
        <w:t>plus</w:t>
      </w:r>
    </w:p>
    <w:p>
      <w:pPr>
        <w:spacing w:after="0" w:line="212" w:lineRule="exact"/>
        <w:rPr>
          <w:rFonts w:ascii="Arial" w:cs="Arial" w:eastAsia="Arial" w:hAnsi="Arial"/>
          <w:sz w:val="22"/>
          <w:szCs w:val="22"/>
          <w:color w:val="auto"/>
        </w:rPr>
      </w:pPr>
    </w:p>
    <w:p>
      <w:pPr>
        <w:jc w:val="both"/>
        <w:ind w:firstLine="2102"/>
        <w:spacing w:after="0" w:line="287" w:lineRule="auto"/>
        <w:tabs>
          <w:tab w:leader="none" w:pos="3193" w:val="left"/>
        </w:tabs>
        <w:numPr>
          <w:ilvl w:val="2"/>
          <w:numId w:val="120"/>
        </w:numPr>
        <w:rPr>
          <w:rFonts w:ascii="Arial" w:cs="Arial" w:eastAsia="Arial" w:hAnsi="Arial"/>
          <w:sz w:val="19"/>
          <w:szCs w:val="19"/>
          <w:color w:val="auto"/>
        </w:rPr>
      </w:pPr>
      <w:r>
        <w:rPr>
          <w:rFonts w:ascii="Arial" w:cs="Arial" w:eastAsia="Arial" w:hAnsi="Arial"/>
          <w:sz w:val="19"/>
          <w:szCs w:val="19"/>
          <w:color w:val="auto"/>
        </w:rPr>
        <w:t>to the extent that any Unrestricted Subsidiary of Wynn Las Vegas that is so designated after January 1, 2010 (other than the Completion Guarantor) is redesignated as a Restricted Subsidiary after January 1, 2010, the lesser of (i) the Fair Market Value of Wynn Las Vegas’ Investment in such Subsidiary as of the date of such redesignation or (ii) such Fair Market Value as of the date on which such Subsidiary was originally designated as an Unrestricted Subsidiary.</w:t>
      </w:r>
    </w:p>
    <w:p>
      <w:pPr>
        <w:spacing w:after="0" w:line="170" w:lineRule="exact"/>
        <w:rPr>
          <w:rFonts w:ascii="Arial" w:cs="Arial" w:eastAsia="Arial" w:hAnsi="Arial"/>
          <w:sz w:val="19"/>
          <w:szCs w:val="19"/>
          <w:color w:val="auto"/>
        </w:rPr>
      </w:pPr>
    </w:p>
    <w:p>
      <w:pPr>
        <w:jc w:val="both"/>
        <w:ind w:firstLine="656"/>
        <w:spacing w:after="0" w:line="287" w:lineRule="auto"/>
        <w:tabs>
          <w:tab w:leader="none" w:pos="1383" w:val="left"/>
        </w:tabs>
        <w:numPr>
          <w:ilvl w:val="0"/>
          <w:numId w:val="121"/>
        </w:numPr>
        <w:rPr>
          <w:rFonts w:ascii="Arial" w:cs="Arial" w:eastAsia="Arial" w:hAnsi="Arial"/>
          <w:sz w:val="19"/>
          <w:szCs w:val="19"/>
          <w:color w:val="auto"/>
        </w:rPr>
      </w:pPr>
      <w:r>
        <w:rPr>
          <w:rFonts w:ascii="Arial" w:cs="Arial" w:eastAsia="Arial" w:hAnsi="Arial"/>
          <w:sz w:val="19"/>
          <w:szCs w:val="19"/>
          <w:color w:val="auto"/>
        </w:rPr>
        <w:t>With respect to (1) any payments made pursuant to clauses (1), (2), (3), (6), (7), (8), (9) and (10) below, so long as no Default or Event of Default has occurred and is continuing or would be caused by the payments, and (2) any payments made pursuant to clauses (4), (5) and (11) below, regardless of whether any Default or Event of Default has occurred and is continuing or would be caused by the payment, the preceding provisions of this Section 4.07 shall not prohibit: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88" w:name="page89"/>
    <w:bookmarkEnd w:id="88"/>
    <w:p>
      <w:pPr>
        <w:jc w:val="both"/>
        <w:ind w:left="-540" w:firstLine="645"/>
        <w:spacing w:after="0" w:line="252" w:lineRule="auto"/>
        <w:tabs>
          <w:tab w:leader="none" w:pos="1169"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payment of any dividend or distribution (other than any distribution made under clause (5) of this Section 4.07(b))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this Indenture;</w:t>
      </w:r>
    </w:p>
    <w:p>
      <w:pPr>
        <w:spacing w:after="0" w:line="201" w:lineRule="exact"/>
        <w:rPr>
          <w:rFonts w:ascii="Arial" w:cs="Arial" w:eastAsia="Arial" w:hAnsi="Arial"/>
          <w:sz w:val="21"/>
          <w:szCs w:val="21"/>
          <w:color w:val="auto"/>
        </w:rPr>
      </w:pPr>
    </w:p>
    <w:p>
      <w:pPr>
        <w:jc w:val="both"/>
        <w:ind w:left="-540" w:firstLine="645"/>
        <w:spacing w:after="0" w:line="238" w:lineRule="auto"/>
        <w:tabs>
          <w:tab w:leader="none" w:pos="135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shall be excluded from clause (4)(b) of Section 4.07(a) above;</w:t>
      </w:r>
    </w:p>
    <w:p>
      <w:pPr>
        <w:spacing w:after="0" w:line="212" w:lineRule="exact"/>
        <w:rPr>
          <w:rFonts w:ascii="Arial" w:cs="Arial" w:eastAsia="Arial" w:hAnsi="Arial"/>
          <w:sz w:val="22"/>
          <w:szCs w:val="22"/>
          <w:color w:val="auto"/>
        </w:rPr>
      </w:pPr>
    </w:p>
    <w:p>
      <w:pPr>
        <w:jc w:val="both"/>
        <w:ind w:left="-540" w:firstLine="645"/>
        <w:spacing w:after="0" w:line="297" w:lineRule="auto"/>
        <w:tabs>
          <w:tab w:leader="none" w:pos="1171"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repurchase, redemption, defeasance or other acquisition or retirement for value of Indebtedness of Wynn Las Vegas or any Guarantor that is contractually subordinated to the Notes or to any Note Guarantee with the net cash proceeds from a substantially concurrent incurrence of Permitted Refinancing Indebtedness;</w:t>
      </w:r>
    </w:p>
    <w:p>
      <w:pPr>
        <w:spacing w:after="0" w:line="161" w:lineRule="exact"/>
        <w:rPr>
          <w:rFonts w:ascii="Arial" w:cs="Arial" w:eastAsia="Arial" w:hAnsi="Arial"/>
          <w:sz w:val="19"/>
          <w:szCs w:val="19"/>
          <w:color w:val="auto"/>
        </w:rPr>
      </w:pPr>
    </w:p>
    <w:p>
      <w:pPr>
        <w:jc w:val="both"/>
        <w:ind w:left="-540" w:firstLine="645"/>
        <w:spacing w:after="0" w:line="245" w:lineRule="auto"/>
        <w:tabs>
          <w:tab w:leader="none" w:pos="99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provided that so long as, if such efforts do not jeopardize any Gaming License, Wynn Resorts and its Subsidiaries shall have diligently attempted to find a third-party purchaser for such Equity Interes ts or Indebtedness and no third-party purchaser acceptable to the applicable Gaming Authority was willing to purchase such Equity Interests or Indebtedness within a time period acceptable to such Gaming Authority;</w:t>
      </w:r>
    </w:p>
    <w:p>
      <w:pPr>
        <w:spacing w:after="0" w:line="212" w:lineRule="exact"/>
        <w:rPr>
          <w:rFonts w:ascii="Arial" w:cs="Arial" w:eastAsia="Arial" w:hAnsi="Arial"/>
          <w:sz w:val="21"/>
          <w:szCs w:val="21"/>
          <w:color w:val="auto"/>
        </w:rPr>
      </w:pPr>
    </w:p>
    <w:p>
      <w:pPr>
        <w:jc w:val="both"/>
        <w:ind w:left="-540" w:firstLine="645"/>
        <w:spacing w:after="0" w:line="297" w:lineRule="auto"/>
        <w:tabs>
          <w:tab w:leader="none" w:pos="103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161" w:lineRule="exact"/>
        <w:rPr>
          <w:rFonts w:ascii="Arial" w:cs="Arial" w:eastAsia="Arial" w:hAnsi="Arial"/>
          <w:sz w:val="19"/>
          <w:szCs w:val="19"/>
          <w:color w:val="auto"/>
        </w:rPr>
      </w:pPr>
    </w:p>
    <w:p>
      <w:pPr>
        <w:jc w:val="both"/>
        <w:ind w:left="-540" w:firstLine="645"/>
        <w:spacing w:after="0" w:line="247" w:lineRule="auto"/>
        <w:tabs>
          <w:tab w:leader="none" w:pos="1026" w:val="left"/>
        </w:tabs>
        <w:numPr>
          <w:ilvl w:val="0"/>
          <w:numId w:val="122"/>
        </w:numPr>
        <w:rPr>
          <w:rFonts w:ascii="Arial" w:cs="Arial" w:eastAsia="Arial" w:hAnsi="Arial"/>
          <w:sz w:val="21"/>
          <w:szCs w:val="21"/>
          <w:color w:val="auto"/>
        </w:rPr>
      </w:pPr>
      <w:r>
        <w:rPr>
          <w:rFonts w:ascii="Arial" w:cs="Arial" w:eastAsia="Arial" w:hAnsi="Arial"/>
          <w:sz w:val="21"/>
          <w:szCs w:val="21"/>
          <w:color w:val="auto"/>
        </w:rPr>
        <w:t>(i) the repurchase, redemption or other acquisition or retirement for value of any Equity Interests of Wynn Resorts, or (ii)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76835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89" w:name="page90"/>
    <w:bookmarkEnd w:id="89"/>
    <w:p>
      <w:pPr>
        <w:ind w:left="660"/>
        <w:spacing w:after="0" w:line="251" w:lineRule="auto"/>
        <w:rPr>
          <w:sz w:val="20"/>
          <w:szCs w:val="20"/>
          <w:color w:val="auto"/>
        </w:rPr>
      </w:pPr>
      <w:r>
        <w:rPr>
          <w:rFonts w:ascii="Arial" w:cs="Arial" w:eastAsia="Arial" w:hAnsi="Arial"/>
          <w:sz w:val="22"/>
          <w:szCs w:val="22"/>
          <w:color w:val="auto"/>
        </w:rPr>
        <w:t>together with the aggregate amount of all such distributions made to Wynn Resorts, shall not exceed $4.0 million in any calendar year;</w:t>
      </w:r>
    </w:p>
    <w:p>
      <w:pPr>
        <w:spacing w:after="0" w:line="200" w:lineRule="exact"/>
        <w:rPr>
          <w:sz w:val="20"/>
          <w:szCs w:val="20"/>
          <w:color w:val="auto"/>
        </w:rPr>
      </w:pPr>
    </w:p>
    <w:p>
      <w:pPr>
        <w:jc w:val="both"/>
        <w:ind w:left="660" w:firstLine="645"/>
        <w:spacing w:after="0"/>
        <w:tabs>
          <w:tab w:leader="none" w:pos="2469"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213" w:lineRule="exact"/>
        <w:rPr>
          <w:rFonts w:ascii="Arial" w:cs="Arial" w:eastAsia="Arial" w:hAnsi="Arial"/>
          <w:sz w:val="22"/>
          <w:szCs w:val="22"/>
          <w:color w:val="auto"/>
        </w:rPr>
      </w:pPr>
    </w:p>
    <w:p>
      <w:pPr>
        <w:ind w:left="2100" w:hanging="795"/>
        <w:spacing w:after="0"/>
        <w:tabs>
          <w:tab w:leader="none" w:pos="21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payment of amounts permitted to be paid pursuant to the Disbursement Agreement;</w:t>
      </w:r>
    </w:p>
    <w:p>
      <w:pPr>
        <w:spacing w:after="0" w:line="233" w:lineRule="exact"/>
        <w:rPr>
          <w:rFonts w:ascii="Arial" w:cs="Arial" w:eastAsia="Arial" w:hAnsi="Arial"/>
          <w:sz w:val="22"/>
          <w:szCs w:val="22"/>
          <w:color w:val="auto"/>
        </w:rPr>
      </w:pPr>
    </w:p>
    <w:p>
      <w:pPr>
        <w:ind w:left="2100" w:hanging="795"/>
        <w:spacing w:after="0"/>
        <w:tabs>
          <w:tab w:leader="none" w:pos="21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Restricted Payments consisting of transfers and other dispositions of Released Assets;</w:t>
      </w:r>
    </w:p>
    <w:p>
      <w:pPr>
        <w:spacing w:after="0" w:line="233" w:lineRule="exact"/>
        <w:rPr>
          <w:rFonts w:ascii="Arial" w:cs="Arial" w:eastAsia="Arial" w:hAnsi="Arial"/>
          <w:sz w:val="22"/>
          <w:szCs w:val="22"/>
          <w:color w:val="auto"/>
        </w:rPr>
      </w:pPr>
    </w:p>
    <w:p>
      <w:pPr>
        <w:ind w:left="660" w:firstLine="645"/>
        <w:spacing w:after="0" w:line="251" w:lineRule="auto"/>
        <w:tabs>
          <w:tab w:leader="none" w:pos="2307" w:val="left"/>
        </w:tabs>
        <w:numPr>
          <w:ilvl w:val="0"/>
          <w:numId w:val="123"/>
        </w:numPr>
        <w:rPr>
          <w:rFonts w:ascii="Arial" w:cs="Arial" w:eastAsia="Arial" w:hAnsi="Arial"/>
          <w:sz w:val="22"/>
          <w:szCs w:val="22"/>
          <w:color w:val="auto"/>
        </w:rPr>
      </w:pPr>
      <w:r>
        <w:rPr>
          <w:rFonts w:ascii="Arial" w:cs="Arial" w:eastAsia="Arial" w:hAnsi="Arial"/>
          <w:sz w:val="22"/>
          <w:szCs w:val="22"/>
          <w:color w:val="auto"/>
        </w:rPr>
        <w:t>Restricted Payments not otherwise permitted by the foregoing clauses (1) through (9) in an aggregate amount of not more than $75.0 million; and</w:t>
      </w:r>
    </w:p>
    <w:p>
      <w:pPr>
        <w:spacing w:after="0" w:line="200" w:lineRule="exact"/>
        <w:rPr>
          <w:rFonts w:ascii="Arial" w:cs="Arial" w:eastAsia="Arial" w:hAnsi="Arial"/>
          <w:sz w:val="22"/>
          <w:szCs w:val="22"/>
          <w:color w:val="auto"/>
        </w:rPr>
      </w:pPr>
    </w:p>
    <w:p>
      <w:pPr>
        <w:jc w:val="both"/>
        <w:ind w:left="660" w:firstLine="645"/>
        <w:spacing w:after="0"/>
        <w:tabs>
          <w:tab w:leader="none" w:pos="2108" w:val="left"/>
        </w:tabs>
        <w:numPr>
          <w:ilvl w:val="0"/>
          <w:numId w:val="123"/>
        </w:numPr>
        <w:rPr>
          <w:rFonts w:ascii="Arial" w:cs="Arial" w:eastAsia="Arial" w:hAnsi="Arial"/>
          <w:sz w:val="22"/>
          <w:szCs w:val="22"/>
          <w:color w:val="auto"/>
        </w:rPr>
      </w:pPr>
      <w:r>
        <w:rPr>
          <w:rFonts w:ascii="Arial" w:cs="Arial" w:eastAsia="Arial" w:hAnsi="Arial"/>
          <w:sz w:val="22"/>
          <w:szCs w:val="22"/>
          <w:color w:val="auto"/>
        </w:rPr>
        <w:t>dividends or distributions to Wynn Resorts, directly or through any intermediate Wholly Owned Subsidiary of Wynn Resorts, of amounts necessary to pay amounts then due and payable under the Tax Indemnification Agreement, as in effect on the date of this Indenture.</w:t>
      </w:r>
    </w:p>
    <w:p>
      <w:pPr>
        <w:spacing w:after="0" w:line="213" w:lineRule="exact"/>
        <w:rPr>
          <w:sz w:val="20"/>
          <w:szCs w:val="20"/>
          <w:color w:val="auto"/>
        </w:rPr>
      </w:pPr>
    </w:p>
    <w:p>
      <w:pPr>
        <w:jc w:val="both"/>
        <w:ind w:firstLine="656"/>
        <w:spacing w:after="0"/>
        <w:tabs>
          <w:tab w:leader="none" w:pos="133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amount of all Restricted Payments (other than cash) shall be the Fair Market Value on the date of the Restricted Payment of the asset(s) or securities proposed to be transferred or issued by Wynn Las Vegas or such Restricted Subsidiary, as the case may be, pursuant to the Restricted Payment.</w:t>
      </w:r>
    </w:p>
    <w:p>
      <w:pPr>
        <w:spacing w:after="0" w:line="213"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4.08</w:t>
      </w:r>
      <w:r>
        <w:rPr>
          <w:sz w:val="20"/>
          <w:szCs w:val="20"/>
          <w:color w:val="auto"/>
        </w:rPr>
        <w:tab/>
      </w:r>
      <w:r>
        <w:rPr>
          <w:rFonts w:ascii="Arial" w:cs="Arial" w:eastAsia="Arial" w:hAnsi="Arial"/>
          <w:sz w:val="19"/>
          <w:szCs w:val="19"/>
          <w:i w:val="1"/>
          <w:iCs w:val="1"/>
          <w:color w:val="auto"/>
        </w:rPr>
        <w:t>Dividend and Other Payment Restrictions Affecting Restricted Subsidiaries of Wynn Las Vegas.</w:t>
      </w:r>
    </w:p>
    <w:p>
      <w:pPr>
        <w:spacing w:after="0" w:line="233" w:lineRule="exact"/>
        <w:rPr>
          <w:sz w:val="20"/>
          <w:szCs w:val="20"/>
          <w:color w:val="auto"/>
        </w:rPr>
      </w:pPr>
    </w:p>
    <w:p>
      <w:pPr>
        <w:ind w:right="20" w:firstLine="656"/>
        <w:spacing w:after="0" w:line="328" w:lineRule="auto"/>
        <w:tabs>
          <w:tab w:leader="none" w:pos="1364"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Wynn Las Vegas shall not, and shall not permit any of its Restricted Subsidiaries to, directly or indirectly, create or permit to exist or become effective any consensual encumbrance or restriction on the ability of any Restricted Subsidiaries to:</w:t>
      </w:r>
    </w:p>
    <w:p>
      <w:pPr>
        <w:spacing w:after="0" w:line="132" w:lineRule="exact"/>
        <w:rPr>
          <w:rFonts w:ascii="Arial" w:cs="Arial" w:eastAsia="Arial" w:hAnsi="Arial"/>
          <w:sz w:val="19"/>
          <w:szCs w:val="19"/>
          <w:color w:val="auto"/>
        </w:rPr>
      </w:pPr>
    </w:p>
    <w:p>
      <w:pPr>
        <w:jc w:val="both"/>
        <w:ind w:left="660" w:firstLine="645"/>
        <w:spacing w:after="0"/>
        <w:tabs>
          <w:tab w:leader="none" w:pos="2431" w:val="left"/>
        </w:tabs>
        <w:numPr>
          <w:ilvl w:val="1"/>
          <w:numId w:val="125"/>
        </w:numPr>
        <w:rPr>
          <w:rFonts w:ascii="Arial" w:cs="Arial" w:eastAsia="Arial" w:hAnsi="Arial"/>
          <w:sz w:val="22"/>
          <w:szCs w:val="22"/>
          <w:color w:val="auto"/>
        </w:rPr>
      </w:pPr>
      <w:r>
        <w:rPr>
          <w:rFonts w:ascii="Arial" w:cs="Arial" w:eastAsia="Arial" w:hAnsi="Arial"/>
          <w:sz w:val="22"/>
          <w:szCs w:val="22"/>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213" w:lineRule="exact"/>
        <w:rPr>
          <w:rFonts w:ascii="Arial" w:cs="Arial" w:eastAsia="Arial" w:hAnsi="Arial"/>
          <w:sz w:val="22"/>
          <w:szCs w:val="22"/>
          <w:color w:val="auto"/>
        </w:rPr>
      </w:pPr>
    </w:p>
    <w:p>
      <w:pPr>
        <w:ind w:left="2160" w:hanging="855"/>
        <w:spacing w:after="0"/>
        <w:tabs>
          <w:tab w:leader="none" w:pos="216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make loans or advances to Wynn Las Vegas or any of its Restricted Subsidiaries; or</w:t>
      </w:r>
    </w:p>
    <w:p>
      <w:pPr>
        <w:spacing w:after="0" w:line="233" w:lineRule="exact"/>
        <w:rPr>
          <w:rFonts w:ascii="Arial" w:cs="Arial" w:eastAsia="Arial" w:hAnsi="Arial"/>
          <w:sz w:val="22"/>
          <w:szCs w:val="22"/>
          <w:color w:val="auto"/>
        </w:rPr>
      </w:pPr>
    </w:p>
    <w:p>
      <w:pPr>
        <w:ind w:left="2580" w:hanging="1275"/>
        <w:spacing w:after="0"/>
        <w:tabs>
          <w:tab w:leader="none" w:pos="2580" w:val="left"/>
        </w:tabs>
        <w:numPr>
          <w:ilvl w:val="1"/>
          <w:numId w:val="125"/>
        </w:numPr>
        <w:rPr>
          <w:rFonts w:ascii="Arial" w:cs="Arial" w:eastAsia="Arial" w:hAnsi="Arial"/>
          <w:sz w:val="21"/>
          <w:szCs w:val="21"/>
          <w:color w:val="auto"/>
        </w:rPr>
      </w:pPr>
      <w:r>
        <w:rPr>
          <w:rFonts w:ascii="Arial" w:cs="Arial" w:eastAsia="Arial" w:hAnsi="Arial"/>
          <w:sz w:val="21"/>
          <w:szCs w:val="21"/>
          <w:color w:val="auto"/>
        </w:rPr>
        <w:t>sell, lease, or transfer any of its properties or assets to Wynn Las Vegas or any of its Restricted</w:t>
      </w:r>
    </w:p>
    <w:p>
      <w:pPr>
        <w:spacing w:after="0" w:line="1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Subsidiaries.</w:t>
      </w:r>
    </w:p>
    <w:p>
      <w:pPr>
        <w:spacing w:after="0" w:line="215" w:lineRule="exact"/>
        <w:rPr>
          <w:rFonts w:ascii="Arial" w:cs="Arial" w:eastAsia="Arial" w:hAnsi="Arial"/>
          <w:sz w:val="21"/>
          <w:szCs w:val="21"/>
          <w:color w:val="auto"/>
        </w:rPr>
      </w:pPr>
    </w:p>
    <w:p>
      <w:pPr>
        <w:ind w:left="1340" w:hanging="684"/>
        <w:spacing w:after="0"/>
        <w:tabs>
          <w:tab w:leader="none" w:pos="134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restrictions in Section 4.08(a) hereof shall not apply to encumbrances or restrictions existing under or by reason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0" w:name="page91"/>
    <w:bookmarkEnd w:id="90"/>
    <w:p>
      <w:pPr>
        <w:ind w:left="660" w:firstLine="645"/>
        <w:spacing w:after="0" w:line="251" w:lineRule="auto"/>
        <w:tabs>
          <w:tab w:leader="none" w:pos="23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Notes, this Indenture, the 2014 Notes, the indenture governing the 2014 Notes, the 2017 Notes, the indenture governing the 2017 Notes, any Guarantees of such notes, or the Collateral Documents;</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applicable law, including rules, regulations and orders issued by any Gaming Authority;</w:t>
      </w:r>
    </w:p>
    <w:p>
      <w:pPr>
        <w:spacing w:after="0" w:line="233" w:lineRule="exact"/>
        <w:rPr>
          <w:rFonts w:ascii="Arial" w:cs="Arial" w:eastAsia="Arial" w:hAnsi="Arial"/>
          <w:sz w:val="22"/>
          <w:szCs w:val="22"/>
          <w:color w:val="auto"/>
        </w:rPr>
      </w:pPr>
    </w:p>
    <w:p>
      <w:pPr>
        <w:ind w:left="660" w:firstLine="645"/>
        <w:spacing w:after="0" w:line="328" w:lineRule="auto"/>
        <w:tabs>
          <w:tab w:leader="none" w:pos="219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customary non-assignment provisions in contracts, licenses or leases entered into in the ordinary course of business and consistent with practices that are customary in the gaming, lodging or entertainment industry;</w:t>
      </w:r>
    </w:p>
    <w:p>
      <w:pPr>
        <w:spacing w:after="0" w:line="132" w:lineRule="exact"/>
        <w:rPr>
          <w:rFonts w:ascii="Arial" w:cs="Arial" w:eastAsia="Arial" w:hAnsi="Arial"/>
          <w:sz w:val="19"/>
          <w:szCs w:val="19"/>
          <w:color w:val="auto"/>
        </w:rPr>
      </w:pPr>
    </w:p>
    <w:p>
      <w:pPr>
        <w:jc w:val="both"/>
        <w:ind w:left="660" w:firstLine="645"/>
        <w:spacing w:after="0" w:line="279" w:lineRule="auto"/>
        <w:tabs>
          <w:tab w:leader="none" w:pos="2206"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Credit Agreement as in effect on the date of this Indenture and any other Indebtedness permitted to be incurred by this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this Indenture;</w:t>
      </w:r>
    </w:p>
    <w:p>
      <w:pPr>
        <w:spacing w:after="0" w:line="177" w:lineRule="exact"/>
        <w:rPr>
          <w:rFonts w:ascii="Arial" w:cs="Arial" w:eastAsia="Arial" w:hAnsi="Arial"/>
          <w:sz w:val="19"/>
          <w:szCs w:val="19"/>
          <w:color w:val="auto"/>
        </w:rPr>
      </w:pPr>
    </w:p>
    <w:p>
      <w:pPr>
        <w:jc w:val="both"/>
        <w:ind w:left="660" w:firstLine="645"/>
        <w:spacing w:after="0" w:line="287" w:lineRule="auto"/>
        <w:tabs>
          <w:tab w:leader="none" w:pos="218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acquisition of the Capital Stock of any Person, or property or assets of any Person by Wynn Las Vegas or any of its Restricted Subsidiaries, if the encumbrances or restrictions (i) existed at the time of the acquisition and were not incurred in contemplation thereof and (ii) are not applicable to and are not spread to cover any Person or the property or assets of any Person other than the Person acquired or the property or assets of the Person acquired;</w:t>
      </w:r>
    </w:p>
    <w:p>
      <w:pPr>
        <w:spacing w:after="0" w:line="170" w:lineRule="exact"/>
        <w:rPr>
          <w:rFonts w:ascii="Arial" w:cs="Arial" w:eastAsia="Arial" w:hAnsi="Arial"/>
          <w:sz w:val="19"/>
          <w:szCs w:val="19"/>
          <w:color w:val="auto"/>
        </w:rPr>
      </w:pPr>
    </w:p>
    <w:p>
      <w:pPr>
        <w:jc w:val="both"/>
        <w:ind w:left="660" w:firstLine="645"/>
        <w:spacing w:after="0"/>
        <w:tabs>
          <w:tab w:leader="none" w:pos="2272" w:val="left"/>
        </w:tabs>
        <w:numPr>
          <w:ilvl w:val="0"/>
          <w:numId w:val="126"/>
        </w:numPr>
        <w:rPr>
          <w:rFonts w:ascii="Arial" w:cs="Arial" w:eastAsia="Arial" w:hAnsi="Arial"/>
          <w:sz w:val="22"/>
          <w:szCs w:val="22"/>
          <w:color w:val="auto"/>
        </w:rPr>
      </w:pPr>
      <w:r>
        <w:rPr>
          <w:rFonts w:ascii="Arial" w:cs="Arial" w:eastAsia="Arial" w:hAnsi="Arial"/>
          <w:sz w:val="22"/>
          <w:szCs w:val="22"/>
          <w:color w:val="auto"/>
        </w:rPr>
        <w:t>purchase money obligations or Capital Lease Obligations for Indebtedness permitted under clause (7) of Section 4.09(b) hereof that impose restrictions of the type described in clause (3) of Section 4.08(a) hereof on the assets so acquired;</w:t>
      </w:r>
    </w:p>
    <w:p>
      <w:pPr>
        <w:spacing w:after="0" w:line="213" w:lineRule="exact"/>
        <w:rPr>
          <w:rFonts w:ascii="Arial" w:cs="Arial" w:eastAsia="Arial" w:hAnsi="Arial"/>
          <w:sz w:val="22"/>
          <w:szCs w:val="22"/>
          <w:color w:val="auto"/>
        </w:rPr>
      </w:pPr>
    </w:p>
    <w:p>
      <w:pPr>
        <w:ind w:left="660" w:right="20" w:firstLine="645"/>
        <w:spacing w:after="0" w:line="251" w:lineRule="auto"/>
        <w:tabs>
          <w:tab w:leader="none" w:pos="228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any agreement for the sale or other disposition of a Restricted Subsidiary permitted hereby that restricts distributions by that Restricted Subsidiary pending its sale or other disposition;</w:t>
      </w:r>
    </w:p>
    <w:p>
      <w:pPr>
        <w:spacing w:after="0" w:line="200" w:lineRule="exact"/>
        <w:rPr>
          <w:rFonts w:ascii="Arial" w:cs="Arial" w:eastAsia="Arial" w:hAnsi="Arial"/>
          <w:sz w:val="22"/>
          <w:szCs w:val="22"/>
          <w:color w:val="auto"/>
        </w:rPr>
      </w:pPr>
    </w:p>
    <w:p>
      <w:pPr>
        <w:jc w:val="both"/>
        <w:ind w:left="660" w:firstLine="645"/>
        <w:spacing w:after="0"/>
        <w:tabs>
          <w:tab w:leader="none" w:pos="253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Liens permitted to be incurred under the provisions of Section 4.12 hereof, securing Indebtedness otherwise permitted to be incurred under Section 4.09(b) hereof, that limit the right of the debtor to dispose of the assets subject to such Liens; or</w:t>
      </w:r>
    </w:p>
    <w:p>
      <w:pPr>
        <w:spacing w:after="0" w:line="213" w:lineRule="exact"/>
        <w:rPr>
          <w:rFonts w:ascii="Arial" w:cs="Arial" w:eastAsia="Arial" w:hAnsi="Arial"/>
          <w:sz w:val="22"/>
          <w:szCs w:val="22"/>
          <w:color w:val="auto"/>
        </w:rPr>
      </w:pPr>
    </w:p>
    <w:p>
      <w:pPr>
        <w:jc w:val="both"/>
        <w:ind w:left="660" w:firstLine="645"/>
        <w:spacing w:after="0"/>
        <w:tabs>
          <w:tab w:leader="none" w:pos="2235" w:val="left"/>
        </w:tabs>
        <w:numPr>
          <w:ilvl w:val="0"/>
          <w:numId w:val="126"/>
        </w:numPr>
        <w:rPr>
          <w:rFonts w:ascii="Arial" w:cs="Arial" w:eastAsia="Arial" w:hAnsi="Arial"/>
          <w:sz w:val="22"/>
          <w:szCs w:val="22"/>
          <w:color w:val="auto"/>
        </w:rPr>
      </w:pPr>
      <w:r>
        <w:rPr>
          <w:rFonts w:ascii="Arial" w:cs="Arial" w:eastAsia="Arial" w:hAnsi="Arial"/>
          <w:sz w:val="22"/>
          <w:szCs w:val="22"/>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213"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4.09</w:t>
      </w:r>
      <w:r>
        <w:rPr>
          <w:sz w:val="20"/>
          <w:szCs w:val="20"/>
          <w:color w:val="auto"/>
        </w:rPr>
        <w:tab/>
      </w:r>
      <w:r>
        <w:rPr>
          <w:rFonts w:ascii="Arial" w:cs="Arial" w:eastAsia="Arial" w:hAnsi="Arial"/>
          <w:sz w:val="19"/>
          <w:szCs w:val="19"/>
          <w:i w:val="1"/>
          <w:iCs w:val="1"/>
          <w:color w:val="auto"/>
        </w:rPr>
        <w:t>Incurrence of Indebtedness and Issuance of Disqualified Stock.</w:t>
      </w:r>
    </w:p>
    <w:p>
      <w:pPr>
        <w:spacing w:after="0" w:line="233" w:lineRule="exact"/>
        <w:rPr>
          <w:sz w:val="20"/>
          <w:szCs w:val="20"/>
          <w:color w:val="auto"/>
        </w:rPr>
      </w:pPr>
    </w:p>
    <w:p>
      <w:pPr>
        <w:ind w:firstLine="656"/>
        <w:spacing w:after="0" w:line="251" w:lineRule="auto"/>
        <w:tabs>
          <w:tab w:leader="none" w:pos="134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Wynn Las Vegas shall not, and shall not permit any of its Restricted Subsidiaries to, directly or indirectly, (i) create, incur, issue, assume, guarantee or otherwise become directly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1" w:name="page92"/>
    <w:bookmarkEnd w:id="91"/>
    <w:p>
      <w:pPr>
        <w:jc w:val="both"/>
        <w:spacing w:after="0" w:line="246" w:lineRule="auto"/>
        <w:rPr>
          <w:sz w:val="20"/>
          <w:szCs w:val="20"/>
          <w:color w:val="auto"/>
        </w:rPr>
      </w:pPr>
      <w:r>
        <w:rPr>
          <w:rFonts w:ascii="Arial" w:cs="Arial" w:eastAsia="Arial" w:hAnsi="Arial"/>
          <w:sz w:val="21"/>
          <w:szCs w:val="21"/>
          <w:color w:val="auto"/>
        </w:rPr>
        <w:t>or indirectly liable, contingently or otherwise, with respect to (collectively, “</w:t>
      </w:r>
      <w:r>
        <w:rPr>
          <w:rFonts w:ascii="Arial" w:cs="Arial" w:eastAsia="Arial" w:hAnsi="Arial"/>
          <w:sz w:val="21"/>
          <w:szCs w:val="21"/>
          <w:i w:val="1"/>
          <w:iCs w:val="1"/>
          <w:u w:val="single" w:color="auto"/>
          <w:color w:val="auto"/>
        </w:rPr>
        <w:t>incur</w:t>
      </w:r>
      <w:r>
        <w:rPr>
          <w:rFonts w:ascii="Arial" w:cs="Arial" w:eastAsia="Arial" w:hAnsi="Arial"/>
          <w:sz w:val="21"/>
          <w:szCs w:val="21"/>
          <w:color w:val="auto"/>
        </w:rPr>
        <w:t>”) any Indebtedness (including Acquired Debt), or (ii) 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(the “</w:t>
      </w:r>
      <w:r>
        <w:rPr>
          <w:rFonts w:ascii="Arial" w:cs="Arial" w:eastAsia="Arial" w:hAnsi="Arial"/>
          <w:sz w:val="21"/>
          <w:szCs w:val="21"/>
          <w:i w:val="1"/>
          <w:iCs w:val="1"/>
          <w:u w:val="single" w:color="auto"/>
          <w:color w:val="auto"/>
        </w:rPr>
        <w:t>Reference Period</w:t>
      </w:r>
      <w:r>
        <w:rPr>
          <w:rFonts w:ascii="Arial" w:cs="Arial" w:eastAsia="Arial" w:hAnsi="Arial"/>
          <w:sz w:val="21"/>
          <w:szCs w:val="21"/>
          <w:color w:val="auto"/>
        </w:rPr>
        <w:t>”) would have been at least 2.0 to 1.0, determined on a pro forma basis, including a pro forma application of the net proceeds from the Indebtedness, as if the additional Indebtedness had been incurred or Disqualified Stock had been issued, as the case may be, at the beginning of such four-quarter period.</w:t>
      </w:r>
    </w:p>
    <w:p>
      <w:pPr>
        <w:spacing w:after="0" w:line="208" w:lineRule="exact"/>
        <w:rPr>
          <w:sz w:val="20"/>
          <w:szCs w:val="20"/>
          <w:color w:val="auto"/>
        </w:rPr>
      </w:pPr>
    </w:p>
    <w:p>
      <w:pPr>
        <w:ind w:firstLine="656"/>
        <w:spacing w:after="0" w:line="251" w:lineRule="auto"/>
        <w:tabs>
          <w:tab w:leader="none" w:pos="145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provisions of Section 4.09(a) shall not prohibit the incurrence of any of the following items of Indebtedness (collectively, “</w:t>
      </w:r>
      <w:r>
        <w:rPr>
          <w:rFonts w:ascii="Arial" w:cs="Arial" w:eastAsia="Arial" w:hAnsi="Arial"/>
          <w:sz w:val="22"/>
          <w:szCs w:val="22"/>
          <w:i w:val="1"/>
          <w:iCs w:val="1"/>
          <w:u w:val="single" w:color="auto"/>
          <w:color w:val="auto"/>
        </w:rPr>
        <w:t>Permitted Debt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jc w:val="both"/>
        <w:ind w:left="660" w:firstLine="645"/>
        <w:spacing w:after="0" w:line="246" w:lineRule="auto"/>
        <w:tabs>
          <w:tab w:leader="none" w:pos="2259" w:val="left"/>
        </w:tabs>
        <w:numPr>
          <w:ilvl w:val="1"/>
          <w:numId w:val="128"/>
        </w:numPr>
        <w:rPr>
          <w:rFonts w:ascii="Arial" w:cs="Arial" w:eastAsia="Arial" w:hAnsi="Arial"/>
          <w:sz w:val="21"/>
          <w:szCs w:val="21"/>
          <w:color w:val="auto"/>
        </w:rPr>
      </w:pPr>
      <w:r>
        <w:rPr>
          <w:rFonts w:ascii="Arial" w:cs="Arial" w:eastAsia="Arial" w:hAnsi="Arial"/>
          <w:sz w:val="21"/>
          <w:szCs w:val="21"/>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 (ii) the aggregate amount of all Net Proceeds of Assets Sales applied by Wynn Las Vegas or any of its Restricted Subsidiaries since the date of this Indenture to repay any term Indebtedness under the Credit Agreement or repay any revolving credit Indebtedness under the Credit Agreement and effect a corresponding perm anent reduction of commitments thereunder pursuant to Section 4.10 hereof or otherwise;</w:t>
      </w:r>
    </w:p>
    <w:p>
      <w:pPr>
        <w:spacing w:after="0" w:line="207" w:lineRule="exact"/>
        <w:rPr>
          <w:rFonts w:ascii="Arial" w:cs="Arial" w:eastAsia="Arial" w:hAnsi="Arial"/>
          <w:sz w:val="21"/>
          <w:szCs w:val="21"/>
          <w:color w:val="auto"/>
        </w:rPr>
      </w:pPr>
    </w:p>
    <w:p>
      <w:pPr>
        <w:ind w:left="2580" w:hanging="1275"/>
        <w:spacing w:after="0"/>
        <w:tabs>
          <w:tab w:leader="none" w:pos="2580" w:val="left"/>
        </w:tabs>
        <w:numPr>
          <w:ilvl w:val="1"/>
          <w:numId w:val="128"/>
        </w:numPr>
        <w:rPr>
          <w:rFonts w:ascii="Arial" w:cs="Arial" w:eastAsia="Arial" w:hAnsi="Arial"/>
          <w:sz w:val="19"/>
          <w:szCs w:val="19"/>
          <w:color w:val="auto"/>
        </w:rPr>
      </w:pPr>
      <w:r>
        <w:rPr>
          <w:rFonts w:ascii="Arial" w:cs="Arial" w:eastAsia="Arial" w:hAnsi="Arial"/>
          <w:sz w:val="19"/>
          <w:szCs w:val="19"/>
          <w:color w:val="auto"/>
        </w:rPr>
        <w:t>the incurrence by the Issuers and the Restricted Subsidiaries of Wynn Las Vegas of the Existing</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Indebtedness;</w:t>
      </w:r>
    </w:p>
    <w:p>
      <w:pPr>
        <w:spacing w:after="0" w:line="215" w:lineRule="exact"/>
        <w:rPr>
          <w:rFonts w:ascii="Arial" w:cs="Arial" w:eastAsia="Arial" w:hAnsi="Arial"/>
          <w:sz w:val="19"/>
          <w:szCs w:val="19"/>
          <w:color w:val="auto"/>
        </w:rPr>
      </w:pPr>
    </w:p>
    <w:p>
      <w:pPr>
        <w:jc w:val="both"/>
        <w:ind w:left="660" w:firstLine="645"/>
        <w:spacing w:after="0" w:line="273" w:lineRule="auto"/>
        <w:tabs>
          <w:tab w:leader="none" w:pos="2547" w:val="left"/>
        </w:tabs>
        <w:numPr>
          <w:ilvl w:val="1"/>
          <w:numId w:val="128"/>
        </w:numPr>
        <w:rPr>
          <w:rFonts w:ascii="Arial" w:cs="Arial" w:eastAsia="Arial" w:hAnsi="Arial"/>
          <w:sz w:val="19"/>
          <w:szCs w:val="19"/>
          <w:color w:val="auto"/>
        </w:rPr>
      </w:pPr>
      <w:r>
        <w:rPr>
          <w:rFonts w:ascii="Arial" w:cs="Arial" w:eastAsia="Arial" w:hAnsi="Arial"/>
          <w:sz w:val="19"/>
          <w:szCs w:val="19"/>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this Indenture to be incurred under this Section 4.09(a), under clauses</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(2), (7), (8), (9), (12), (13) or (14) of this Section 4.09(b), or under this clause (3);</w:t>
      </w:r>
    </w:p>
    <w:p>
      <w:pPr>
        <w:spacing w:after="0" w:line="215" w:lineRule="exact"/>
        <w:rPr>
          <w:rFonts w:ascii="Arial" w:cs="Arial" w:eastAsia="Arial" w:hAnsi="Arial"/>
          <w:sz w:val="19"/>
          <w:szCs w:val="19"/>
          <w:color w:val="auto"/>
        </w:rPr>
      </w:pPr>
    </w:p>
    <w:p>
      <w:pPr>
        <w:ind w:left="660" w:firstLine="645"/>
        <w:spacing w:after="0" w:line="274" w:lineRule="auto"/>
        <w:tabs>
          <w:tab w:leader="none" w:pos="2160" w:val="left"/>
        </w:tabs>
        <w:numPr>
          <w:ilvl w:val="1"/>
          <w:numId w:val="128"/>
        </w:numPr>
        <w:rPr>
          <w:rFonts w:ascii="Arial" w:cs="Arial" w:eastAsia="Arial" w:hAnsi="Arial"/>
          <w:sz w:val="21"/>
          <w:szCs w:val="21"/>
          <w:color w:val="auto"/>
        </w:rPr>
      </w:pPr>
      <w:r>
        <w:rPr>
          <w:rFonts w:ascii="Arial" w:cs="Arial" w:eastAsia="Arial" w:hAnsi="Arial"/>
          <w:sz w:val="21"/>
          <w:szCs w:val="21"/>
          <w:color w:val="auto"/>
        </w:rPr>
        <w:t xml:space="preserve">incurrence by Wynn Las Vegas or any of its Restricted Subsidiaries of intercompany Indebtedness between or among Wynn Las Vegas and any of its Restricted Subsidiaries; </w:t>
      </w:r>
      <w:r>
        <w:rPr>
          <w:rFonts w:ascii="Arial" w:cs="Arial" w:eastAsia="Arial" w:hAnsi="Arial"/>
          <w:sz w:val="21"/>
          <w:szCs w:val="21"/>
          <w:i w:val="1"/>
          <w:iCs w:val="1"/>
          <w:color w:val="auto"/>
        </w:rPr>
        <w:t>provided, however</w:t>
      </w:r>
      <w:r>
        <w:rPr>
          <w:rFonts w:ascii="Arial" w:cs="Arial" w:eastAsia="Arial" w:hAnsi="Arial"/>
          <w:sz w:val="21"/>
          <w:szCs w:val="21"/>
          <w:color w:val="auto"/>
        </w:rPr>
        <w:t>, that:</w:t>
      </w:r>
    </w:p>
    <w:p>
      <w:pPr>
        <w:spacing w:after="0" w:line="177" w:lineRule="exact"/>
        <w:rPr>
          <w:rFonts w:ascii="Arial" w:cs="Arial" w:eastAsia="Arial" w:hAnsi="Arial"/>
          <w:sz w:val="21"/>
          <w:szCs w:val="21"/>
          <w:color w:val="auto"/>
        </w:rPr>
      </w:pPr>
    </w:p>
    <w:p>
      <w:pPr>
        <w:jc w:val="both"/>
        <w:ind w:firstLine="2089"/>
        <w:spacing w:after="0" w:line="235" w:lineRule="auto"/>
        <w:tabs>
          <w:tab w:leader="none" w:pos="3128" w:val="left"/>
        </w:tabs>
        <w:numPr>
          <w:ilvl w:val="2"/>
          <w:numId w:val="128"/>
        </w:numPr>
        <w:rPr>
          <w:rFonts w:ascii="Arial" w:cs="Arial" w:eastAsia="Arial" w:hAnsi="Arial"/>
          <w:sz w:val="22"/>
          <w:szCs w:val="22"/>
          <w:color w:val="auto"/>
        </w:rPr>
      </w:pPr>
      <w:r>
        <w:rPr>
          <w:rFonts w:ascii="Arial" w:cs="Arial" w:eastAsia="Arial" w:hAnsi="Arial"/>
          <w:sz w:val="22"/>
          <w:szCs w:val="22"/>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Notes, in the case of Wynn Las Vegas, or its Note Guarantee under this Indenture, in the case of a Guarantor, except that no Indebtedness of Wynn Las Vegas or any Guarantor shall be deemed to be subordinated in right of payment to any other Indebtedness of Wynn Las Vegas or any such Guarantor solely by virtue of being unsecured; 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2" w:name="page93"/>
    <w:bookmarkEnd w:id="92"/>
    <w:p>
      <w:pPr>
        <w:jc w:val="both"/>
        <w:ind w:firstLine="2082"/>
        <w:spacing w:after="0" w:line="236" w:lineRule="auto"/>
        <w:tabs>
          <w:tab w:leader="none" w:pos="3072" w:val="left"/>
        </w:tabs>
        <w:numPr>
          <w:ilvl w:val="1"/>
          <w:numId w:val="129"/>
        </w:numPr>
        <w:rPr>
          <w:rFonts w:ascii="Arial" w:cs="Arial" w:eastAsia="Arial" w:hAnsi="Arial"/>
          <w:sz w:val="22"/>
          <w:szCs w:val="22"/>
          <w:color w:val="auto"/>
        </w:rPr>
      </w:pPr>
      <w:r>
        <w:rPr>
          <w:rFonts w:ascii="Arial" w:cs="Arial" w:eastAsia="Arial" w:hAnsi="Arial"/>
          <w:sz w:val="22"/>
          <w:szCs w:val="22"/>
          <w:color w:val="auto"/>
        </w:rPr>
        <w:t>(i) any subsequent issuance or transfer of Equity Interests that results in any such Indebtedness being held by a Person other than Wynn Las Vegas or a Restricted Subsidiary thereof, and (ii) any sale or other transfer of any such Indebtedness to a Person that is neither Wynn Las Vegas nor a Restricted Subsidiary thereof shall be deemed, in each case, to constitute an incurrence of such Indebtedness by Wynn Las Vegas or such Restricted Subsidiary, as the case may be, that was not permitted by this clause (4);</w:t>
      </w:r>
    </w:p>
    <w:p>
      <w:pPr>
        <w:spacing w:after="0" w:line="214" w:lineRule="exact"/>
        <w:rPr>
          <w:rFonts w:ascii="Arial" w:cs="Arial" w:eastAsia="Arial" w:hAnsi="Arial"/>
          <w:sz w:val="22"/>
          <w:szCs w:val="22"/>
          <w:color w:val="auto"/>
        </w:rPr>
      </w:pPr>
    </w:p>
    <w:p>
      <w:pPr>
        <w:ind w:left="660" w:right="20" w:firstLine="645"/>
        <w:spacing w:after="0" w:line="251" w:lineRule="auto"/>
        <w:tabs>
          <w:tab w:leader="none" w:pos="2353"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incurrence by Wynn Las Vegas or any of its Restricted Subsidiaries of Hedging Obligations in the ordinary course of business;</w:t>
      </w:r>
    </w:p>
    <w:p>
      <w:pPr>
        <w:spacing w:after="0" w:line="200" w:lineRule="exact"/>
        <w:rPr>
          <w:rFonts w:ascii="Arial" w:cs="Arial" w:eastAsia="Arial" w:hAnsi="Arial"/>
          <w:sz w:val="22"/>
          <w:szCs w:val="22"/>
          <w:color w:val="auto"/>
        </w:rPr>
      </w:pPr>
    </w:p>
    <w:p>
      <w:pPr>
        <w:jc w:val="both"/>
        <w:ind w:left="660" w:firstLine="645"/>
        <w:spacing w:after="0" w:line="238" w:lineRule="auto"/>
        <w:tabs>
          <w:tab w:leader="none" w:pos="216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$60.0 million at any time outstanding;</w:t>
      </w:r>
    </w:p>
    <w:p>
      <w:pPr>
        <w:spacing w:after="0" w:line="212" w:lineRule="exact"/>
        <w:rPr>
          <w:rFonts w:ascii="Arial" w:cs="Arial" w:eastAsia="Arial" w:hAnsi="Arial"/>
          <w:sz w:val="22"/>
          <w:szCs w:val="22"/>
          <w:color w:val="auto"/>
        </w:rPr>
      </w:pPr>
    </w:p>
    <w:p>
      <w:pPr>
        <w:jc w:val="both"/>
        <w:ind w:left="660" w:firstLine="645"/>
        <w:spacing w:after="0" w:line="246" w:lineRule="auto"/>
        <w:tabs>
          <w:tab w:leader="none" w:pos="232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 rge any Indebtedness incurred pursuant to this clause (7), not to exceed $100.0 million at any time outstanding;</w:t>
      </w:r>
    </w:p>
    <w:p>
      <w:pPr>
        <w:spacing w:after="0" w:line="207" w:lineRule="exact"/>
        <w:rPr>
          <w:rFonts w:ascii="Arial" w:cs="Arial" w:eastAsia="Arial" w:hAnsi="Arial"/>
          <w:sz w:val="21"/>
          <w:szCs w:val="21"/>
          <w:color w:val="auto"/>
        </w:rPr>
      </w:pPr>
    </w:p>
    <w:p>
      <w:pPr>
        <w:jc w:val="both"/>
        <w:ind w:left="660" w:firstLine="645"/>
        <w:spacing w:after="0" w:line="282" w:lineRule="auto"/>
        <w:tabs>
          <w:tab w:leader="none" w:pos="2364"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incurrence by Wynn Las Vegas or any of its Restricted Subsidiaries of Indebtedness in a principal amount, including all Permitted 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 the Holders continue to have a perfected first priority security interest in the Golf Course Land;</w:t>
      </w:r>
    </w:p>
    <w:p>
      <w:pPr>
        <w:spacing w:after="0" w:line="174" w:lineRule="exact"/>
        <w:rPr>
          <w:rFonts w:ascii="Arial" w:cs="Arial" w:eastAsia="Arial" w:hAnsi="Arial"/>
          <w:sz w:val="19"/>
          <w:szCs w:val="19"/>
          <w:color w:val="auto"/>
        </w:rPr>
      </w:pPr>
    </w:p>
    <w:p>
      <w:pPr>
        <w:jc w:val="both"/>
        <w:ind w:left="660" w:firstLine="645"/>
        <w:spacing w:after="0"/>
        <w:tabs>
          <w:tab w:leader="none" w:pos="2171"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clause (6) of Section 4.07(b) hereof;</w:t>
      </w:r>
    </w:p>
    <w:p>
      <w:pPr>
        <w:spacing w:after="0" w:line="213" w:lineRule="exact"/>
        <w:rPr>
          <w:rFonts w:ascii="Arial" w:cs="Arial" w:eastAsia="Arial" w:hAnsi="Arial"/>
          <w:sz w:val="22"/>
          <w:szCs w:val="22"/>
          <w:color w:val="auto"/>
        </w:rPr>
      </w:pPr>
    </w:p>
    <w:p>
      <w:pPr>
        <w:ind w:left="2100" w:hanging="795"/>
        <w:spacing w:after="0"/>
        <w:tabs>
          <w:tab w:leader="none" w:pos="21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ind w:left="660" w:firstLine="645"/>
        <w:spacing w:after="0" w:line="251" w:lineRule="auto"/>
        <w:tabs>
          <w:tab w:leader="none" w:pos="2219"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incurrence by Wynn Las Vegas or any of its Restricted Subsidiaries of additional Indebtedness in an aggregate principal amount at any time outstanding, not to exceed $100.0 million;</w:t>
      </w:r>
    </w:p>
    <w:p>
      <w:pPr>
        <w:spacing w:after="0" w:line="200" w:lineRule="exact"/>
        <w:rPr>
          <w:rFonts w:ascii="Arial" w:cs="Arial" w:eastAsia="Arial" w:hAnsi="Arial"/>
          <w:sz w:val="22"/>
          <w:szCs w:val="22"/>
          <w:color w:val="auto"/>
        </w:rPr>
      </w:pPr>
    </w:p>
    <w:p>
      <w:pPr>
        <w:ind w:left="2100" w:hanging="795"/>
        <w:spacing w:after="0"/>
        <w:tabs>
          <w:tab w:leader="none" w:pos="210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2014 Notes;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3" w:name="page94"/>
    <w:bookmarkEnd w:id="93"/>
    <w:p>
      <w:pPr>
        <w:ind w:left="2100" w:hanging="795"/>
        <w:spacing w:after="0"/>
        <w:tabs>
          <w:tab w:leader="none" w:pos="2100" w:val="left"/>
        </w:tabs>
        <w:numPr>
          <w:ilvl w:val="1"/>
          <w:numId w:val="131"/>
        </w:numPr>
        <w:rPr>
          <w:rFonts w:ascii="Arial" w:cs="Arial" w:eastAsia="Arial" w:hAnsi="Arial"/>
          <w:sz w:val="22"/>
          <w:szCs w:val="22"/>
          <w:color w:val="auto"/>
        </w:rPr>
      </w:pPr>
      <w:r>
        <w:rPr>
          <w:rFonts w:ascii="Arial" w:cs="Arial" w:eastAsia="Arial" w:hAnsi="Arial"/>
          <w:sz w:val="22"/>
          <w:szCs w:val="22"/>
          <w:color w:val="auto"/>
        </w:rPr>
        <w:t>the 2017 Notes;</w:t>
      </w:r>
    </w:p>
    <w:p>
      <w:pPr>
        <w:spacing w:after="0" w:line="233" w:lineRule="exact"/>
        <w:rPr>
          <w:rFonts w:ascii="Arial" w:cs="Arial" w:eastAsia="Arial" w:hAnsi="Arial"/>
          <w:sz w:val="22"/>
          <w:szCs w:val="22"/>
          <w:color w:val="auto"/>
        </w:rPr>
      </w:pPr>
    </w:p>
    <w:p>
      <w:pPr>
        <w:ind w:left="2100" w:hanging="795"/>
        <w:spacing w:after="0"/>
        <w:tabs>
          <w:tab w:leader="none" w:pos="2100" w:val="left"/>
        </w:tabs>
        <w:numPr>
          <w:ilvl w:val="1"/>
          <w:numId w:val="131"/>
        </w:numPr>
        <w:rPr>
          <w:rFonts w:ascii="Arial" w:cs="Arial" w:eastAsia="Arial" w:hAnsi="Arial"/>
          <w:sz w:val="22"/>
          <w:szCs w:val="22"/>
          <w:color w:val="auto"/>
        </w:rPr>
      </w:pPr>
      <w:r>
        <w:rPr>
          <w:rFonts w:ascii="Arial" w:cs="Arial" w:eastAsia="Arial" w:hAnsi="Arial"/>
          <w:sz w:val="22"/>
          <w:szCs w:val="22"/>
          <w:color w:val="auto"/>
        </w:rPr>
        <w:t>the Notes;</w:t>
      </w:r>
    </w:p>
    <w:p>
      <w:pPr>
        <w:spacing w:after="0" w:line="233" w:lineRule="exact"/>
        <w:rPr>
          <w:rFonts w:ascii="Arial" w:cs="Arial" w:eastAsia="Arial" w:hAnsi="Arial"/>
          <w:sz w:val="22"/>
          <w:szCs w:val="22"/>
          <w:color w:val="auto"/>
        </w:rPr>
      </w:pPr>
    </w:p>
    <w:p>
      <w:pPr>
        <w:jc w:val="both"/>
        <w:ind w:left="660" w:firstLine="645"/>
        <w:spacing w:after="0"/>
        <w:tabs>
          <w:tab w:leader="none" w:pos="2128" w:val="left"/>
        </w:tabs>
        <w:numPr>
          <w:ilvl w:val="1"/>
          <w:numId w:val="131"/>
        </w:numPr>
        <w:rPr>
          <w:rFonts w:ascii="Arial" w:cs="Arial" w:eastAsia="Arial" w:hAnsi="Arial"/>
          <w:sz w:val="22"/>
          <w:szCs w:val="22"/>
          <w:color w:val="auto"/>
        </w:rPr>
      </w:pPr>
      <w:r>
        <w:rPr>
          <w:rFonts w:ascii="Arial" w:cs="Arial" w:eastAsia="Arial" w:hAnsi="Arial"/>
          <w:sz w:val="22"/>
          <w:szCs w:val="22"/>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213" w:lineRule="exact"/>
        <w:rPr>
          <w:rFonts w:ascii="Arial" w:cs="Arial" w:eastAsia="Arial" w:hAnsi="Arial"/>
          <w:sz w:val="22"/>
          <w:szCs w:val="22"/>
          <w:color w:val="auto"/>
        </w:rPr>
      </w:pPr>
    </w:p>
    <w:p>
      <w:pPr>
        <w:jc w:val="both"/>
        <w:ind w:left="660" w:firstLine="645"/>
        <w:spacing w:after="0" w:line="259" w:lineRule="auto"/>
        <w:tabs>
          <w:tab w:leader="none" w:pos="2132" w:val="left"/>
        </w:tabs>
        <w:numPr>
          <w:ilvl w:val="1"/>
          <w:numId w:val="131"/>
        </w:numPr>
        <w:rPr>
          <w:rFonts w:ascii="Arial" w:cs="Arial" w:eastAsia="Arial" w:hAnsi="Arial"/>
          <w:sz w:val="19"/>
          <w:szCs w:val="19"/>
          <w:color w:val="auto"/>
        </w:rPr>
      </w:pPr>
      <w:r>
        <w:rPr>
          <w:rFonts w:ascii="Arial" w:cs="Arial" w:eastAsia="Arial" w:hAnsi="Arial"/>
          <w:sz w:val="19"/>
          <w:szCs w:val="19"/>
          <w:color w:val="auto"/>
        </w:rPr>
        <w:t>the incurrence by Wynn Las Vegas or any of its Restricted Subsidiaries of additional Indebtedness (so long as such Indebtedness is incurred under the Credit Agreement, through the issuance of Additional Notes under this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w:t>
      </w:r>
      <w:r>
        <w:rPr>
          <w:rFonts w:ascii="Arial" w:cs="Arial" w:eastAsia="Arial" w:hAnsi="Arial"/>
          <w:sz w:val="26"/>
          <w:szCs w:val="26"/>
          <w:color w:val="auto"/>
          <w:vertAlign w:val="superscript"/>
        </w:rPr>
        <w:t>2</w:t>
      </w:r>
      <w:r>
        <w:rPr>
          <w:rFonts w:ascii="Arial" w:cs="Arial" w:eastAsia="Arial" w:hAnsi="Arial"/>
          <w:sz w:val="19"/>
          <w:szCs w:val="19"/>
          <w:color w:val="auto"/>
        </w:rPr>
        <w:t>/</w:t>
      </w:r>
      <w:r>
        <w:rPr>
          <w:rFonts w:ascii="Arial" w:cs="Arial" w:eastAsia="Arial" w:hAnsi="Arial"/>
          <w:sz w:val="26"/>
          <w:szCs w:val="26"/>
          <w:color w:val="auto"/>
          <w:vertAlign w:val="subscript"/>
        </w:rPr>
        <w:t>3</w:t>
      </w:r>
      <w:r>
        <w:rPr>
          <w:rFonts w:ascii="Arial" w:cs="Arial" w:eastAsia="Arial" w:hAnsi="Arial"/>
          <w:sz w:val="19"/>
          <w:szCs w:val="19"/>
          <w:color w:val="auto"/>
        </w:rPr>
        <w:t>% of the aggregate cost of such Additional Entertainment Facility and/or Retail Facility; provided that, sub sequent to the date of this Indenture and on or prior to the date of the incurrence of such Indebtedness, net cash proceeds have been received by Wynn Las Vegas as a contribution to its common equity capital in an amount equal to at least 33</w:t>
      </w:r>
      <w:r>
        <w:rPr>
          <w:rFonts w:ascii="Arial" w:cs="Arial" w:eastAsia="Arial" w:hAnsi="Arial"/>
          <w:sz w:val="26"/>
          <w:szCs w:val="26"/>
          <w:color w:val="auto"/>
          <w:vertAlign w:val="superscript"/>
        </w:rPr>
        <w:t>1</w:t>
      </w:r>
      <w:r>
        <w:rPr>
          <w:rFonts w:ascii="Arial" w:cs="Arial" w:eastAsia="Arial" w:hAnsi="Arial"/>
          <w:sz w:val="19"/>
          <w:szCs w:val="19"/>
          <w:color w:val="auto"/>
        </w:rPr>
        <w:t>/</w:t>
      </w:r>
      <w:r>
        <w:rPr>
          <w:rFonts w:ascii="Arial" w:cs="Arial" w:eastAsia="Arial" w:hAnsi="Arial"/>
          <w:sz w:val="26"/>
          <w:szCs w:val="26"/>
          <w:color w:val="auto"/>
          <w:vertAlign w:val="subscript"/>
        </w:rPr>
        <w:t>3</w:t>
      </w:r>
      <w:r>
        <w:rPr>
          <w:rFonts w:ascii="Arial" w:cs="Arial" w:eastAsia="Arial" w:hAnsi="Arial"/>
          <w:sz w:val="19"/>
          <w:szCs w:val="19"/>
          <w:color w:val="auto"/>
        </w:rPr>
        <w:t>%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196" w:lineRule="exact"/>
        <w:rPr>
          <w:rFonts w:ascii="Arial" w:cs="Arial" w:eastAsia="Arial" w:hAnsi="Arial"/>
          <w:sz w:val="19"/>
          <w:szCs w:val="19"/>
          <w:color w:val="auto"/>
        </w:rPr>
      </w:pPr>
    </w:p>
    <w:p>
      <w:pPr>
        <w:ind w:left="660" w:firstLine="645"/>
        <w:spacing w:after="0" w:line="251" w:lineRule="auto"/>
        <w:tabs>
          <w:tab w:leader="none" w:pos="2174" w:val="left"/>
        </w:tabs>
        <w:numPr>
          <w:ilvl w:val="1"/>
          <w:numId w:val="131"/>
        </w:numPr>
        <w:rPr>
          <w:rFonts w:ascii="Arial" w:cs="Arial" w:eastAsia="Arial" w:hAnsi="Arial"/>
          <w:sz w:val="22"/>
          <w:szCs w:val="22"/>
          <w:color w:val="auto"/>
        </w:rPr>
      </w:pPr>
      <w:r>
        <w:rPr>
          <w:rFonts w:ascii="Arial" w:cs="Arial" w:eastAsia="Arial" w:hAnsi="Arial"/>
          <w:sz w:val="22"/>
          <w:szCs w:val="22"/>
          <w:color w:val="auto"/>
        </w:rPr>
        <w:t>the incurrence by Wynn Capital, as co-obligor, of any Indebtedness which Wynn Las Vegas is permitted to incur pursuant to the foregoing provisions.</w:t>
      </w:r>
    </w:p>
    <w:p>
      <w:pPr>
        <w:spacing w:after="0" w:line="200" w:lineRule="exact"/>
        <w:rPr>
          <w:rFonts w:ascii="Arial" w:cs="Arial" w:eastAsia="Arial" w:hAnsi="Arial"/>
          <w:sz w:val="22"/>
          <w:szCs w:val="22"/>
          <w:color w:val="auto"/>
        </w:rPr>
      </w:pPr>
    </w:p>
    <w:p>
      <w:pPr>
        <w:jc w:val="both"/>
        <w:ind w:firstLine="656"/>
        <w:spacing w:after="0" w:line="271" w:lineRule="auto"/>
        <w:tabs>
          <w:tab w:leader="none" w:pos="1381" w:val="left"/>
        </w:tabs>
        <w:numPr>
          <w:ilvl w:val="0"/>
          <w:numId w:val="132"/>
        </w:numPr>
        <w:rPr>
          <w:rFonts w:ascii="Arial" w:cs="Arial" w:eastAsia="Arial" w:hAnsi="Arial"/>
          <w:sz w:val="19"/>
          <w:szCs w:val="19"/>
          <w:color w:val="auto"/>
        </w:rPr>
      </w:pPr>
      <w:r>
        <w:rPr>
          <w:rFonts w:ascii="Arial" w:cs="Arial" w:eastAsia="Arial" w:hAnsi="Arial"/>
          <w:sz w:val="19"/>
          <w:szCs w:val="19"/>
          <w:color w:val="auto"/>
        </w:rPr>
        <w:t>For purposes of determining compliance with this Section 4.09, in the event that an item of proposed Indebtedness meets the criteria of more than one of the categories of Permitted Debt described in (1) through (16) of Section 4.09(b) hereof, or is entitled to be incurred pursuant to Section 4.09(a), the Issuers shall be permitted to classify such item of Indebtedness on the date of its incurrence, or later reclassify all or a portion of such item of Indebtedness, in any manner that complies with this Section 4.09 as of the date of such classification or reclassification. Indebtedness under the Credit Agreement outstanding on the date on which the Notes are first issued and authenticated under this Indenture shall initially be deemed to have been incurred on such dat e in reliance on the exception provided by clause (1) of Section 4.09(b) hereof.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shall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Section 4.09 shall not be exceeded solely as a result of fluctuations in exchange rates or currency values. In addition, any Indebtedness which is permitted to be incurred by Wynn Las Vegas or any of it 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4" w:name="page95"/>
    <w:bookmarkEnd w:id="94"/>
    <w:p>
      <w:pPr>
        <w:spacing w:after="0" w:line="251" w:lineRule="auto"/>
        <w:rPr>
          <w:sz w:val="20"/>
          <w:szCs w:val="20"/>
          <w:color w:val="auto"/>
        </w:rPr>
      </w:pPr>
      <w:r>
        <w:rPr>
          <w:rFonts w:ascii="Arial" w:cs="Arial" w:eastAsia="Arial" w:hAnsi="Arial"/>
          <w:sz w:val="22"/>
          <w:szCs w:val="22"/>
          <w:color w:val="auto"/>
        </w:rPr>
        <w:t>Restricted Subsidiaries under clause (7) set forth above may be incurred under the Credit Agreement or through the issuance of Additional Notes under this Indenture.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amount of any Indebtedness outstanding as of any date shall be:</w:t>
      </w:r>
    </w:p>
    <w:p>
      <w:pPr>
        <w:spacing w:after="0" w:line="233" w:lineRule="exact"/>
        <w:rPr>
          <w:sz w:val="20"/>
          <w:szCs w:val="20"/>
          <w:color w:val="auto"/>
        </w:rPr>
      </w:pPr>
    </w:p>
    <w:p>
      <w:pPr>
        <w:ind w:left="2160" w:hanging="855"/>
        <w:spacing w:after="0"/>
        <w:tabs>
          <w:tab w:leader="none" w:pos="216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accreted value of the Indebtedness, in the case of any Indebtedness issued with original issue discount;</w:t>
      </w:r>
    </w:p>
    <w:p>
      <w:pPr>
        <w:spacing w:after="0" w:line="267" w:lineRule="exact"/>
        <w:rPr>
          <w:rFonts w:ascii="Arial" w:cs="Arial" w:eastAsia="Arial" w:hAnsi="Arial"/>
          <w:sz w:val="19"/>
          <w:szCs w:val="19"/>
          <w:color w:val="auto"/>
        </w:rPr>
      </w:pPr>
    </w:p>
    <w:p>
      <w:pPr>
        <w:ind w:left="2160" w:hanging="855"/>
        <w:spacing w:after="0"/>
        <w:tabs>
          <w:tab w:leader="none" w:pos="216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principal amount of the Indebtedness, in the case of any other Indebtedness; and</w:t>
      </w:r>
    </w:p>
    <w:p>
      <w:pPr>
        <w:spacing w:after="0" w:line="233" w:lineRule="exact"/>
        <w:rPr>
          <w:rFonts w:ascii="Arial" w:cs="Arial" w:eastAsia="Arial" w:hAnsi="Arial"/>
          <w:sz w:val="22"/>
          <w:szCs w:val="22"/>
          <w:color w:val="auto"/>
        </w:rPr>
      </w:pPr>
    </w:p>
    <w:p>
      <w:pPr>
        <w:ind w:left="2260" w:hanging="955"/>
        <w:spacing w:after="0"/>
        <w:tabs>
          <w:tab w:leader="none" w:pos="226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in respect of Indebtedness of another Person secured by a Lien on the assets of the specified Person, the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lesser of:</w:t>
      </w:r>
    </w:p>
    <w:p>
      <w:pPr>
        <w:spacing w:after="0" w:line="215" w:lineRule="exact"/>
        <w:rPr>
          <w:rFonts w:ascii="Arial" w:cs="Arial" w:eastAsia="Arial" w:hAnsi="Arial"/>
          <w:sz w:val="19"/>
          <w:szCs w:val="19"/>
          <w:color w:val="auto"/>
        </w:rPr>
      </w:pPr>
    </w:p>
    <w:p>
      <w:pPr>
        <w:ind w:left="2960" w:hanging="899"/>
        <w:spacing w:after="0"/>
        <w:tabs>
          <w:tab w:leader="none" w:pos="296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the Fair Market Value of such assets at the date of determination; and</w:t>
      </w:r>
    </w:p>
    <w:p>
      <w:pPr>
        <w:spacing w:after="0" w:line="233" w:lineRule="exact"/>
        <w:rPr>
          <w:rFonts w:ascii="Arial" w:cs="Arial" w:eastAsia="Arial" w:hAnsi="Arial"/>
          <w:sz w:val="22"/>
          <w:szCs w:val="22"/>
          <w:color w:val="auto"/>
        </w:rPr>
      </w:pPr>
    </w:p>
    <w:p>
      <w:pPr>
        <w:ind w:left="2940" w:hanging="879"/>
        <w:spacing w:after="0"/>
        <w:tabs>
          <w:tab w:leader="none" w:pos="294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the amount of the Indebtedness of the other Person.</w:t>
      </w:r>
    </w:p>
    <w:p>
      <w:pPr>
        <w:spacing w:after="0" w:line="233"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18"/>
          <w:szCs w:val="18"/>
          <w:i w:val="1"/>
          <w:iCs w:val="1"/>
          <w:color w:val="auto"/>
        </w:rPr>
        <w:t>Asset Sales.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Wynn Las Vegas shall not, and shall not permit any of its Restricted Subsidiaries to, consummate an Asset Sale unless:</w:t>
      </w:r>
    </w:p>
    <w:p>
      <w:pPr>
        <w:spacing w:after="0" w:line="268" w:lineRule="exact"/>
        <w:rPr>
          <w:sz w:val="20"/>
          <w:szCs w:val="20"/>
          <w:color w:val="auto"/>
        </w:rPr>
      </w:pPr>
    </w:p>
    <w:p>
      <w:pPr>
        <w:jc w:val="both"/>
        <w:ind w:firstLine="656"/>
        <w:spacing w:after="0" w:line="297" w:lineRule="auto"/>
        <w:tabs>
          <w:tab w:leader="none" w:pos="1404" w:val="left"/>
        </w:tabs>
        <w:numPr>
          <w:ilvl w:val="0"/>
          <w:numId w:val="134"/>
        </w:numPr>
        <w:rPr>
          <w:rFonts w:ascii="Arial" w:cs="Arial" w:eastAsia="Arial" w:hAnsi="Arial"/>
          <w:sz w:val="19"/>
          <w:szCs w:val="19"/>
          <w:color w:val="auto"/>
        </w:rPr>
      </w:pPr>
      <w:r>
        <w:rPr>
          <w:rFonts w:ascii="Arial" w:cs="Arial" w:eastAsia="Arial" w:hAnsi="Arial"/>
          <w:sz w:val="19"/>
          <w:szCs w:val="19"/>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161" w:lineRule="exact"/>
        <w:rPr>
          <w:rFonts w:ascii="Arial" w:cs="Arial" w:eastAsia="Arial" w:hAnsi="Arial"/>
          <w:sz w:val="19"/>
          <w:szCs w:val="19"/>
          <w:color w:val="auto"/>
        </w:rPr>
      </w:pPr>
    </w:p>
    <w:p>
      <w:pPr>
        <w:jc w:val="both"/>
        <w:ind w:firstLine="656"/>
        <w:spacing w:after="0"/>
        <w:tabs>
          <w:tab w:leader="none" w:pos="1352"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213" w:lineRule="exact"/>
        <w:rPr>
          <w:rFonts w:ascii="Arial" w:cs="Arial" w:eastAsia="Arial" w:hAnsi="Arial"/>
          <w:sz w:val="22"/>
          <w:szCs w:val="22"/>
          <w:color w:val="auto"/>
        </w:rPr>
      </w:pPr>
    </w:p>
    <w:p>
      <w:pPr>
        <w:ind w:firstLine="656"/>
        <w:spacing w:after="0" w:line="251" w:lineRule="auto"/>
        <w:tabs>
          <w:tab w:leader="none" w:pos="1374"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at least 75% of the consideration received in the Asset Sale by Wynn Las Vegas or such Restricted Subsidiary is in the form of cash or Cash Equivalents.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this Section 4.10, each of the following shall be deemed to be cash:</w:t>
      </w:r>
    </w:p>
    <w:p>
      <w:pPr>
        <w:spacing w:after="0" w:line="233" w:lineRule="exact"/>
        <w:rPr>
          <w:sz w:val="20"/>
          <w:szCs w:val="20"/>
          <w:color w:val="auto"/>
        </w:rPr>
      </w:pPr>
    </w:p>
    <w:p>
      <w:pPr>
        <w:jc w:val="both"/>
        <w:ind w:left="660" w:firstLine="645"/>
        <w:spacing w:after="0" w:line="287" w:lineRule="auto"/>
        <w:tabs>
          <w:tab w:leader="none" w:pos="221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any liabilities, as shown on Wynn Las Vegas’ most recent consolidated balance sheet, of Wynn Las Vegas or any Restricted Subsidiary (other than contingent liabilities and liabilities that are by their terms subordinated to the Notes or any Note Guarantee) that are assumed by the transferee of any such assets pursuant to a customary novation agreement that releases Wynn Las Vegas or such Restricted Subsidiary from further liability; and</w:t>
      </w:r>
    </w:p>
    <w:p>
      <w:pPr>
        <w:spacing w:after="0" w:line="170" w:lineRule="exact"/>
        <w:rPr>
          <w:rFonts w:ascii="Arial" w:cs="Arial" w:eastAsia="Arial" w:hAnsi="Arial"/>
          <w:sz w:val="19"/>
          <w:szCs w:val="19"/>
          <w:color w:val="auto"/>
        </w:rPr>
      </w:pPr>
    </w:p>
    <w:p>
      <w:pPr>
        <w:ind w:left="660" w:firstLine="645"/>
        <w:spacing w:after="0" w:line="251" w:lineRule="auto"/>
        <w:tabs>
          <w:tab w:leader="none" w:pos="2263"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any securities, notes or other obligations received by Wynn Las Vegas or any such Restricted Subsidiary from such transferee that are converted within 30</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5" w:name="page96"/>
    <w:bookmarkEnd w:id="95"/>
    <w:p>
      <w:pPr>
        <w:ind w:left="660"/>
        <w:spacing w:after="0" w:line="251" w:lineRule="auto"/>
        <w:rPr>
          <w:sz w:val="20"/>
          <w:szCs w:val="20"/>
          <w:color w:val="auto"/>
        </w:rPr>
      </w:pPr>
      <w:r>
        <w:rPr>
          <w:rFonts w:ascii="Arial" w:cs="Arial" w:eastAsia="Arial" w:hAnsi="Arial"/>
          <w:sz w:val="22"/>
          <w:szCs w:val="22"/>
          <w:color w:val="auto"/>
        </w:rPr>
        <w:t>Business Days by Wynn Las Vegas or such Restricted Subsidiary into cash, to the extent of the cash received in that conversion.</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Section 4.13 hereof. In any such case,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the 2014 Notes and the 2017 Notes, and subject to other Permitted Liens and the terms of the Intercreditor Agreement) on any property or assets acquired or co nstructed with the Net Proceeds of any Asset Sale on the terms set forth in this Indenture, the Intercreditor Agreement and the other Collateral Documents. Pending the final application of any Net Proceeds, Wynn Las Vegas (or such Restricted Subsidiary, as the case may be) may (1) apply the Net Proceeds to temporarily reduce amounts outstanding under any pari passu secured revolving credit Indebtedness of Wynn Las Vegas or any of its Restricted Subsidiaries, or</w:t>
      </w:r>
    </w:p>
    <w:p>
      <w:pPr>
        <w:jc w:val="both"/>
        <w:ind w:firstLine="8"/>
        <w:spacing w:after="0" w:line="233" w:lineRule="auto"/>
        <w:tabs>
          <w:tab w:leader="none" w:pos="307"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invest the Net Proceeds in Cash Equivalents which, at any time other than during a Collateral Release Period, shall be subject to a perfected first priority security interest (equal and ratable with the security interest securing the Credit Agreement, the 2014 Notes and the 2017 Notes, and subject to other Permitted Liens and the terms of the Intercreditor Agreement) in favor of the Trustee, on behalf of the Holders, as security for the Notes.</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Any Net Proceeds from Asset Sales that are not applied or invested as provided in the preceding paragraph shall constitute “</w:t>
      </w:r>
      <w:r>
        <w:rPr>
          <w:rFonts w:ascii="Arial" w:cs="Arial" w:eastAsia="Arial" w:hAnsi="Arial"/>
          <w:sz w:val="19"/>
          <w:szCs w:val="19"/>
          <w:i w:val="1"/>
          <w:iCs w:val="1"/>
          <w:u w:val="single" w:color="auto"/>
          <w:color w:val="auto"/>
        </w:rPr>
        <w:t>Excess Net Proceeds</w:t>
      </w:r>
      <w:r>
        <w:rPr>
          <w:rFonts w:ascii="Arial" w:cs="Arial" w:eastAsia="Arial" w:hAnsi="Arial"/>
          <w:sz w:val="19"/>
          <w:szCs w:val="19"/>
          <w:color w:val="auto"/>
        </w:rPr>
        <w:t>.”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w:t>
      </w:r>
    </w:p>
    <w:p>
      <w:pPr>
        <w:spacing w:after="0" w:line="4" w:lineRule="exact"/>
        <w:rPr>
          <w:sz w:val="20"/>
          <w:szCs w:val="20"/>
          <w:color w:val="auto"/>
        </w:rPr>
      </w:pPr>
    </w:p>
    <w:p>
      <w:pPr>
        <w:jc w:val="both"/>
        <w:ind w:firstLine="8"/>
        <w:spacing w:after="0" w:line="270" w:lineRule="auto"/>
        <w:tabs>
          <w:tab w:leader="none" w:pos="318" w:val="left"/>
        </w:tabs>
        <w:numPr>
          <w:ilvl w:val="0"/>
          <w:numId w:val="137"/>
        </w:numPr>
        <w:rPr>
          <w:rFonts w:ascii="Arial" w:cs="Arial" w:eastAsia="Arial" w:hAnsi="Arial"/>
          <w:sz w:val="19"/>
          <w:szCs w:val="19"/>
          <w:color w:val="auto"/>
        </w:rPr>
      </w:pPr>
      <w:r>
        <w:rPr>
          <w:rFonts w:ascii="Arial" w:cs="Arial" w:eastAsia="Arial" w:hAnsi="Arial"/>
          <w:sz w:val="19"/>
          <w:szCs w:val="19"/>
          <w:color w:val="auto"/>
        </w:rPr>
        <w:t>shall collectively constitute “</w:t>
      </w:r>
      <w:r>
        <w:rPr>
          <w:rFonts w:ascii="Arial" w:cs="Arial" w:eastAsia="Arial" w:hAnsi="Arial"/>
          <w:sz w:val="19"/>
          <w:szCs w:val="19"/>
          <w:i w:val="1"/>
          <w:iCs w:val="1"/>
          <w:u w:val="single" w:color="auto"/>
          <w:color w:val="auto"/>
        </w:rPr>
        <w:t>Excess Proceeds</w:t>
      </w:r>
      <w:r>
        <w:rPr>
          <w:rFonts w:ascii="Arial" w:cs="Arial" w:eastAsia="Arial" w:hAnsi="Arial"/>
          <w:sz w:val="19"/>
          <w:szCs w:val="19"/>
          <w:color w:val="auto"/>
        </w:rPr>
        <w:t>”), Wynn Las Vegas shall allocate a portion of the Excess Proceeds, determined by m 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9"/>
          <w:szCs w:val="19"/>
          <w:i w:val="1"/>
          <w:iCs w:val="1"/>
          <w:u w:val="single" w:color="auto"/>
          <w:color w:val="auto"/>
        </w:rPr>
        <w:t>Asset Sale Offer Amount</w:t>
      </w:r>
      <w:r>
        <w:rPr>
          <w:rFonts w:ascii="Arial" w:cs="Arial" w:eastAsia="Arial" w:hAnsi="Arial"/>
          <w:sz w:val="19"/>
          <w:szCs w:val="19"/>
          <w:color w:val="auto"/>
        </w:rPr>
        <w:t>”), to make an offer (an “</w:t>
      </w:r>
      <w:r>
        <w:rPr>
          <w:rFonts w:ascii="Arial" w:cs="Arial" w:eastAsia="Arial" w:hAnsi="Arial"/>
          <w:sz w:val="19"/>
          <w:szCs w:val="19"/>
          <w:i w:val="1"/>
          <w:iCs w:val="1"/>
          <w:u w:val="single" w:color="auto"/>
          <w:color w:val="auto"/>
        </w:rPr>
        <w:t>Asset Sale Offer</w:t>
      </w:r>
      <w:r>
        <w:rPr>
          <w:rFonts w:ascii="Arial" w:cs="Arial" w:eastAsia="Arial" w:hAnsi="Arial"/>
          <w:sz w:val="19"/>
          <w:szCs w:val="19"/>
          <w:color w:val="auto"/>
        </w:rPr>
        <w:t>”) to all holders of Notes and, to the extent required, the holders of such Pari Passu Debt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shall be payable in cash. The amount of any such Excess Proceeds less the Asset Sale Offer Amount (the “</w:t>
      </w:r>
      <w:r>
        <w:rPr>
          <w:rFonts w:ascii="Arial" w:cs="Arial" w:eastAsia="Arial" w:hAnsi="Arial"/>
          <w:sz w:val="19"/>
          <w:szCs w:val="19"/>
          <w:i w:val="1"/>
          <w:iCs w:val="1"/>
          <w:u w:val="single" w:color="auto"/>
          <w:color w:val="auto"/>
        </w:rPr>
        <w:t>Asset Sale Repayment Amount</w:t>
      </w:r>
      <w:r>
        <w:rPr>
          <w:rFonts w:ascii="Arial" w:cs="Arial" w:eastAsia="Arial" w:hAnsi="Arial"/>
          <w:sz w:val="19"/>
          <w:szCs w:val="19"/>
          <w:color w:val="auto"/>
        </w:rPr>
        <w:t>”) shall concurrently be applied to repay any term Indebtedness outstanding under the Credit Agreement in accordance with the requirements of the Credit Agreement; provided, however,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6" w:name="page97"/>
    <w:bookmarkEnd w:id="96"/>
    <w:p>
      <w:pPr>
        <w:jc w:val="both"/>
        <w:spacing w:after="0" w:line="245" w:lineRule="auto"/>
        <w:rPr>
          <w:sz w:val="20"/>
          <w:szCs w:val="20"/>
          <w:color w:val="auto"/>
        </w:rPr>
      </w:pPr>
      <w:r>
        <w:rPr>
          <w:rFonts w:ascii="Arial" w:cs="Arial" w:eastAsia="Arial" w:hAnsi="Arial"/>
          <w:sz w:val="21"/>
          <w:szCs w:val="21"/>
          <w:color w:val="auto"/>
        </w:rPr>
        <w:t>holders of such Pari Passu 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this Indenture, the Credit Agreement, the 2014 Notes, the 2017 Notes and the Collateral Documents, including, without limitation, to reduce revolving credit Indebtedness (and, if required, commitments) under the Credit Agreement. If the aggregate principal amount of Notes and such other Pari Passu Debt tendered into such Asset Sale Offer exceeds the Asset Sale Offer Amount that may be applied to the Asset Sale Offer, the Trustee shall select the Notes and such other Pari Passu Debt to be purchased as described in Sections 3.02 and 3.10 hereof. Upon completion of each Asset Sale Offer, the amount of Excess Proceeds shall be reset at zero.</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Issuers shall comply with the requirements of Rule 14e-1 under the Exchange Act and any other securities laws and regulations thereunder to the extent such laws and regulations are applicable in connection with each repurchase of Notes pursuant to an Asset Sale Offer. To the extent that the provisions of any securities laws or regulations conflict with the provisions of Section 3.10 or this Section 4.10, the Issuers shall comply with the applicable securities laws and regulations and shall not be deemed to have breached their obligations under those provisions of this Indenture by virtue of such compliance.</w:t>
      </w:r>
    </w:p>
    <w:p>
      <w:pPr>
        <w:spacing w:after="0" w:line="175"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4.11</w:t>
      </w:r>
      <w:r>
        <w:rPr>
          <w:sz w:val="20"/>
          <w:szCs w:val="20"/>
          <w:color w:val="auto"/>
        </w:rPr>
        <w:tab/>
      </w:r>
      <w:r>
        <w:rPr>
          <w:rFonts w:ascii="Arial" w:cs="Arial" w:eastAsia="Arial" w:hAnsi="Arial"/>
          <w:sz w:val="19"/>
          <w:szCs w:val="19"/>
          <w:i w:val="1"/>
          <w:iCs w:val="1"/>
          <w:color w:val="auto"/>
        </w:rPr>
        <w:t>Transactions with Affiliates.</w:t>
      </w:r>
    </w:p>
    <w:p>
      <w:pPr>
        <w:spacing w:after="0" w:line="233" w:lineRule="exact"/>
        <w:rPr>
          <w:sz w:val="20"/>
          <w:szCs w:val="20"/>
          <w:color w:val="auto"/>
        </w:rPr>
      </w:pPr>
    </w:p>
    <w:p>
      <w:pPr>
        <w:jc w:val="both"/>
        <w:ind w:firstLine="656"/>
        <w:spacing w:after="0" w:line="238" w:lineRule="auto"/>
        <w:tabs>
          <w:tab w:leader="none" w:pos="138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Wynn Las Vegas shall not, and shall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w:t>
      </w:r>
      <w:r>
        <w:rPr>
          <w:rFonts w:ascii="Arial" w:cs="Arial" w:eastAsia="Arial" w:hAnsi="Arial"/>
          <w:sz w:val="22"/>
          <w:szCs w:val="22"/>
          <w:i w:val="1"/>
          <w:iCs w:val="1"/>
          <w:u w:val="single" w:color="auto"/>
          <w:color w:val="auto"/>
        </w:rPr>
        <w:t>Affiliate Transaction</w:t>
      </w:r>
      <w:r>
        <w:rPr>
          <w:rFonts w:ascii="Arial" w:cs="Arial" w:eastAsia="Arial" w:hAnsi="Arial"/>
          <w:sz w:val="22"/>
          <w:szCs w:val="22"/>
          <w:color w:val="auto"/>
        </w:rPr>
        <w:t>”), unless:</w:t>
      </w:r>
    </w:p>
    <w:p>
      <w:pPr>
        <w:spacing w:after="0" w:line="212" w:lineRule="exact"/>
        <w:rPr>
          <w:rFonts w:ascii="Arial" w:cs="Arial" w:eastAsia="Arial" w:hAnsi="Arial"/>
          <w:sz w:val="22"/>
          <w:szCs w:val="22"/>
          <w:color w:val="auto"/>
        </w:rPr>
      </w:pPr>
    </w:p>
    <w:p>
      <w:pPr>
        <w:jc w:val="both"/>
        <w:ind w:left="660" w:firstLine="645"/>
        <w:spacing w:after="0" w:line="328" w:lineRule="auto"/>
        <w:tabs>
          <w:tab w:leader="none" w:pos="2226" w:val="left"/>
        </w:tabs>
        <w:numPr>
          <w:ilvl w:val="1"/>
          <w:numId w:val="138"/>
        </w:numPr>
        <w:rPr>
          <w:rFonts w:ascii="Arial" w:cs="Arial" w:eastAsia="Arial" w:hAnsi="Arial"/>
          <w:sz w:val="19"/>
          <w:szCs w:val="19"/>
          <w:color w:val="auto"/>
        </w:rPr>
      </w:pPr>
      <w:r>
        <w:rPr>
          <w:rFonts w:ascii="Arial" w:cs="Arial" w:eastAsia="Arial" w:hAnsi="Arial"/>
          <w:sz w:val="19"/>
          <w:szCs w:val="19"/>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132" w:lineRule="exact"/>
        <w:rPr>
          <w:rFonts w:ascii="Arial" w:cs="Arial" w:eastAsia="Arial" w:hAnsi="Arial"/>
          <w:sz w:val="19"/>
          <w:szCs w:val="19"/>
          <w:color w:val="auto"/>
        </w:rPr>
      </w:pPr>
    </w:p>
    <w:p>
      <w:pPr>
        <w:ind w:left="2100" w:hanging="795"/>
        <w:spacing w:after="0"/>
        <w:tabs>
          <w:tab w:leader="none" w:pos="210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Wynn Las Vegas or the applicable Restricted Subsidiary delivers to the Trustee:</w:t>
      </w:r>
    </w:p>
    <w:p>
      <w:pPr>
        <w:spacing w:after="0" w:line="233" w:lineRule="exact"/>
        <w:rPr>
          <w:rFonts w:ascii="Arial" w:cs="Arial" w:eastAsia="Arial" w:hAnsi="Arial"/>
          <w:sz w:val="22"/>
          <w:szCs w:val="22"/>
          <w:color w:val="auto"/>
        </w:rPr>
      </w:pPr>
    </w:p>
    <w:p>
      <w:pPr>
        <w:jc w:val="both"/>
        <w:ind w:firstLine="2101"/>
        <w:spacing w:after="0" w:line="236" w:lineRule="auto"/>
        <w:tabs>
          <w:tab w:leader="none" w:pos="3207" w:val="left"/>
        </w:tabs>
        <w:numPr>
          <w:ilvl w:val="2"/>
          <w:numId w:val="138"/>
        </w:numPr>
        <w:rPr>
          <w:rFonts w:ascii="Arial" w:cs="Arial" w:eastAsia="Arial" w:hAnsi="Arial"/>
          <w:sz w:val="22"/>
          <w:szCs w:val="22"/>
          <w:color w:val="auto"/>
        </w:rPr>
      </w:pPr>
      <w:r>
        <w:rPr>
          <w:rFonts w:ascii="Arial" w:cs="Arial" w:eastAsia="Arial" w:hAnsi="Arial"/>
          <w:sz w:val="22"/>
          <w:szCs w:val="22"/>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Section 4.11 and that such Affiliate Transaction has been approved by a majority of the disinterested directors of Wynn Capital, to the extent that there are any such disinterested directors of Wynn Capital; and</w:t>
      </w:r>
    </w:p>
    <w:p>
      <w:pPr>
        <w:spacing w:after="0" w:line="214" w:lineRule="exact"/>
        <w:rPr>
          <w:rFonts w:ascii="Arial" w:cs="Arial" w:eastAsia="Arial" w:hAnsi="Arial"/>
          <w:sz w:val="22"/>
          <w:szCs w:val="22"/>
          <w:color w:val="auto"/>
        </w:rPr>
      </w:pPr>
    </w:p>
    <w:p>
      <w:pPr>
        <w:jc w:val="both"/>
        <w:ind w:firstLine="2096"/>
        <w:spacing w:after="0"/>
        <w:tabs>
          <w:tab w:leader="none" w:pos="3236" w:val="left"/>
        </w:tabs>
        <w:numPr>
          <w:ilvl w:val="2"/>
          <w:numId w:val="138"/>
        </w:numPr>
        <w:rPr>
          <w:rFonts w:ascii="Arial" w:cs="Arial" w:eastAsia="Arial" w:hAnsi="Arial"/>
          <w:sz w:val="22"/>
          <w:szCs w:val="22"/>
          <w:color w:val="auto"/>
        </w:rPr>
      </w:pPr>
      <w:r>
        <w:rPr>
          <w:rFonts w:ascii="Arial" w:cs="Arial" w:eastAsia="Arial" w:hAnsi="Arial"/>
          <w:sz w:val="22"/>
          <w:szCs w:val="22"/>
          <w:color w:val="auto"/>
        </w:rPr>
        <w:t>with respect to any Affiliate Transaction or series of related Affiliate Transactions involving aggregate consideration in excess of $25.0 million, an opinion as to the fairness to Wynn Las Vegas or such Restricted Subsidiary of such Affiliate Transaction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7" w:name="page98"/>
    <w:bookmarkEnd w:id="97"/>
    <w:p>
      <w:pPr>
        <w:spacing w:after="0" w:line="251" w:lineRule="auto"/>
        <w:rPr>
          <w:sz w:val="20"/>
          <w:szCs w:val="20"/>
          <w:color w:val="auto"/>
        </w:rPr>
      </w:pPr>
      <w:r>
        <w:rPr>
          <w:rFonts w:ascii="Arial" w:cs="Arial" w:eastAsia="Arial" w:hAnsi="Arial"/>
          <w:sz w:val="22"/>
          <w:szCs w:val="22"/>
          <w:color w:val="auto"/>
        </w:rPr>
        <w:t>from a financial point of view issued by an accounting, appraisal or investment banking firm of national standing prior to the consummation of such Affiliate Transaction; and</w:t>
      </w:r>
    </w:p>
    <w:p>
      <w:pPr>
        <w:spacing w:after="0" w:line="200" w:lineRule="exact"/>
        <w:rPr>
          <w:sz w:val="20"/>
          <w:szCs w:val="20"/>
          <w:color w:val="auto"/>
        </w:rPr>
      </w:pPr>
    </w:p>
    <w:p>
      <w:pPr>
        <w:jc w:val="both"/>
        <w:ind w:left="660" w:firstLine="645"/>
        <w:spacing w:after="0" w:line="236" w:lineRule="auto"/>
        <w:tabs>
          <w:tab w:leader="none" w:pos="2159" w:val="left"/>
        </w:tabs>
        <w:numPr>
          <w:ilvl w:val="1"/>
          <w:numId w:val="139"/>
        </w:numPr>
        <w:rPr>
          <w:rFonts w:ascii="Arial" w:cs="Arial" w:eastAsia="Arial" w:hAnsi="Arial"/>
          <w:sz w:val="22"/>
          <w:szCs w:val="22"/>
          <w:color w:val="auto"/>
        </w:rPr>
      </w:pPr>
      <w:r>
        <w:rPr>
          <w:rFonts w:ascii="Arial" w:cs="Arial" w:eastAsia="Arial" w:hAnsi="Arial"/>
          <w:sz w:val="22"/>
          <w:szCs w:val="22"/>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214" w:lineRule="exact"/>
        <w:rPr>
          <w:rFonts w:ascii="Arial" w:cs="Arial" w:eastAsia="Arial" w:hAnsi="Arial"/>
          <w:sz w:val="22"/>
          <w:szCs w:val="22"/>
          <w:color w:val="auto"/>
        </w:rPr>
      </w:pPr>
    </w:p>
    <w:p>
      <w:pPr>
        <w:ind w:right="20" w:firstLine="656"/>
        <w:spacing w:after="0" w:line="251" w:lineRule="auto"/>
        <w:tabs>
          <w:tab w:leader="none" w:pos="1503"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following items shall not be deemed to be Affiliate Transactions and, therefore, shall not be subject to the provisions of Section 4.11(a):</w:t>
      </w:r>
    </w:p>
    <w:p>
      <w:pPr>
        <w:spacing w:after="0" w:line="200" w:lineRule="exact"/>
        <w:rPr>
          <w:rFonts w:ascii="Arial" w:cs="Arial" w:eastAsia="Arial" w:hAnsi="Arial"/>
          <w:sz w:val="22"/>
          <w:szCs w:val="22"/>
          <w:color w:val="auto"/>
        </w:rPr>
      </w:pPr>
    </w:p>
    <w:p>
      <w:pPr>
        <w:ind w:left="660" w:firstLine="645"/>
        <w:spacing w:after="0" w:line="251" w:lineRule="auto"/>
        <w:tabs>
          <w:tab w:leader="none" w:pos="2182" w:val="left"/>
        </w:tabs>
        <w:numPr>
          <w:ilvl w:val="1"/>
          <w:numId w:val="140"/>
        </w:numPr>
        <w:rPr>
          <w:rFonts w:ascii="Arial" w:cs="Arial" w:eastAsia="Arial" w:hAnsi="Arial"/>
          <w:sz w:val="22"/>
          <w:szCs w:val="22"/>
          <w:color w:val="auto"/>
        </w:rPr>
      </w:pPr>
      <w:r>
        <w:rPr>
          <w:rFonts w:ascii="Arial" w:cs="Arial" w:eastAsia="Arial" w:hAnsi="Arial"/>
          <w:sz w:val="22"/>
          <w:szCs w:val="22"/>
          <w:color w:val="auto"/>
        </w:rPr>
        <w:t>any employment agreement entered into by Wynn Las Vegas or any of its Restricted Subsidiaries with any Person (other than the Principal) in the ordinary course of business;</w:t>
      </w:r>
    </w:p>
    <w:p>
      <w:pPr>
        <w:spacing w:after="0" w:line="200" w:lineRule="exact"/>
        <w:rPr>
          <w:rFonts w:ascii="Arial" w:cs="Arial" w:eastAsia="Arial" w:hAnsi="Arial"/>
          <w:sz w:val="22"/>
          <w:szCs w:val="22"/>
          <w:color w:val="auto"/>
        </w:rPr>
      </w:pPr>
    </w:p>
    <w:p>
      <w:pPr>
        <w:jc w:val="both"/>
        <w:ind w:left="660" w:firstLine="645"/>
        <w:spacing w:after="0"/>
        <w:tabs>
          <w:tab w:leader="none" w:pos="2256"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213" w:lineRule="exact"/>
        <w:rPr>
          <w:rFonts w:ascii="Arial" w:cs="Arial" w:eastAsia="Arial" w:hAnsi="Arial"/>
          <w:sz w:val="22"/>
          <w:szCs w:val="22"/>
          <w:color w:val="auto"/>
        </w:rPr>
      </w:pPr>
    </w:p>
    <w:p>
      <w:pPr>
        <w:ind w:left="2160" w:hanging="855"/>
        <w:spacing w:after="0"/>
        <w:tabs>
          <w:tab w:leader="none" w:pos="216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transactions between or among Wynn Las Vegas and/or its Restricted Subsidiaries;</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Restricted Payments that are made in compliance with the provisions of Section 4.07 hereof;</w:t>
      </w:r>
    </w:p>
    <w:p>
      <w:pPr>
        <w:spacing w:after="0" w:line="233" w:lineRule="exact"/>
        <w:rPr>
          <w:rFonts w:ascii="Arial" w:cs="Arial" w:eastAsia="Arial" w:hAnsi="Arial"/>
          <w:sz w:val="22"/>
          <w:szCs w:val="22"/>
          <w:color w:val="auto"/>
        </w:rPr>
      </w:pPr>
    </w:p>
    <w:p>
      <w:pPr>
        <w:jc w:val="both"/>
        <w:ind w:left="660" w:firstLine="645"/>
        <w:spacing w:after="0" w:line="258" w:lineRule="auto"/>
        <w:tabs>
          <w:tab w:leader="none" w:pos="2370" w:val="left"/>
        </w:tabs>
        <w:numPr>
          <w:ilvl w:val="1"/>
          <w:numId w:val="140"/>
        </w:numPr>
        <w:rPr>
          <w:rFonts w:ascii="Arial" w:cs="Arial" w:eastAsia="Arial" w:hAnsi="Arial"/>
          <w:sz w:val="21"/>
          <w:szCs w:val="21"/>
          <w:color w:val="auto"/>
        </w:rPr>
      </w:pPr>
      <w:r>
        <w:rPr>
          <w:rFonts w:ascii="Arial" w:cs="Arial" w:eastAsia="Arial" w:hAnsi="Arial"/>
          <w:sz w:val="21"/>
          <w:szCs w:val="21"/>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spacing w:after="0" w:line="193" w:lineRule="exact"/>
        <w:rPr>
          <w:rFonts w:ascii="Arial" w:cs="Arial" w:eastAsia="Arial" w:hAnsi="Arial"/>
          <w:sz w:val="21"/>
          <w:szCs w:val="21"/>
          <w:color w:val="auto"/>
        </w:rPr>
      </w:pPr>
    </w:p>
    <w:p>
      <w:pPr>
        <w:jc w:val="both"/>
        <w:ind w:left="660" w:firstLine="645"/>
        <w:spacing w:after="0" w:line="238" w:lineRule="auto"/>
        <w:tabs>
          <w:tab w:leader="none" w:pos="2165" w:val="left"/>
        </w:tabs>
        <w:numPr>
          <w:ilvl w:val="1"/>
          <w:numId w:val="140"/>
        </w:numPr>
        <w:rPr>
          <w:rFonts w:ascii="Arial" w:cs="Arial" w:eastAsia="Arial" w:hAnsi="Arial"/>
          <w:sz w:val="22"/>
          <w:szCs w:val="22"/>
          <w:color w:val="auto"/>
        </w:rPr>
      </w:pPr>
      <w:r>
        <w:rPr>
          <w:rFonts w:ascii="Arial" w:cs="Arial" w:eastAsia="Arial" w:hAnsi="Arial"/>
          <w:sz w:val="22"/>
          <w:szCs w:val="22"/>
          <w:color w:val="auto"/>
        </w:rPr>
        <w:t>(i) the payment of Allocable Overhead to Wynn Resorts in respect of each Qualifying Project of Wynn Las Vegas and its Restricted Subsidaries and (ii) other payments made pursuant to the Affiliate Agreements, in each case, as in effect on the date of this Indenture or as such Affiliate Agreements may be amended, modified or supplemented in any manner that is not in contravention of Section 4.22;</w:t>
      </w:r>
    </w:p>
    <w:p>
      <w:pPr>
        <w:spacing w:after="0" w:line="212" w:lineRule="exact"/>
        <w:rPr>
          <w:rFonts w:ascii="Arial" w:cs="Arial" w:eastAsia="Arial" w:hAnsi="Arial"/>
          <w:sz w:val="22"/>
          <w:szCs w:val="22"/>
          <w:color w:val="auto"/>
        </w:rPr>
      </w:pPr>
    </w:p>
    <w:p>
      <w:pPr>
        <w:ind w:left="2160" w:hanging="855"/>
        <w:spacing w:after="0"/>
        <w:tabs>
          <w:tab w:leader="none" w:pos="2160" w:val="left"/>
        </w:tabs>
        <w:numPr>
          <w:ilvl w:val="1"/>
          <w:numId w:val="140"/>
        </w:numPr>
        <w:rPr>
          <w:rFonts w:ascii="Arial" w:cs="Arial" w:eastAsia="Arial" w:hAnsi="Arial"/>
          <w:sz w:val="21"/>
          <w:szCs w:val="21"/>
          <w:color w:val="auto"/>
        </w:rPr>
      </w:pPr>
      <w:r>
        <w:rPr>
          <w:rFonts w:ascii="Arial" w:cs="Arial" w:eastAsia="Arial" w:hAnsi="Arial"/>
          <w:sz w:val="21"/>
          <w:szCs w:val="21"/>
          <w:color w:val="auto"/>
        </w:rPr>
        <w:t>any Permitted Investment made pursuant to clauses (12), (13) or (14) of the definition thereof; and</w:t>
      </w:r>
    </w:p>
    <w:p>
      <w:pPr>
        <w:spacing w:after="0" w:line="244" w:lineRule="exact"/>
        <w:rPr>
          <w:rFonts w:ascii="Arial" w:cs="Arial" w:eastAsia="Arial" w:hAnsi="Arial"/>
          <w:sz w:val="21"/>
          <w:szCs w:val="21"/>
          <w:color w:val="auto"/>
        </w:rPr>
      </w:pPr>
    </w:p>
    <w:p>
      <w:pPr>
        <w:ind w:left="660" w:firstLine="645"/>
        <w:spacing w:after="0" w:line="251" w:lineRule="auto"/>
        <w:tabs>
          <w:tab w:leader="none" w:pos="2208"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the issuance by Wynn Las Vegas of any Equity Interests (other than Disqualified Stock) to any Affiliate if such issuance is otherwise not in contravention of the terms of this Indenture.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8" w:name="page99"/>
    <w:bookmarkEnd w:id="98"/>
    <w:p>
      <w:pPr>
        <w:spacing w:after="0"/>
        <w:tabs>
          <w:tab w:leader="none" w:pos="1940" w:val="left"/>
        </w:tabs>
        <w:rPr>
          <w:sz w:val="20"/>
          <w:szCs w:val="20"/>
          <w:color w:val="auto"/>
        </w:rPr>
      </w:pPr>
      <w:r>
        <w:rPr>
          <w:rFonts w:ascii="Arial" w:cs="Arial" w:eastAsia="Arial" w:hAnsi="Arial"/>
          <w:sz w:val="22"/>
          <w:szCs w:val="22"/>
          <w:color w:val="auto"/>
        </w:rPr>
        <w:t>Section 4.12</w:t>
      </w:r>
      <w:r>
        <w:rPr>
          <w:sz w:val="20"/>
          <w:szCs w:val="20"/>
          <w:color w:val="auto"/>
        </w:rPr>
        <w:tab/>
      </w:r>
      <w:r>
        <w:rPr>
          <w:rFonts w:ascii="Arial" w:cs="Arial" w:eastAsia="Arial" w:hAnsi="Arial"/>
          <w:sz w:val="19"/>
          <w:szCs w:val="19"/>
          <w:i w:val="1"/>
          <w:iCs w:val="1"/>
          <w:color w:val="auto"/>
        </w:rPr>
        <w:t>Liens.</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Wynn Las Vegas shall not, and shall not permit any of its Restricted Subsidiaries to, directly or indirectly, create, incur, assume or suffer to exist any Lien of any kind on any asset now owned or hereafter acquired, or on any proceeds, income or profits therefrom or assign or convey any right to receive income therefrom, except Permitted Liens.</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4.13</w:t>
      </w:r>
      <w:r>
        <w:rPr>
          <w:sz w:val="20"/>
          <w:szCs w:val="20"/>
          <w:color w:val="auto"/>
        </w:rPr>
        <w:tab/>
      </w:r>
      <w:r>
        <w:rPr>
          <w:rFonts w:ascii="Arial" w:cs="Arial" w:eastAsia="Arial" w:hAnsi="Arial"/>
          <w:sz w:val="19"/>
          <w:szCs w:val="19"/>
          <w:i w:val="1"/>
          <w:iCs w:val="1"/>
          <w:color w:val="auto"/>
        </w:rPr>
        <w:t>Line of Business.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Wynn Las Vegas shall not, and shall not permit any of its Restricted Subsidiaries to, engage in any business or investment activities other than the Permitted Business. Wynn Las Vegas shall not, and shall not permit any of its Subsidiaries to, conduct a Permitted Business in any gaming jurisdiction in which such entity is not licensed on the date of this Indenture if the Holders of the Notes would be required to be licensed as a result thereof; provided that this sentence shall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78"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4.14</w:t>
      </w:r>
      <w:r>
        <w:rPr>
          <w:sz w:val="20"/>
          <w:szCs w:val="20"/>
          <w:color w:val="auto"/>
        </w:rPr>
        <w:tab/>
      </w:r>
      <w:r>
        <w:rPr>
          <w:rFonts w:ascii="Arial" w:cs="Arial" w:eastAsia="Arial" w:hAnsi="Arial"/>
          <w:sz w:val="19"/>
          <w:szCs w:val="19"/>
          <w:i w:val="1"/>
          <w:iCs w:val="1"/>
          <w:color w:val="auto"/>
        </w:rPr>
        <w:t>Corporate and Organizational Existence.</w:t>
      </w:r>
    </w:p>
    <w:p>
      <w:pPr>
        <w:spacing w:after="0" w:line="233"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Subject to Article 5 hereof, except in the case of a Permitted C-Corp. Conversion, each of the Issuers shall, and shall cause the Restricted Subsidiaries to, do or cause to be done all things necessary to preserve and keep in full force and effect:</w:t>
      </w:r>
    </w:p>
    <w:p>
      <w:pPr>
        <w:spacing w:after="0" w:line="132" w:lineRule="exact"/>
        <w:rPr>
          <w:sz w:val="20"/>
          <w:szCs w:val="20"/>
          <w:color w:val="auto"/>
        </w:rPr>
      </w:pPr>
    </w:p>
    <w:p>
      <w:pPr>
        <w:ind w:firstLine="656"/>
        <w:spacing w:after="0" w:line="328" w:lineRule="auto"/>
        <w:tabs>
          <w:tab w:leader="none" w:pos="139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its corporate or limited liability company existence, and the corporate, partnership or other existence of each of its Subsidiaries, in accordance with their respective organizational documents (as the same may be amended from time to time); and</w:t>
      </w:r>
    </w:p>
    <w:p>
      <w:pPr>
        <w:spacing w:after="0" w:line="132" w:lineRule="exact"/>
        <w:rPr>
          <w:rFonts w:ascii="Arial" w:cs="Arial" w:eastAsia="Arial" w:hAnsi="Arial"/>
          <w:sz w:val="19"/>
          <w:szCs w:val="19"/>
          <w:color w:val="auto"/>
        </w:rPr>
      </w:pPr>
    </w:p>
    <w:p>
      <w:pPr>
        <w:jc w:val="both"/>
        <w:ind w:firstLine="656"/>
        <w:spacing w:after="0" w:line="248" w:lineRule="auto"/>
        <w:tabs>
          <w:tab w:leader="none" w:pos="1408" w:val="left"/>
        </w:tabs>
        <w:numPr>
          <w:ilvl w:val="0"/>
          <w:numId w:val="141"/>
        </w:numPr>
        <w:rPr>
          <w:rFonts w:ascii="Arial" w:cs="Arial" w:eastAsia="Arial" w:hAnsi="Arial"/>
          <w:sz w:val="21"/>
          <w:szCs w:val="21"/>
          <w:color w:val="auto"/>
        </w:rPr>
      </w:pPr>
      <w:r>
        <w:rPr>
          <w:rFonts w:ascii="Arial" w:cs="Arial" w:eastAsia="Arial" w:hAnsi="Arial"/>
          <w:sz w:val="21"/>
          <w:szCs w:val="21"/>
          <w:color w:val="auto"/>
        </w:rPr>
        <w:t xml:space="preserve">the rights (charter and statutory), licenses and franchises of the Issuers and their respective Subsidiaries;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Issuers and the Restricted Subsidiaries shall not be required to preserve any such right, license or franchise, or the</w:t>
      </w:r>
      <w:r>
        <w:rPr>
          <w:rFonts w:ascii="Arial" w:cs="Arial" w:eastAsia="Arial" w:hAnsi="Arial"/>
          <w:sz w:val="21"/>
          <w:szCs w:val="21"/>
          <w:i w:val="1"/>
          <w:iCs w:val="1"/>
          <w:color w:val="auto"/>
        </w:rPr>
        <w:t xml:space="preserve"> </w:t>
      </w:r>
      <w:r>
        <w:rPr>
          <w:rFonts w:ascii="Arial" w:cs="Arial" w:eastAsia="Arial" w:hAnsi="Arial"/>
          <w:sz w:val="21"/>
          <w:szCs w:val="21"/>
          <w:color w:val="auto"/>
        </w:rPr>
        <w:t>corporate, partnership or other existence of any of their respective Subsidiaries (other than the Issuers), if the Board of Directors of Wynn Capital or the applicable Restricted Subsidiary shall determine that the preservation thereof is no longer desirable in the conduct of the business of Wynn Las Vegas and its Restricted Subsidiaries, taken as a whole, and that the loss thereof is not adverse in any material respect to the Holders of the Notes.</w:t>
      </w:r>
    </w:p>
    <w:p>
      <w:pPr>
        <w:spacing w:after="0" w:line="20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4.15</w:t>
      </w:r>
      <w:r>
        <w:rPr>
          <w:sz w:val="20"/>
          <w:szCs w:val="20"/>
          <w:color w:val="auto"/>
        </w:rPr>
        <w:tab/>
      </w:r>
      <w:r>
        <w:rPr>
          <w:rFonts w:ascii="Arial" w:cs="Arial" w:eastAsia="Arial" w:hAnsi="Arial"/>
          <w:sz w:val="19"/>
          <w:szCs w:val="19"/>
          <w:i w:val="1"/>
          <w:iCs w:val="1"/>
          <w:color w:val="auto"/>
        </w:rPr>
        <w:t>Offer to Purchase Upon Change of Control.</w:t>
      </w:r>
    </w:p>
    <w:p>
      <w:pPr>
        <w:spacing w:after="0" w:line="233" w:lineRule="exact"/>
        <w:rPr>
          <w:sz w:val="20"/>
          <w:szCs w:val="20"/>
          <w:color w:val="auto"/>
        </w:rPr>
      </w:pPr>
    </w:p>
    <w:p>
      <w:pPr>
        <w:jc w:val="both"/>
        <w:ind w:firstLine="656"/>
        <w:spacing w:after="0" w:line="248" w:lineRule="auto"/>
        <w:tabs>
          <w:tab w:leader="none" w:pos="1367" w:val="left"/>
        </w:tabs>
        <w:numPr>
          <w:ilvl w:val="0"/>
          <w:numId w:val="142"/>
        </w:numPr>
        <w:rPr>
          <w:rFonts w:ascii="Arial" w:cs="Arial" w:eastAsia="Arial" w:hAnsi="Arial"/>
          <w:sz w:val="21"/>
          <w:szCs w:val="21"/>
          <w:color w:val="auto"/>
        </w:rPr>
      </w:pPr>
      <w:r>
        <w:rPr>
          <w:rFonts w:ascii="Arial" w:cs="Arial" w:eastAsia="Arial" w:hAnsi="Arial"/>
          <w:sz w:val="21"/>
          <w:szCs w:val="21"/>
          <w:color w:val="auto"/>
        </w:rPr>
        <w:t>Upon the occurrence of a Change of Control, the Issuers shall make an offer (a “</w:t>
      </w:r>
      <w:r>
        <w:rPr>
          <w:rFonts w:ascii="Arial" w:cs="Arial" w:eastAsia="Arial" w:hAnsi="Arial"/>
          <w:sz w:val="21"/>
          <w:szCs w:val="21"/>
          <w:i w:val="1"/>
          <w:iCs w:val="1"/>
          <w:u w:val="single" w:color="auto"/>
          <w:color w:val="auto"/>
        </w:rPr>
        <w:t>Change of Control Offer</w:t>
      </w:r>
      <w:r>
        <w:rPr>
          <w:rFonts w:ascii="Arial" w:cs="Arial" w:eastAsia="Arial" w:hAnsi="Arial"/>
          <w:sz w:val="21"/>
          <w:szCs w:val="21"/>
          <w:color w:val="auto"/>
        </w:rPr>
        <w:t>”) to each Holder to repurchase all or any part (equal to $2,000 or an integral multiple of $1,000 in excess of $2,000) of each Holder’s Notes at a purchase price equal to 101% of the aggregate principal amount thereof plus accrued and unpaid interest and Liquidated Damages, if any, on the Notes purchased, if any, to the date of repurchase (the “</w:t>
      </w:r>
      <w:r>
        <w:rPr>
          <w:rFonts w:ascii="Arial" w:cs="Arial" w:eastAsia="Arial" w:hAnsi="Arial"/>
          <w:sz w:val="21"/>
          <w:szCs w:val="21"/>
          <w:i w:val="1"/>
          <w:iCs w:val="1"/>
          <w:u w:val="single" w:color="auto"/>
          <w:color w:val="auto"/>
        </w:rPr>
        <w:t>Change of Control Payment</w:t>
      </w:r>
      <w:r>
        <w:rPr>
          <w:rFonts w:ascii="Arial" w:cs="Arial" w:eastAsia="Arial" w:hAnsi="Arial"/>
          <w:sz w:val="21"/>
          <w:szCs w:val="21"/>
          <w:color w:val="auto"/>
        </w:rPr>
        <w:t>”). Within ten days following any Change of Control, the Issuers shall mail a notice to each Holder d escribing the transaction or transactions that constitute the Change of Control and stating: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9" w:name="page100"/>
    <w:bookmarkEnd w:id="99"/>
    <w:p>
      <w:pPr>
        <w:ind w:left="660" w:firstLine="645"/>
        <w:spacing w:after="0" w:line="251" w:lineRule="auto"/>
        <w:tabs>
          <w:tab w:leader="none" w:pos="2267"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that the Change of Control Offer is being made pursuant to this Section 4.15 and that all Notes tendered shall be accepted for payment;</w:t>
      </w:r>
    </w:p>
    <w:p>
      <w:pPr>
        <w:spacing w:after="0" w:line="200" w:lineRule="exact"/>
        <w:rPr>
          <w:rFonts w:ascii="Arial" w:cs="Arial" w:eastAsia="Arial" w:hAnsi="Arial"/>
          <w:sz w:val="22"/>
          <w:szCs w:val="22"/>
          <w:color w:val="auto"/>
        </w:rPr>
      </w:pPr>
    </w:p>
    <w:p>
      <w:pPr>
        <w:ind w:left="660" w:firstLine="645"/>
        <w:spacing w:after="0" w:line="251" w:lineRule="auto"/>
        <w:tabs>
          <w:tab w:leader="none" w:pos="2217"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purchase price and the purchase date, which shall be no earlier than 30 days and no later than 60 days from the date such notice is mailed (the “</w:t>
      </w:r>
      <w:r>
        <w:rPr>
          <w:rFonts w:ascii="Arial" w:cs="Arial" w:eastAsia="Arial" w:hAnsi="Arial"/>
          <w:sz w:val="22"/>
          <w:szCs w:val="22"/>
          <w:i w:val="1"/>
          <w:iCs w:val="1"/>
          <w:u w:val="single" w:color="auto"/>
          <w:color w:val="auto"/>
        </w:rPr>
        <w:t>Change of Control Payment Date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that any Note not tendered shall continue to accrue interest;</w:t>
      </w:r>
    </w:p>
    <w:p>
      <w:pPr>
        <w:spacing w:after="0" w:line="233" w:lineRule="exact"/>
        <w:rPr>
          <w:rFonts w:ascii="Arial" w:cs="Arial" w:eastAsia="Arial" w:hAnsi="Arial"/>
          <w:sz w:val="22"/>
          <w:szCs w:val="22"/>
          <w:color w:val="auto"/>
        </w:rPr>
      </w:pPr>
    </w:p>
    <w:p>
      <w:pPr>
        <w:ind w:left="660" w:right="20" w:firstLine="645"/>
        <w:spacing w:after="0" w:line="328" w:lineRule="auto"/>
        <w:tabs>
          <w:tab w:leader="none" w:pos="2271"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that, unless the Issuers default in the payment of the Change of Control Payment, all Notes accepted for payment pursuant to the Change of Control Offer shall cease to accrue interest after the Change of Control Payment Date;</w:t>
      </w:r>
    </w:p>
    <w:p>
      <w:pPr>
        <w:spacing w:after="0" w:line="132" w:lineRule="exact"/>
        <w:rPr>
          <w:rFonts w:ascii="Arial" w:cs="Arial" w:eastAsia="Arial" w:hAnsi="Arial"/>
          <w:sz w:val="19"/>
          <w:szCs w:val="19"/>
          <w:color w:val="auto"/>
        </w:rPr>
      </w:pPr>
    </w:p>
    <w:p>
      <w:pPr>
        <w:jc w:val="both"/>
        <w:ind w:left="660" w:firstLine="645"/>
        <w:spacing w:after="0" w:line="238" w:lineRule="auto"/>
        <w:tabs>
          <w:tab w:leader="none" w:pos="218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that Holders electing to have any Notes purchased pursuant to a Change of Control Offer shall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212" w:lineRule="exact"/>
        <w:rPr>
          <w:rFonts w:ascii="Arial" w:cs="Arial" w:eastAsia="Arial" w:hAnsi="Arial"/>
          <w:sz w:val="22"/>
          <w:szCs w:val="22"/>
          <w:color w:val="auto"/>
        </w:rPr>
      </w:pPr>
    </w:p>
    <w:p>
      <w:pPr>
        <w:jc w:val="both"/>
        <w:ind w:left="660" w:firstLine="645"/>
        <w:spacing w:after="0" w:line="252" w:lineRule="auto"/>
        <w:tabs>
          <w:tab w:leader="none" w:pos="2324" w:val="left"/>
        </w:tabs>
        <w:numPr>
          <w:ilvl w:val="0"/>
          <w:numId w:val="143"/>
        </w:numPr>
        <w:rPr>
          <w:rFonts w:ascii="Arial" w:cs="Arial" w:eastAsia="Arial" w:hAnsi="Arial"/>
          <w:sz w:val="21"/>
          <w:szCs w:val="21"/>
          <w:color w:val="auto"/>
        </w:rPr>
      </w:pPr>
      <w:r>
        <w:rPr>
          <w:rFonts w:ascii="Arial" w:cs="Arial" w:eastAsia="Arial" w:hAnsi="Arial"/>
          <w:sz w:val="21"/>
          <w:szCs w:val="21"/>
          <w:color w:val="auto"/>
        </w:rPr>
        <w:t>that Holders shall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Notes delivered for purchase, and a statement that such Holder is withdrawing his election to have the Notes purchased; and</w:t>
      </w:r>
    </w:p>
    <w:p>
      <w:pPr>
        <w:spacing w:after="0" w:line="201" w:lineRule="exact"/>
        <w:rPr>
          <w:rFonts w:ascii="Arial" w:cs="Arial" w:eastAsia="Arial" w:hAnsi="Arial"/>
          <w:sz w:val="21"/>
          <w:szCs w:val="21"/>
          <w:color w:val="auto"/>
        </w:rPr>
      </w:pPr>
    </w:p>
    <w:p>
      <w:pPr>
        <w:jc w:val="both"/>
        <w:ind w:left="660" w:firstLine="645"/>
        <w:spacing w:after="0"/>
        <w:tabs>
          <w:tab w:leader="none" w:pos="2292"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that Holders whose Notes are being purchased only in part shall be issued new Notes equal in principal amount to the unpurchased portion of the Notes surrendered, which unpurchased portion must be equal to $2,000 or in integral multiples of $1,000 in excess of $2,000.</w:t>
      </w:r>
    </w:p>
    <w:p>
      <w:pPr>
        <w:spacing w:after="0" w:line="21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Issuers shall comply with the requirements of Rule 14e-1 under the Exchange Act and any other securities laws and regulations thereunder to the extent those laws and regulations are applicable in connection with the purchase of the Notes as a result of a Change in Control. To the extent that the provisions of any securities laws or regulations conflict with the provisions of Sections 3.10 or 4.15 of this Indenture, the Issuers shall comply with the applicable securities laws and regulations and shall not be deemed to have breached their obligations under Section 3.10 or this Section 4.15 by virtue of such compliance.</w:t>
      </w:r>
    </w:p>
    <w:p>
      <w:pPr>
        <w:spacing w:after="0" w:line="175" w:lineRule="exact"/>
        <w:rPr>
          <w:sz w:val="20"/>
          <w:szCs w:val="20"/>
          <w:color w:val="auto"/>
        </w:rPr>
      </w:pPr>
    </w:p>
    <w:p>
      <w:pPr>
        <w:ind w:left="1340" w:hanging="684"/>
        <w:spacing w:after="0"/>
        <w:tabs>
          <w:tab w:leader="none" w:pos="134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On the Change of Control Payment Date, the Issuers shall, to the extent lawful:</w:t>
      </w:r>
    </w:p>
    <w:p>
      <w:pPr>
        <w:spacing w:after="0" w:line="233" w:lineRule="exact"/>
        <w:rPr>
          <w:rFonts w:ascii="Arial" w:cs="Arial" w:eastAsia="Arial" w:hAnsi="Arial"/>
          <w:sz w:val="22"/>
          <w:szCs w:val="22"/>
          <w:color w:val="auto"/>
        </w:rPr>
      </w:pPr>
    </w:p>
    <w:p>
      <w:pPr>
        <w:ind w:left="2380" w:hanging="1075"/>
        <w:spacing w:after="0"/>
        <w:tabs>
          <w:tab w:leader="none" w:pos="238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accept for payment all Notes or portions thereof properly tendered pursuant to the Change of Control</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Offer;</w:t>
      </w:r>
    </w:p>
    <w:p>
      <w:pPr>
        <w:spacing w:after="0" w:line="215" w:lineRule="exact"/>
        <w:rPr>
          <w:rFonts w:ascii="Arial" w:cs="Arial" w:eastAsia="Arial" w:hAnsi="Arial"/>
          <w:sz w:val="19"/>
          <w:szCs w:val="19"/>
          <w:color w:val="auto"/>
        </w:rPr>
      </w:pPr>
    </w:p>
    <w:p>
      <w:pPr>
        <w:ind w:left="660" w:firstLine="645"/>
        <w:spacing w:after="0" w:line="251" w:lineRule="auto"/>
        <w:tabs>
          <w:tab w:leader="none" w:pos="2231" w:val="left"/>
        </w:tabs>
        <w:numPr>
          <w:ilvl w:val="1"/>
          <w:numId w:val="144"/>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00" w:name="page101"/>
    <w:bookmarkEnd w:id="100"/>
    <w:p>
      <w:pPr>
        <w:ind w:left="660" w:firstLine="645"/>
        <w:spacing w:after="0" w:line="328" w:lineRule="auto"/>
        <w:tabs>
          <w:tab w:leader="none" w:pos="2386" w:val="left"/>
        </w:tabs>
        <w:numPr>
          <w:ilvl w:val="0"/>
          <w:numId w:val="145"/>
        </w:numPr>
        <w:rPr>
          <w:rFonts w:ascii="Arial" w:cs="Arial" w:eastAsia="Arial" w:hAnsi="Arial"/>
          <w:sz w:val="19"/>
          <w:szCs w:val="19"/>
          <w:color w:val="auto"/>
        </w:rPr>
      </w:pPr>
      <w:r>
        <w:rPr>
          <w:rFonts w:ascii="Arial" w:cs="Arial" w:eastAsia="Arial" w:hAnsi="Arial"/>
          <w:sz w:val="19"/>
          <w:szCs w:val="19"/>
          <w:color w:val="auto"/>
        </w:rPr>
        <w:t>deliver or cause to be delivered to the Trustee the Notes properly accepted together with an Officers’ Certificate stating the aggregate principal amount of Notes or portions of Notes being purchased by the Issuers.</w:t>
      </w:r>
    </w:p>
    <w:p>
      <w:pPr>
        <w:spacing w:after="0" w:line="1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Paying Agent shall promptly mail to each Holder of Notes properly tendered the Change of Control Payment for such Notes, and the Trustee shall promptly authenticate and mail (or cause to be transferred by book entry) to each Holder a new Note equal in principal amount to any unpurchased portion of the Notes surrendered, if any; provided that each new Note shall be in a principal amount of $2,000 or in integral multiples of $1,000 in excess of $2,000. The Issuers shall publicly announce the results of the Change of Control Offer on or as soon as practicable after the Change of Control Payment Date.</w:t>
      </w:r>
    </w:p>
    <w:p>
      <w:pPr>
        <w:spacing w:after="0" w:line="175" w:lineRule="exact"/>
        <w:rPr>
          <w:sz w:val="20"/>
          <w:szCs w:val="20"/>
          <w:color w:val="auto"/>
        </w:rPr>
      </w:pPr>
    </w:p>
    <w:p>
      <w:pPr>
        <w:jc w:val="both"/>
        <w:ind w:firstLine="656"/>
        <w:spacing w:after="0" w:line="235" w:lineRule="auto"/>
        <w:tabs>
          <w:tab w:leader="none" w:pos="1352" w:val="left"/>
        </w:tabs>
        <w:numPr>
          <w:ilvl w:val="0"/>
          <w:numId w:val="146"/>
        </w:numPr>
        <w:rPr>
          <w:rFonts w:ascii="Arial" w:cs="Arial" w:eastAsia="Arial" w:hAnsi="Arial"/>
          <w:sz w:val="22"/>
          <w:szCs w:val="22"/>
          <w:color w:val="auto"/>
        </w:rPr>
      </w:pPr>
      <w:r>
        <w:rPr>
          <w:rFonts w:ascii="Arial" w:cs="Arial" w:eastAsia="Arial" w:hAnsi="Arial"/>
          <w:sz w:val="22"/>
          <w:szCs w:val="22"/>
          <w:color w:val="auto"/>
        </w:rPr>
        <w:t>Notwithstanding anything to the contrary in this Section 4.15, the Issuers shall not be required to make a Change of Control Offer upon a Change of Control if (1) a third party makes the Change of Control Offer in the manner, at the times and otherwise in compliance with the requirements set forth in this Section 4.15 and Section 3.10 hereof and purchases all Notes validly tendered and not withdrawn under the Change of Control Offer, or (2) a notice of redemption has been given pursuant to this Indenture as described above under Section 3.03 hereof, unless and until there is a default in payment of the applicable redemption price.</w:t>
      </w:r>
    </w:p>
    <w:p>
      <w:pPr>
        <w:spacing w:after="0" w:line="215"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4.16</w:t>
      </w:r>
      <w:r>
        <w:rPr>
          <w:sz w:val="20"/>
          <w:szCs w:val="20"/>
          <w:color w:val="auto"/>
        </w:rPr>
        <w:tab/>
      </w:r>
      <w:r>
        <w:rPr>
          <w:rFonts w:ascii="Arial" w:cs="Arial" w:eastAsia="Arial" w:hAnsi="Arial"/>
          <w:sz w:val="18"/>
          <w:szCs w:val="18"/>
          <w:i w:val="1"/>
          <w:iCs w:val="1"/>
          <w:color w:val="auto"/>
        </w:rPr>
        <w:t>Events of Loss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After any Event of Loss with respect to Collateral (other than Events of Loss with respect to Collateral comprising Encore at Wynn Las Vegas at any time prior to the completion of Encore at Wynn Las Vegas in accordance with the Disbursement Agreement, which shall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Notes; so long as, in the case of any such Collateral with a Fair Market Value (or replacement cost, if higher) in excess of $500.0 million; provided that:</w:t>
      </w:r>
    </w:p>
    <w:p>
      <w:pPr>
        <w:spacing w:after="0" w:line="178" w:lineRule="exact"/>
        <w:rPr>
          <w:sz w:val="20"/>
          <w:szCs w:val="20"/>
          <w:color w:val="auto"/>
        </w:rPr>
      </w:pPr>
    </w:p>
    <w:p>
      <w:pPr>
        <w:jc w:val="both"/>
        <w:ind w:firstLine="656"/>
        <w:spacing w:after="0"/>
        <w:tabs>
          <w:tab w:leader="none" w:pos="1467"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213" w:lineRule="exact"/>
        <w:rPr>
          <w:rFonts w:ascii="Arial" w:cs="Arial" w:eastAsia="Arial" w:hAnsi="Arial"/>
          <w:sz w:val="22"/>
          <w:szCs w:val="22"/>
          <w:color w:val="auto"/>
        </w:rPr>
      </w:pPr>
    </w:p>
    <w:p>
      <w:pPr>
        <w:jc w:val="both"/>
        <w:ind w:firstLine="656"/>
        <w:spacing w:after="0" w:line="282" w:lineRule="auto"/>
        <w:tabs>
          <w:tab w:leader="none" w:pos="1353" w:val="left"/>
        </w:tabs>
        <w:numPr>
          <w:ilvl w:val="0"/>
          <w:numId w:val="147"/>
        </w:numPr>
        <w:rPr>
          <w:rFonts w:ascii="Arial" w:cs="Arial" w:eastAsia="Arial" w:hAnsi="Arial"/>
          <w:sz w:val="19"/>
          <w:szCs w:val="19"/>
          <w:color w:val="auto"/>
        </w:rPr>
      </w:pPr>
      <w:r>
        <w:rPr>
          <w:rFonts w:ascii="Arial" w:cs="Arial" w:eastAsia="Arial" w:hAnsi="Arial"/>
          <w:sz w:val="19"/>
          <w:szCs w:val="19"/>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Section 4.09 hereof to complete the rebuilding, repair, replacement or construction described in clause (a) above and, together with any anticipated revenues projected to be generated during the repair or restoration period, to pay debt service on its Indebtedness during the repair or restoration period; and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01" w:name="page102"/>
    <w:bookmarkEnd w:id="101"/>
    <w:p>
      <w:pPr>
        <w:jc w:val="both"/>
        <w:ind w:firstLine="656"/>
        <w:spacing w:after="0" w:line="328" w:lineRule="auto"/>
        <w:tabs>
          <w:tab w:leader="none" w:pos="140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3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Notwithstanding the foregoing provisions of this Section 4.16, if the damaged Collateral is not necessary for and is not used in the operation of the Wynn Las Vegas Resort or Encore at Wynn Las Vegas, as the case may be, Wynn Las Vegas (or the applicable Restricted Subsidiary, as the case may be) may apply the Net Loss Proceeds to make a capital expenditure, improve real property or acquire long-term assets that are used or useful in a line of business permitted by Section 4.13 hereof.</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Any Net Loss Proceeds that are (1) not reinvested as provided in the first sentence of this Section 4.16 or (2) otherwise required, pursuant to the Credit Agreement, to be applied to reduce Indebtedness of Wynn Las Vegas, in each case, shall be deemed “</w:t>
      </w:r>
      <w:r>
        <w:rPr>
          <w:rFonts w:ascii="Arial" w:cs="Arial" w:eastAsia="Arial" w:hAnsi="Arial"/>
          <w:sz w:val="19"/>
          <w:szCs w:val="19"/>
          <w:i w:val="1"/>
          <w:iCs w:val="1"/>
          <w:u w:val="single" w:color="auto"/>
          <w:color w:val="auto"/>
        </w:rPr>
        <w:t>Excess Loss Proceeds</w:t>
      </w:r>
      <w:r>
        <w:rPr>
          <w:rFonts w:ascii="Arial" w:cs="Arial" w:eastAsia="Arial" w:hAnsi="Arial"/>
          <w:sz w:val="19"/>
          <w:szCs w:val="19"/>
          <w:color w:val="auto"/>
        </w:rPr>
        <w:t>.” Within 10 days following the earlier of (i) the date on which the aggregate amount of Excess Loss Proceeds exceeds $500.0 million or (ii) the date when, pursuant to the Credit Agreement, Excess Loss Proceeds are required to be applied to reduce Indebtedness of Wynn Las Vegas, Wynn Las Vegas shall allocate a portion of such Excess Loss Proceeds determined by multiplying the amount of such Excess Loss Proceeds by a fraction, the numerator of which is the total agg 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9"/>
          <w:szCs w:val="19"/>
          <w:i w:val="1"/>
          <w:iCs w:val="1"/>
          <w:u w:val="single" w:color="auto"/>
          <w:color w:val="auto"/>
        </w:rPr>
        <w:t>Event of Loss Offer Amount</w:t>
      </w:r>
      <w:r>
        <w:rPr>
          <w:rFonts w:ascii="Arial" w:cs="Arial" w:eastAsia="Arial" w:hAnsi="Arial"/>
          <w:sz w:val="19"/>
          <w:szCs w:val="19"/>
          <w:color w:val="auto"/>
        </w:rPr>
        <w:t>”), to make an offer (an “</w:t>
      </w:r>
      <w:r>
        <w:rPr>
          <w:rFonts w:ascii="Arial" w:cs="Arial" w:eastAsia="Arial" w:hAnsi="Arial"/>
          <w:sz w:val="19"/>
          <w:szCs w:val="19"/>
          <w:i w:val="1"/>
          <w:iCs w:val="1"/>
          <w:u w:val="single" w:color="auto"/>
          <w:color w:val="auto"/>
        </w:rPr>
        <w:t>Event of Loss Offer</w:t>
      </w:r>
      <w:r>
        <w:rPr>
          <w:rFonts w:ascii="Arial" w:cs="Arial" w:eastAsia="Arial" w:hAnsi="Arial"/>
          <w:sz w:val="19"/>
          <w:szCs w:val="19"/>
          <w:color w:val="auto"/>
        </w:rPr>
        <w:t>”) to all Holders of Notes and, to the extent required, the holders of such Pari Passu Debt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shall be payable in cash. T he amount of any such Excess Loss Proceeds less the Event of Loss Offer Amount (the “</w:t>
      </w:r>
      <w:r>
        <w:rPr>
          <w:rFonts w:ascii="Arial" w:cs="Arial" w:eastAsia="Arial" w:hAnsi="Arial"/>
          <w:sz w:val="19"/>
          <w:szCs w:val="19"/>
          <w:i w:val="1"/>
          <w:iCs w:val="1"/>
          <w:u w:val="single" w:color="auto"/>
          <w:color w:val="auto"/>
        </w:rPr>
        <w:t>Event of Loss Repayment Amount</w:t>
      </w:r>
      <w:r>
        <w:rPr>
          <w:rFonts w:ascii="Arial" w:cs="Arial" w:eastAsia="Arial" w:hAnsi="Arial"/>
          <w:sz w:val="19"/>
          <w:szCs w:val="19"/>
          <w:color w:val="auto"/>
        </w:rPr>
        <w:t>”) shall concurrently be applied to repay any term Indebtedness outstanding under the Credit Agreement in accordance with the requirements of the Credit Agreement; provided, however,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 s of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this Indenture, the Credit Agreement, the 2014 Notes, the 2017 Notes and the Collateral Documents, including, without limitation, to reduce revolving credit Indebtedness (and, if required, commitments) under the Credit Agreement. If the aggregate principal amount of Notes and such other Pari Passu Debt tendered into such Event of Loss Offer exceeds the Event of Loss Offer Amount that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02" w:name="page103"/>
    <w:bookmarkEnd w:id="102"/>
    <w:p>
      <w:pPr>
        <w:jc w:val="both"/>
        <w:spacing w:after="0" w:line="287" w:lineRule="auto"/>
        <w:rPr>
          <w:sz w:val="20"/>
          <w:szCs w:val="20"/>
          <w:color w:val="auto"/>
        </w:rPr>
      </w:pPr>
      <w:r>
        <w:rPr>
          <w:rFonts w:ascii="Arial" w:cs="Arial" w:eastAsia="Arial" w:hAnsi="Arial"/>
          <w:sz w:val="19"/>
          <w:szCs w:val="19"/>
          <w:color w:val="auto"/>
        </w:rPr>
        <w:t>applied to the Event of Loss Offer, the Trustee shall select the Notes and such other Pari Passu Debt to be purchased as described in Sections 3.02 and Section 3.10 hereof. Upon completion of each Event of Loss Offer, the amount of Excess Loss Proceeds shall be reset at zero. Any Event of Loss Offer made pursuant to the terms of the indenture governing the 2014 Notes or the 2017 Notes shall be required to be made to the Holders, as holders of Pari Passu Debt (as defined in those indentures).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Pending their application, all Net Loss Proceeds shall either be (1) applied to temporarily reduce amounts outstanding under any pari passu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the 2014 Notes and the 2017 Notes, and subject to other Permitted Liens and the terms of the Intercreditor Agreement). These funds and securities shall be released to Wynn Las Vegas (or the applicable Restricted Subsidiary, as the case may be) to pay for or reimburse Wynn Las Vegas (or the applicable Restricted Subsidiary, as the case may be) for either (1) the actual cost of a permitted use of Net Loss Proceeds as provided in this Section 4.16, or (2) the Event of Loss Offer, pursuant to the terms of the Collateral Documents. Wynn Las Vegas (or the applicable Restricted Subsidiary, as the case may be) shall grant to the Trustee, on behalf of the Holders, a security interest (equal and ratable with the perfected security interest securing the Credit Agreement, the 2014 Notes and the 2017 Notes, and subject to other Permitted Liens and the terms of the Intercreditor Agreement), on any property or assets rebuilt, repaired, replaced or constructed with such Net Loss Proceeds on the terms set forth in this Indenture and the Collateral Documents.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the event of an Event of Loss pursuant to clause (3) of the definition of “Event of Loss” with respect to property or assets that have a Fair Market Value (or replacement cost, if greater) in excess of $500.0 million, Wynn Las Vegas (or the applicable Restricted Subsidiary, as the case may be) shall be required to receive consideration:</w:t>
      </w:r>
    </w:p>
    <w:p>
      <w:pPr>
        <w:spacing w:after="0" w:line="213" w:lineRule="exact"/>
        <w:rPr>
          <w:sz w:val="20"/>
          <w:szCs w:val="20"/>
          <w:color w:val="auto"/>
        </w:rPr>
      </w:pPr>
    </w:p>
    <w:p>
      <w:pPr>
        <w:ind w:firstLine="656"/>
        <w:spacing w:after="0" w:line="251" w:lineRule="auto"/>
        <w:tabs>
          <w:tab w:leader="none" w:pos="1367"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200" w:lineRule="exact"/>
        <w:rPr>
          <w:rFonts w:ascii="Arial" w:cs="Arial" w:eastAsia="Arial" w:hAnsi="Arial"/>
          <w:sz w:val="22"/>
          <w:szCs w:val="22"/>
          <w:color w:val="auto"/>
        </w:rPr>
      </w:pPr>
    </w:p>
    <w:p>
      <w:pPr>
        <w:ind w:left="1340" w:hanging="684"/>
        <w:spacing w:after="0"/>
        <w:tabs>
          <w:tab w:leader="none" w:pos="134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at least 80% of which is in the form of cash or Cash Equivalents.</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Issuers shall comply with the requirements of Rule 14e-1 under the Exchange Act and any other securities laws and regulations thereunder to the extent such laws and regulations are applicable in connection with each repurchase of Notes pursuant to an Event of Loss Offer. To the extent that the provisions of any securities laws or regulations conflict with the provisions of Sections 3.10 or 4.16 of this Indenture, the Issuers shall comply with the applicable securities laws and regulations and shall not be deemed to have breached their obligations under those provisions of this Indenture by virtue of such compliance.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03" w:name="page104"/>
    <w:bookmarkEnd w:id="103"/>
    <w:p>
      <w:pPr>
        <w:spacing w:after="0"/>
        <w:tabs>
          <w:tab w:leader="none" w:pos="1940" w:val="left"/>
        </w:tabs>
        <w:rPr>
          <w:sz w:val="20"/>
          <w:szCs w:val="20"/>
          <w:color w:val="auto"/>
        </w:rPr>
      </w:pPr>
      <w:r>
        <w:rPr>
          <w:rFonts w:ascii="Arial" w:cs="Arial" w:eastAsia="Arial" w:hAnsi="Arial"/>
          <w:sz w:val="22"/>
          <w:szCs w:val="22"/>
          <w:color w:val="auto"/>
        </w:rPr>
        <w:t>Section 4.17</w:t>
      </w:r>
      <w:r>
        <w:rPr>
          <w:sz w:val="20"/>
          <w:szCs w:val="20"/>
          <w:color w:val="auto"/>
        </w:rPr>
        <w:tab/>
      </w:r>
      <w:r>
        <w:rPr>
          <w:rFonts w:ascii="Arial" w:cs="Arial" w:eastAsia="Arial" w:hAnsi="Arial"/>
          <w:sz w:val="19"/>
          <w:szCs w:val="19"/>
          <w:i w:val="1"/>
          <w:iCs w:val="1"/>
          <w:color w:val="auto"/>
        </w:rPr>
        <w:t>Designation of Restricted and Unrestricted Subsidiaries.</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shall be deemed to be an Investment made in an Unrestricted Subsidiary as of the time of the designation and shall reduce the amount available for Restricted Payments under Section 4.07 hereof or Permitted Investments, as determined by Wynn Las Vegas. That designation shall only be permitted if the Investment would be permitted at that time a 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2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Any designation of a Subsidiary of Wynn Las Vegas as an Unrestricted Subsidiary shall be evidenced to the Trustee by filing with the Trustee a certified copy of a resolution of the Board of Directors giving effect to such designation and an Officers’ Certificate certifying that such designation complied with the preceding conditions and was permitted by Section 4.07 hereof. If, at any time, any Unrestricted Subsidiary would fail to meet the preceding requirements as an Unrestricted Subsidiary, it shall thereafter cease to be an Unrestricted Subsidiary for purposes of this Indenture and any Indebtedness of such Subsidiary shall be deemed to be incurred by a Restricted Subsidiary of Wynn Las Vegas as of such date and, if such Indebtedness is not permitted to be incurred as of such date under Section 4.09 hereof, Wynn Las Vegas shall be in default of such covenant. The Board of Directors of Wynn Capital may at any time redesignate any Unrestricted Subsidiary of Wynn Las Vegas to be a Restricted Subsidiary of Wynn Las Vegas; provided that such designation shall be deemed to be an incurrence of Indebtedness by a Restricted Subsidiary of Wynn Las Vegas of any outstanding Indebtedness of such Unrestricted Subsidiary, and such designation shall only be permitted if (1) such Indebtedness is permitted under Section 4.09 hereof, calculated on a pro forma basis as if such designation had occurred at the beginning of the four-quarter reference period; and (2) no Default or Event of Default would be in existence following such designation.</w:t>
      </w:r>
    </w:p>
    <w:p>
      <w:pPr>
        <w:spacing w:after="0" w:line="200" w:lineRule="exact"/>
        <w:rPr>
          <w:sz w:val="20"/>
          <w:szCs w:val="20"/>
          <w:color w:val="auto"/>
        </w:rPr>
      </w:pPr>
    </w:p>
    <w:p>
      <w:pPr>
        <w:spacing w:after="0" w:line="232"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4.18</w:t>
      </w:r>
      <w:r>
        <w:rPr>
          <w:sz w:val="20"/>
          <w:szCs w:val="20"/>
          <w:color w:val="auto"/>
        </w:rPr>
        <w:tab/>
      </w:r>
      <w:r>
        <w:rPr>
          <w:rFonts w:ascii="Arial" w:cs="Arial" w:eastAsia="Arial" w:hAnsi="Arial"/>
          <w:sz w:val="19"/>
          <w:szCs w:val="19"/>
          <w:i w:val="1"/>
          <w:iCs w:val="1"/>
          <w:color w:val="auto"/>
        </w:rPr>
        <w:t>Limitation on Status as Investment Company.</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Issuers and Guarantors shall not be or become required to register as an “investment company” (as that term is defined in the Investment Company Act of 1940, as amended), or otherwise become subject to regulation under the Investment Company Act of 1940.</w:t>
      </w:r>
    </w:p>
    <w:p>
      <w:pPr>
        <w:spacing w:after="0" w:line="213"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4.19</w:t>
      </w:r>
      <w:r>
        <w:rPr>
          <w:sz w:val="20"/>
          <w:szCs w:val="20"/>
          <w:color w:val="auto"/>
        </w:rPr>
        <w:tab/>
      </w:r>
      <w:r>
        <w:rPr>
          <w:rFonts w:ascii="Arial" w:cs="Arial" w:eastAsia="Arial" w:hAnsi="Arial"/>
          <w:sz w:val="19"/>
          <w:szCs w:val="19"/>
          <w:i w:val="1"/>
          <w:iCs w:val="1"/>
          <w:color w:val="auto"/>
        </w:rPr>
        <w:t>Limitation on Sale and Leaseback Transactions.</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Wynn Las Vegas shall not, and shall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04" w:name="page105"/>
    <w:bookmarkEnd w:id="104"/>
    <w:p>
      <w:pPr>
        <w:jc w:val="both"/>
        <w:ind w:firstLine="656"/>
        <w:spacing w:after="0" w:line="238" w:lineRule="auto"/>
        <w:tabs>
          <w:tab w:leader="none" w:pos="145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Wynn Las Vegas or that Restricted Subsidiary, as applicable, could have (a) incurred Indebtedness in an amount equal to the Attributable Debt relating to such sale and leaseback transaction under the Fixed Charge Coverage Ratio test set forth in Section 4.09(a) hereof and (b) incurred a Lien to secure such Indebtedness in an amount equal to the Attributable Debt pursuant to Section 4.12 hereof;</w:t>
      </w:r>
    </w:p>
    <w:p>
      <w:pPr>
        <w:spacing w:after="0" w:line="212" w:lineRule="exact"/>
        <w:rPr>
          <w:rFonts w:ascii="Arial" w:cs="Arial" w:eastAsia="Arial" w:hAnsi="Arial"/>
          <w:sz w:val="22"/>
          <w:szCs w:val="22"/>
          <w:color w:val="auto"/>
        </w:rPr>
      </w:pPr>
    </w:p>
    <w:p>
      <w:pPr>
        <w:jc w:val="both"/>
        <w:ind w:firstLine="656"/>
        <w:spacing w:after="0" w:line="297" w:lineRule="auto"/>
        <w:tabs>
          <w:tab w:leader="none" w:pos="1553"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gross cash proceeds of such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such sale and leaseback transaction; and</w:t>
      </w:r>
    </w:p>
    <w:p>
      <w:pPr>
        <w:spacing w:after="0" w:line="161" w:lineRule="exact"/>
        <w:rPr>
          <w:rFonts w:ascii="Arial" w:cs="Arial" w:eastAsia="Arial" w:hAnsi="Arial"/>
          <w:sz w:val="19"/>
          <w:szCs w:val="19"/>
          <w:color w:val="auto"/>
        </w:rPr>
      </w:pPr>
    </w:p>
    <w:p>
      <w:pPr>
        <w:ind w:firstLine="656"/>
        <w:spacing w:after="0" w:line="251" w:lineRule="auto"/>
        <w:tabs>
          <w:tab w:leader="none" w:pos="135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transfer of assets in such sale and leaseback transaction is permitted by, and Wynn Las Vegas or such Restricted Subsidiary applies the proceeds of such transaction in compliance with Section 4.10 hereof.</w:t>
      </w:r>
    </w:p>
    <w:p>
      <w:pPr>
        <w:spacing w:after="0" w:line="200"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4.20</w:t>
      </w:r>
      <w:r>
        <w:rPr>
          <w:sz w:val="20"/>
          <w:szCs w:val="20"/>
          <w:color w:val="auto"/>
        </w:rPr>
        <w:tab/>
      </w:r>
      <w:r>
        <w:rPr>
          <w:rFonts w:ascii="Arial" w:cs="Arial" w:eastAsia="Arial" w:hAnsi="Arial"/>
          <w:sz w:val="19"/>
          <w:szCs w:val="19"/>
          <w:i w:val="1"/>
          <w:iCs w:val="1"/>
          <w:color w:val="auto"/>
        </w:rPr>
        <w:t>Restrictions on Payments of Management Fees.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Wynn Las Vegas shall not, and shall not permit any of its Restricted Subsidiaries to, directly or indirectly:</w:t>
      </w:r>
    </w:p>
    <w:p>
      <w:pPr>
        <w:spacing w:after="0" w:line="233" w:lineRule="exact"/>
        <w:rPr>
          <w:sz w:val="20"/>
          <w:szCs w:val="20"/>
          <w:color w:val="auto"/>
        </w:rPr>
      </w:pPr>
    </w:p>
    <w:p>
      <w:pPr>
        <w:ind w:left="1320" w:hanging="664"/>
        <w:spacing w:after="0"/>
        <w:tabs>
          <w:tab w:leader="none" w:pos="132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pay Management Fees:</w:t>
      </w:r>
    </w:p>
    <w:p>
      <w:pPr>
        <w:spacing w:after="0" w:line="233" w:lineRule="exact"/>
        <w:rPr>
          <w:rFonts w:ascii="Arial" w:cs="Arial" w:eastAsia="Arial" w:hAnsi="Arial"/>
          <w:sz w:val="22"/>
          <w:szCs w:val="22"/>
          <w:color w:val="auto"/>
        </w:rPr>
      </w:pPr>
    </w:p>
    <w:p>
      <w:pPr>
        <w:jc w:val="both"/>
        <w:ind w:left="660" w:firstLine="645"/>
        <w:spacing w:after="0" w:line="282" w:lineRule="auto"/>
        <w:tabs>
          <w:tab w:leader="none" w:pos="2199" w:val="left"/>
        </w:tabs>
        <w:numPr>
          <w:ilvl w:val="1"/>
          <w:numId w:val="151"/>
        </w:numPr>
        <w:rPr>
          <w:rFonts w:ascii="Arial" w:cs="Arial" w:eastAsia="Arial" w:hAnsi="Arial"/>
          <w:sz w:val="19"/>
          <w:szCs w:val="19"/>
          <w:color w:val="auto"/>
        </w:rPr>
      </w:pPr>
      <w:r>
        <w:rPr>
          <w:rFonts w:ascii="Arial" w:cs="Arial" w:eastAsia="Arial" w:hAnsi="Arial"/>
          <w:sz w:val="19"/>
          <w:szCs w:val="19"/>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6.5 to 1.0 (calculated on a pro forma basis, giving effect to the payment of the Management Fees proposed to be paid and any Indebtedness proposed to be incurred to finance the payment of such Management Fees); or</w:t>
      </w:r>
    </w:p>
    <w:p>
      <w:pPr>
        <w:spacing w:after="0" w:line="174" w:lineRule="exact"/>
        <w:rPr>
          <w:rFonts w:ascii="Arial" w:cs="Arial" w:eastAsia="Arial" w:hAnsi="Arial"/>
          <w:sz w:val="19"/>
          <w:szCs w:val="19"/>
          <w:color w:val="auto"/>
        </w:rPr>
      </w:pPr>
    </w:p>
    <w:p>
      <w:pPr>
        <w:ind w:left="660" w:right="20" w:firstLine="645"/>
        <w:spacing w:after="0" w:line="251" w:lineRule="auto"/>
        <w:tabs>
          <w:tab w:leader="none" w:pos="2226" w:val="left"/>
        </w:tabs>
        <w:numPr>
          <w:ilvl w:val="1"/>
          <w:numId w:val="151"/>
        </w:numPr>
        <w:rPr>
          <w:rFonts w:ascii="Arial" w:cs="Arial" w:eastAsia="Arial" w:hAnsi="Arial"/>
          <w:sz w:val="22"/>
          <w:szCs w:val="22"/>
          <w:color w:val="auto"/>
        </w:rPr>
      </w:pPr>
      <w:r>
        <w:rPr>
          <w:rFonts w:ascii="Arial" w:cs="Arial" w:eastAsia="Arial" w:hAnsi="Arial"/>
          <w:sz w:val="22"/>
          <w:szCs w:val="22"/>
          <w:color w:val="auto"/>
        </w:rPr>
        <w:t>if at the time of payment of such Management Fees, a Default or an Event of Default has occurred and is continuing or shall occur as a result thereof; or</w:t>
      </w:r>
    </w:p>
    <w:p>
      <w:pPr>
        <w:spacing w:after="0" w:line="200" w:lineRule="exact"/>
        <w:rPr>
          <w:rFonts w:ascii="Arial" w:cs="Arial" w:eastAsia="Arial" w:hAnsi="Arial"/>
          <w:sz w:val="22"/>
          <w:szCs w:val="22"/>
          <w:color w:val="auto"/>
        </w:rPr>
      </w:pPr>
    </w:p>
    <w:p>
      <w:pPr>
        <w:ind w:left="1340" w:hanging="684"/>
        <w:spacing w:after="0"/>
        <w:tabs>
          <w:tab w:leader="none" w:pos="134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prepay any Management Fees.</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Any Management Fees not permitted to be paid during a particular 12-month period pursuant to this Section 4.20 shall be deferred and shall accrue. Such accrued and unpaid Management Fees may be paid in any subsequent 12-month period to the extent such payment would be permitted under this Section 4.20 and the Management Fees Subordination Agreement.</w:t>
      </w:r>
    </w:p>
    <w:p>
      <w:pPr>
        <w:spacing w:after="0" w:line="161"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4.21</w:t>
      </w:r>
      <w:r>
        <w:rPr>
          <w:sz w:val="20"/>
          <w:szCs w:val="20"/>
          <w:color w:val="auto"/>
        </w:rPr>
        <w:tab/>
      </w:r>
      <w:r>
        <w:rPr>
          <w:rFonts w:ascii="Arial" w:cs="Arial" w:eastAsia="Arial" w:hAnsi="Arial"/>
          <w:sz w:val="19"/>
          <w:szCs w:val="19"/>
          <w:i w:val="1"/>
          <w:iCs w:val="1"/>
          <w:color w:val="auto"/>
        </w:rPr>
        <w:t>Limitation on Issuances and Sales of Equity Interests in Wholly Owned Restricted Subsidiaries.</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Wynn Las Vegas shall not, and shall not permit any of its Restricted Subsidiaries to, transfer, convey, sell, lease or otherwise dispose of any Equity Interests in any Wholly Owned Restricted Subsidiaries of Wynn Las Vegas to any Person (other than Wynn Las Vegas or a Wholly Owned Restricted Subsidiary of Wynn Las Vegas that is a Guarantor), unless: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05" w:name="page106"/>
    <w:bookmarkEnd w:id="105"/>
    <w:p>
      <w:pPr>
        <w:ind w:firstLine="656"/>
        <w:spacing w:after="0" w:line="251" w:lineRule="auto"/>
        <w:tabs>
          <w:tab w:leader="none" w:pos="1528" w:val="left"/>
        </w:tabs>
        <w:numPr>
          <w:ilvl w:val="0"/>
          <w:numId w:val="152"/>
        </w:numPr>
        <w:rPr>
          <w:rFonts w:ascii="Arial" w:cs="Arial" w:eastAsia="Arial" w:hAnsi="Arial"/>
          <w:sz w:val="22"/>
          <w:szCs w:val="22"/>
          <w:color w:val="auto"/>
        </w:rPr>
      </w:pPr>
      <w:r>
        <w:rPr>
          <w:rFonts w:ascii="Arial" w:cs="Arial" w:eastAsia="Arial" w:hAnsi="Arial"/>
          <w:sz w:val="22"/>
          <w:szCs w:val="22"/>
          <w:color w:val="auto"/>
        </w:rPr>
        <w:t>such transfer, conveyance, sale, lease or other disposition is of all the Equity Interests in such Wholly Owned Restricted Subsidiary; and</w:t>
      </w:r>
    </w:p>
    <w:p>
      <w:pPr>
        <w:spacing w:after="0" w:line="200" w:lineRule="exact"/>
        <w:rPr>
          <w:rFonts w:ascii="Arial" w:cs="Arial" w:eastAsia="Arial" w:hAnsi="Arial"/>
          <w:sz w:val="22"/>
          <w:szCs w:val="22"/>
          <w:color w:val="auto"/>
        </w:rPr>
      </w:pPr>
    </w:p>
    <w:p>
      <w:pPr>
        <w:ind w:firstLine="656"/>
        <w:spacing w:after="0" w:line="251" w:lineRule="auto"/>
        <w:tabs>
          <w:tab w:leader="none" w:pos="1332"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cash Net Proceeds from such transfer, conveyance, sale, lease or other disposition are applied in accordance with Section 4.10 hereof.</w:t>
      </w:r>
    </w:p>
    <w:p>
      <w:pPr>
        <w:spacing w:after="0" w:line="20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addition, Wynn Las Vegas shall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161"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4.22</w:t>
      </w:r>
      <w:r>
        <w:rPr>
          <w:sz w:val="20"/>
          <w:szCs w:val="20"/>
          <w:color w:val="auto"/>
        </w:rPr>
        <w:tab/>
      </w:r>
      <w:r>
        <w:rPr>
          <w:rFonts w:ascii="Arial" w:cs="Arial" w:eastAsia="Arial" w:hAnsi="Arial"/>
          <w:sz w:val="19"/>
          <w:szCs w:val="19"/>
          <w:i w:val="1"/>
          <w:iCs w:val="1"/>
          <w:color w:val="auto"/>
        </w:rPr>
        <w:t>Amendments to Certain Agreements.</w:t>
      </w:r>
    </w:p>
    <w:p>
      <w:pPr>
        <w:spacing w:after="0" w:line="233" w:lineRule="exact"/>
        <w:rPr>
          <w:sz w:val="20"/>
          <w:szCs w:val="20"/>
          <w:color w:val="auto"/>
        </w:rPr>
      </w:pPr>
    </w:p>
    <w:p>
      <w:pPr>
        <w:jc w:val="both"/>
        <w:ind w:firstLine="656"/>
        <w:spacing w:after="0" w:line="249" w:lineRule="auto"/>
        <w:tabs>
          <w:tab w:leader="none" w:pos="1512" w:val="left"/>
        </w:tabs>
        <w:numPr>
          <w:ilvl w:val="0"/>
          <w:numId w:val="153"/>
        </w:numPr>
        <w:rPr>
          <w:rFonts w:ascii="Arial" w:cs="Arial" w:eastAsia="Arial" w:hAnsi="Arial"/>
          <w:sz w:val="21"/>
          <w:szCs w:val="21"/>
          <w:color w:val="auto"/>
        </w:rPr>
      </w:pPr>
      <w:r>
        <w:rPr>
          <w:rFonts w:ascii="Arial" w:cs="Arial" w:eastAsia="Arial" w:hAnsi="Arial"/>
          <w:sz w:val="21"/>
          <w:szCs w:val="21"/>
          <w:color w:val="auto"/>
        </w:rPr>
        <w:t>Wynn Las Vegas shall not, and shall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205" w:lineRule="exact"/>
        <w:rPr>
          <w:rFonts w:ascii="Arial" w:cs="Arial" w:eastAsia="Arial" w:hAnsi="Arial"/>
          <w:sz w:val="21"/>
          <w:szCs w:val="21"/>
          <w:color w:val="auto"/>
        </w:rPr>
      </w:pPr>
    </w:p>
    <w:p>
      <w:pPr>
        <w:ind w:left="660" w:firstLine="645"/>
        <w:spacing w:after="0" w:line="251" w:lineRule="auto"/>
        <w:tabs>
          <w:tab w:leader="none" w:pos="2458" w:val="left"/>
        </w:tabs>
        <w:numPr>
          <w:ilvl w:val="1"/>
          <w:numId w:val="153"/>
        </w:numPr>
        <w:rPr>
          <w:rFonts w:ascii="Arial" w:cs="Arial" w:eastAsia="Arial" w:hAnsi="Arial"/>
          <w:sz w:val="22"/>
          <w:szCs w:val="22"/>
          <w:color w:val="auto"/>
        </w:rPr>
      </w:pPr>
      <w:r>
        <w:rPr>
          <w:rFonts w:ascii="Arial" w:cs="Arial" w:eastAsia="Arial" w:hAnsi="Arial"/>
          <w:sz w:val="22"/>
          <w:szCs w:val="22"/>
          <w:color w:val="auto"/>
        </w:rPr>
        <w:t>increase the amounts payable to Persons other than Wynn Las Vegas and its Restricted Subsidiaries thereunder by Wynn Las Vegas or any of its Restricted Subsidiaries,</w:t>
      </w:r>
    </w:p>
    <w:p>
      <w:pPr>
        <w:spacing w:after="0" w:line="200" w:lineRule="exact"/>
        <w:rPr>
          <w:rFonts w:ascii="Arial" w:cs="Arial" w:eastAsia="Arial" w:hAnsi="Arial"/>
          <w:sz w:val="22"/>
          <w:szCs w:val="22"/>
          <w:color w:val="auto"/>
        </w:rPr>
      </w:pPr>
    </w:p>
    <w:p>
      <w:pPr>
        <w:ind w:left="660" w:firstLine="645"/>
        <w:spacing w:after="0" w:line="251" w:lineRule="auto"/>
        <w:tabs>
          <w:tab w:leader="none" w:pos="2457" w:val="left"/>
        </w:tabs>
        <w:numPr>
          <w:ilvl w:val="1"/>
          <w:numId w:val="153"/>
        </w:numPr>
        <w:rPr>
          <w:rFonts w:ascii="Arial" w:cs="Arial" w:eastAsia="Arial" w:hAnsi="Arial"/>
          <w:sz w:val="22"/>
          <w:szCs w:val="22"/>
          <w:color w:val="auto"/>
        </w:rPr>
      </w:pPr>
      <w:r>
        <w:rPr>
          <w:rFonts w:ascii="Arial" w:cs="Arial" w:eastAsia="Arial" w:hAnsi="Arial"/>
          <w:sz w:val="22"/>
          <w:szCs w:val="22"/>
          <w:color w:val="auto"/>
        </w:rPr>
        <w:t>change the dates on which such amounts are to be paid to dates earlier than those set forth in such agreement, as in effect on the date of this Indenture,</w:t>
      </w:r>
    </w:p>
    <w:p>
      <w:pPr>
        <w:spacing w:after="0" w:line="200" w:lineRule="exact"/>
        <w:rPr>
          <w:rFonts w:ascii="Arial" w:cs="Arial" w:eastAsia="Arial" w:hAnsi="Arial"/>
          <w:sz w:val="22"/>
          <w:szCs w:val="22"/>
          <w:color w:val="auto"/>
        </w:rPr>
      </w:pPr>
    </w:p>
    <w:p>
      <w:pPr>
        <w:jc w:val="both"/>
        <w:ind w:left="660" w:firstLine="645"/>
        <w:spacing w:after="0"/>
        <w:tabs>
          <w:tab w:leader="none" w:pos="2309" w:val="left"/>
        </w:tabs>
        <w:numPr>
          <w:ilvl w:val="1"/>
          <w:numId w:val="153"/>
        </w:numPr>
        <w:rPr>
          <w:rFonts w:ascii="Arial" w:cs="Arial" w:eastAsia="Arial" w:hAnsi="Arial"/>
          <w:sz w:val="22"/>
          <w:szCs w:val="22"/>
          <w:color w:val="auto"/>
        </w:rPr>
      </w:pPr>
      <w:r>
        <w:rPr>
          <w:rFonts w:ascii="Arial" w:cs="Arial" w:eastAsia="Arial" w:hAnsi="Arial"/>
          <w:sz w:val="22"/>
          <w:szCs w:val="22"/>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213" w:lineRule="exact"/>
        <w:rPr>
          <w:rFonts w:ascii="Arial" w:cs="Arial" w:eastAsia="Arial" w:hAnsi="Arial"/>
          <w:sz w:val="22"/>
          <w:szCs w:val="22"/>
          <w:color w:val="auto"/>
        </w:rPr>
      </w:pPr>
    </w:p>
    <w:p>
      <w:pPr>
        <w:ind w:left="660" w:firstLine="645"/>
        <w:spacing w:after="0" w:line="251" w:lineRule="auto"/>
        <w:tabs>
          <w:tab w:leader="none" w:pos="2234" w:val="left"/>
        </w:tabs>
        <w:numPr>
          <w:ilvl w:val="1"/>
          <w:numId w:val="153"/>
        </w:numPr>
        <w:rPr>
          <w:rFonts w:ascii="Arial" w:cs="Arial" w:eastAsia="Arial" w:hAnsi="Arial"/>
          <w:sz w:val="22"/>
          <w:szCs w:val="22"/>
          <w:color w:val="auto"/>
        </w:rPr>
      </w:pPr>
      <w:r>
        <w:rPr>
          <w:rFonts w:ascii="Arial" w:cs="Arial" w:eastAsia="Arial" w:hAnsi="Arial"/>
          <w:sz w:val="22"/>
          <w:szCs w:val="22"/>
          <w:color w:val="auto"/>
        </w:rPr>
        <w:t>materially impair the rights or remedies of the Holders of the Notes thereunder or under this Indenture or the Collateral Documents, or</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materially impair the development, use or operation of the Projects.</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Any other amendment, modification, waiver or other change to, or any failure to enforce, or termination or abandonment of the provisions of any Affiliate Agreement shall be made in accordance with the requirements of Section 4.11(a) hereof.</w:t>
      </w:r>
    </w:p>
    <w:p>
      <w:pPr>
        <w:spacing w:after="0" w:line="13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Notwithstanding the foregoing, in connection with any release of all or any portion of the Golf Course Land as provided in Sections 10.03(b), 10.03(c), 10.03(d) or 10.03(e), Wynn Las Vegas and its Restricted Subsidiaries may terminate (in the case of Sections 10.03(b) or 10.03(c)) or amend (in the case of Sections 10.03(d) or 10.03(e)) the Golf Course Lease, the Access Easement Agreement or any other agreement with respect to the Golf Course Land or any other related assets or property.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06" w:name="page107"/>
    <w:bookmarkEnd w:id="106"/>
    <w:p>
      <w:pPr>
        <w:spacing w:after="0"/>
        <w:tabs>
          <w:tab w:leader="none" w:pos="1940" w:val="left"/>
        </w:tabs>
        <w:rPr>
          <w:sz w:val="20"/>
          <w:szCs w:val="20"/>
          <w:color w:val="auto"/>
        </w:rPr>
      </w:pPr>
      <w:r>
        <w:rPr>
          <w:rFonts w:ascii="Arial" w:cs="Arial" w:eastAsia="Arial" w:hAnsi="Arial"/>
          <w:sz w:val="22"/>
          <w:szCs w:val="22"/>
          <w:color w:val="auto"/>
        </w:rPr>
        <w:t>Section 4.23</w:t>
      </w:r>
      <w:r>
        <w:rPr>
          <w:sz w:val="20"/>
          <w:szCs w:val="20"/>
          <w:color w:val="auto"/>
        </w:rPr>
        <w:tab/>
      </w:r>
      <w:r>
        <w:rPr>
          <w:rFonts w:ascii="Arial" w:cs="Arial" w:eastAsia="Arial" w:hAnsi="Arial"/>
          <w:sz w:val="19"/>
          <w:szCs w:val="19"/>
          <w:i w:val="1"/>
          <w:iCs w:val="1"/>
          <w:color w:val="auto"/>
        </w:rPr>
        <w:t>Amendments to Operating Agreements and Charter Documents.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Except in connection with a Permitted C-Corp. Conversion, Wynn Las Vegas shall not, and shall not permit any of its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Restricted Subsidiaries to:</w:t>
      </w:r>
    </w:p>
    <w:p>
      <w:pPr>
        <w:spacing w:after="0" w:line="215" w:lineRule="exact"/>
        <w:rPr>
          <w:sz w:val="20"/>
          <w:szCs w:val="20"/>
          <w:color w:val="auto"/>
        </w:rPr>
      </w:pPr>
    </w:p>
    <w:p>
      <w:pPr>
        <w:ind w:left="1320" w:hanging="664"/>
        <w:spacing w:after="0"/>
        <w:tabs>
          <w:tab w:leader="none" w:pos="132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dissolve,</w:t>
      </w:r>
    </w:p>
    <w:p>
      <w:pPr>
        <w:spacing w:after="0" w:line="233" w:lineRule="exact"/>
        <w:rPr>
          <w:rFonts w:ascii="Arial" w:cs="Arial" w:eastAsia="Arial" w:hAnsi="Arial"/>
          <w:sz w:val="22"/>
          <w:szCs w:val="22"/>
          <w:color w:val="auto"/>
        </w:rPr>
      </w:pPr>
    </w:p>
    <w:p>
      <w:pPr>
        <w:jc w:val="both"/>
        <w:ind w:firstLine="656"/>
        <w:spacing w:after="0" w:line="282" w:lineRule="auto"/>
        <w:tabs>
          <w:tab w:leader="none" w:pos="1505" w:val="left"/>
        </w:tabs>
        <w:numPr>
          <w:ilvl w:val="0"/>
          <w:numId w:val="154"/>
        </w:numPr>
        <w:rPr>
          <w:rFonts w:ascii="Arial" w:cs="Arial" w:eastAsia="Arial" w:hAnsi="Arial"/>
          <w:sz w:val="19"/>
          <w:szCs w:val="19"/>
          <w:color w:val="auto"/>
        </w:rPr>
      </w:pPr>
      <w:r>
        <w:rPr>
          <w:rFonts w:ascii="Arial" w:cs="Arial" w:eastAsia="Arial" w:hAnsi="Arial"/>
          <w:sz w:val="19"/>
          <w:szCs w:val="19"/>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174" w:lineRule="exact"/>
        <w:rPr>
          <w:rFonts w:ascii="Arial" w:cs="Arial" w:eastAsia="Arial" w:hAnsi="Arial"/>
          <w:sz w:val="19"/>
          <w:szCs w:val="19"/>
          <w:color w:val="auto"/>
        </w:rPr>
      </w:pPr>
    </w:p>
    <w:p>
      <w:pPr>
        <w:jc w:val="both"/>
        <w:ind w:firstLine="656"/>
        <w:spacing w:after="0" w:line="258" w:lineRule="auto"/>
        <w:tabs>
          <w:tab w:leader="none" w:pos="135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4.24</w:t>
      </w:r>
      <w:r>
        <w:rPr>
          <w:sz w:val="20"/>
          <w:szCs w:val="20"/>
          <w:color w:val="auto"/>
        </w:rPr>
        <w:tab/>
      </w:r>
      <w:r>
        <w:rPr>
          <w:rFonts w:ascii="Arial" w:cs="Arial" w:eastAsia="Arial" w:hAnsi="Arial"/>
          <w:sz w:val="19"/>
          <w:szCs w:val="19"/>
          <w:i w:val="1"/>
          <w:iCs w:val="1"/>
          <w:color w:val="auto"/>
        </w:rPr>
        <w:t>Insurance.</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Wynn Las Vegas shall, and shall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ectPr>
          <w:pgSz w:w="11900" w:h="16838" w:orient="portrait"/>
          <w:cols w:equalWidth="0" w:num="1">
            <w:col w:w="11420"/>
          </w:cols>
          <w:pgMar w:left="240" w:top="753"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9"/>
          <w:szCs w:val="19"/>
          <w:i w:val="1"/>
          <w:iCs w:val="1"/>
          <w:color w:val="auto"/>
        </w:rPr>
        <w:t>Subsidiaries as Restricted Subsidiaries or Permitted C-Corp. Conversion.</w:t>
      </w:r>
    </w:p>
    <w:p>
      <w:pPr>
        <w:sectPr>
          <w:pgSz w:w="11900" w:h="16838" w:orient="portrait"/>
          <w:cols w:equalWidth="0" w:num="1">
            <w:col w:w="11420"/>
          </w:cols>
          <w:pgMar w:left="240" w:top="753" w:right="239" w:bottom="1440" w:gutter="0" w:footer="0" w:header="0"/>
          <w:type w:val="continuous"/>
        </w:sectPr>
      </w:pPr>
    </w:p>
    <w:p>
      <w:pPr>
        <w:spacing w:after="0" w:line="2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as a subchapter “C” corporation in a Permitted C-Corp. Conversion, Wynn Las Vegas shall, to the extent not prohibited by Gaming Authorities or applicable Gaming Laws and subject to the Intercreditor Agreement:</w:t>
      </w:r>
    </w:p>
    <w:p>
      <w:pPr>
        <w:spacing w:after="0" w:line="175" w:lineRule="exact"/>
        <w:rPr>
          <w:sz w:val="20"/>
          <w:szCs w:val="20"/>
          <w:color w:val="auto"/>
        </w:rPr>
      </w:pPr>
    </w:p>
    <w:p>
      <w:pPr>
        <w:jc w:val="both"/>
        <w:ind w:left="660" w:hanging="4"/>
        <w:spacing w:after="0"/>
        <w:tabs>
          <w:tab w:leader="none" w:pos="1377" w:val="left"/>
        </w:tabs>
        <w:numPr>
          <w:ilvl w:val="0"/>
          <w:numId w:val="155"/>
        </w:numPr>
        <w:rPr>
          <w:rFonts w:ascii="Arial" w:cs="Arial" w:eastAsia="Arial" w:hAnsi="Arial"/>
          <w:sz w:val="22"/>
          <w:szCs w:val="22"/>
          <w:color w:val="auto"/>
        </w:rPr>
      </w:pPr>
      <w:r>
        <w:rPr>
          <w:rFonts w:ascii="Arial" w:cs="Arial" w:eastAsia="Arial" w:hAnsi="Arial"/>
          <w:sz w:val="22"/>
          <w:szCs w:val="22"/>
          <w:color w:val="auto"/>
        </w:rPr>
        <w:t xml:space="preserve">(1) cause such Restricted Subsidiary or subchapter “C” corporation (if such subchapter “C” corporation is not an Issuer) to guarantee all obligations of the Issuers under this Indenture and the Notes by executing and delivering to the Trustee a supplemental indenture in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to this Indenture; or</w:t>
      </w:r>
    </w:p>
    <w:p>
      <w:pPr>
        <w:spacing w:after="0" w:line="213" w:lineRule="exact"/>
        <w:rPr>
          <w:sz w:val="20"/>
          <w:szCs w:val="20"/>
          <w:color w:val="auto"/>
        </w:rPr>
      </w:pPr>
    </w:p>
    <w:p>
      <w:pPr>
        <w:ind w:left="660" w:right="20" w:hanging="4"/>
        <w:spacing w:after="0" w:line="251" w:lineRule="auto"/>
        <w:tabs>
          <w:tab w:leader="none" w:pos="1596"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if such subchapter “C” corporation is an Issuer, cause such subchapter “C” corporation to execute and deliver to the Trustee (i) a supplemental indenture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type w:val="continuous"/>
        </w:sectPr>
      </w:pPr>
    </w:p>
    <w:bookmarkStart w:id="107" w:name="page108"/>
    <w:bookmarkEnd w:id="107"/>
    <w:p>
      <w:pPr>
        <w:jc w:val="both"/>
        <w:ind w:left="640"/>
        <w:spacing w:after="0" w:line="282" w:lineRule="auto"/>
        <w:rPr>
          <w:sz w:val="20"/>
          <w:szCs w:val="20"/>
          <w:color w:val="auto"/>
        </w:rPr>
      </w:pPr>
      <w:r>
        <w:rPr>
          <w:rFonts w:ascii="Arial" w:cs="Arial" w:eastAsia="Arial" w:hAnsi="Arial"/>
          <w:sz w:val="19"/>
          <w:szCs w:val="19"/>
          <w:color w:val="auto"/>
        </w:rPr>
        <w:t xml:space="preserve">substantially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hereto, (ii) an assumption agreement unconditionally and irrevocably assuming all of the right, title and interest of the Issuer that was so reorganized as a subchapter “C” corporation in, to and under this Indenture and the Notes, and (iii) replacement Notes for the Notes previously issued by the Issuer that was so reorganized as a subchapter “C” corporation to be issued to the Holders upon request and the concurrent return by such Holders of the Notes previously issued to them by the Issuer that was so reorganized as a “C” corporation;</w:t>
      </w:r>
    </w:p>
    <w:p>
      <w:pPr>
        <w:spacing w:after="0" w:line="175" w:lineRule="exact"/>
        <w:rPr>
          <w:sz w:val="20"/>
          <w:szCs w:val="20"/>
          <w:color w:val="auto"/>
        </w:rPr>
      </w:pPr>
    </w:p>
    <w:p>
      <w:pPr>
        <w:jc w:val="both"/>
        <w:ind w:left="-20" w:right="20" w:firstLine="656"/>
        <w:spacing w:after="0" w:line="287" w:lineRule="auto"/>
        <w:tabs>
          <w:tab w:leader="none" w:pos="1569"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cause such Restricted Subsidiary or subchapter “C” corporation to execute and deliver to the Trustee, (a) an assumption agreement in the form of </w:t>
      </w:r>
      <w:r>
        <w:rPr>
          <w:rFonts w:ascii="Arial" w:cs="Arial" w:eastAsia="Arial" w:hAnsi="Arial"/>
          <w:sz w:val="19"/>
          <w:szCs w:val="19"/>
          <w:u w:val="single" w:color="auto"/>
          <w:color w:val="auto"/>
        </w:rPr>
        <w:t>Annex 1</w:t>
      </w:r>
      <w:r>
        <w:rPr>
          <w:rFonts w:ascii="Arial" w:cs="Arial" w:eastAsia="Arial" w:hAnsi="Arial"/>
          <w:sz w:val="19"/>
          <w:szCs w:val="19"/>
          <w:color w:val="auto"/>
        </w:rPr>
        <w:t xml:space="preserve"> to the Security Agreement (under which such Restricted Subsidiary or subchapter “C” corporation shall grant a security interest to the Trustee in those of its assets described in the Security Agreement), and (b) such Uniform Commercial Code financing statements as are necessary to perfect the Trustee’s security interest in such assets;</w:t>
      </w:r>
    </w:p>
    <w:p>
      <w:pPr>
        <w:spacing w:after="0" w:line="170" w:lineRule="exact"/>
        <w:rPr>
          <w:rFonts w:ascii="Arial" w:cs="Arial" w:eastAsia="Arial" w:hAnsi="Arial"/>
          <w:sz w:val="19"/>
          <w:szCs w:val="19"/>
          <w:color w:val="auto"/>
        </w:rPr>
      </w:pPr>
    </w:p>
    <w:p>
      <w:pPr>
        <w:jc w:val="both"/>
        <w:ind w:left="-20" w:firstLine="656"/>
        <w:spacing w:after="0" w:line="252" w:lineRule="auto"/>
        <w:tabs>
          <w:tab w:leader="none" w:pos="1404" w:val="left"/>
        </w:tabs>
        <w:numPr>
          <w:ilvl w:val="0"/>
          <w:numId w:val="157"/>
        </w:numPr>
        <w:rPr>
          <w:rFonts w:ascii="Arial" w:cs="Arial" w:eastAsia="Arial" w:hAnsi="Arial"/>
          <w:sz w:val="21"/>
          <w:szCs w:val="21"/>
          <w:color w:val="auto"/>
        </w:rPr>
      </w:pPr>
      <w:r>
        <w:rPr>
          <w:rFonts w:ascii="Arial" w:cs="Arial" w:eastAsia="Arial" w:hAnsi="Arial"/>
          <w:sz w:val="21"/>
          <w:szCs w:val="21"/>
          <w:color w:val="auto"/>
        </w:rPr>
        <w:t>in the event such Restricted Subsidiary or subchapter “C” corporation owns real property that (i) is contiguous to any real property included in the Collateral, (ii) has a Fair Market Value in excess of $50.0 million in the aggregate or $25.0 million individually or (iii) is required pursuant to the terms of the Credit Agreement to be included in the Collateral, cause such Restricted Subsidiary or subchapter “C” corporation to execute and deliver to the Trustee:</w:t>
      </w:r>
    </w:p>
    <w:p>
      <w:pPr>
        <w:spacing w:after="0" w:line="201" w:lineRule="exact"/>
        <w:rPr>
          <w:rFonts w:ascii="Arial" w:cs="Arial" w:eastAsia="Arial" w:hAnsi="Arial"/>
          <w:sz w:val="21"/>
          <w:szCs w:val="21"/>
          <w:color w:val="auto"/>
        </w:rPr>
      </w:pPr>
    </w:p>
    <w:p>
      <w:pPr>
        <w:jc w:val="both"/>
        <w:ind w:left="640" w:firstLine="645"/>
        <w:spacing w:after="0"/>
        <w:tabs>
          <w:tab w:leader="none" w:pos="2122" w:val="left"/>
        </w:tabs>
        <w:numPr>
          <w:ilvl w:val="1"/>
          <w:numId w:val="157"/>
        </w:numPr>
        <w:rPr>
          <w:rFonts w:ascii="Arial" w:cs="Arial" w:eastAsia="Arial" w:hAnsi="Arial"/>
          <w:sz w:val="22"/>
          <w:szCs w:val="22"/>
          <w:color w:val="auto"/>
        </w:rPr>
      </w:pPr>
      <w:r>
        <w:rPr>
          <w:rFonts w:ascii="Arial" w:cs="Arial" w:eastAsia="Arial" w:hAnsi="Arial"/>
          <w:sz w:val="22"/>
          <w:szCs w:val="22"/>
          <w:color w:val="auto"/>
        </w:rPr>
        <w:t>a deed of trust, substantially in the form of the Deeds of Trust (with such modifications as are necessary to comply with applicable law) (under which such Restricted Subsidiary or subchapter “C” corporation shall grant a security interest to the Trustee in such real property and any related fixtures),</w:t>
      </w:r>
    </w:p>
    <w:p>
      <w:pPr>
        <w:spacing w:after="0" w:line="213" w:lineRule="exact"/>
        <w:rPr>
          <w:rFonts w:ascii="Arial" w:cs="Arial" w:eastAsia="Arial" w:hAnsi="Arial"/>
          <w:sz w:val="22"/>
          <w:szCs w:val="22"/>
          <w:color w:val="auto"/>
        </w:rPr>
      </w:pPr>
    </w:p>
    <w:p>
      <w:pPr>
        <w:ind w:left="640" w:firstLine="645"/>
        <w:spacing w:after="0" w:line="251" w:lineRule="auto"/>
        <w:tabs>
          <w:tab w:leader="none" w:pos="2264" w:val="left"/>
        </w:tabs>
        <w:numPr>
          <w:ilvl w:val="1"/>
          <w:numId w:val="157"/>
        </w:numPr>
        <w:rPr>
          <w:rFonts w:ascii="Arial" w:cs="Arial" w:eastAsia="Arial" w:hAnsi="Arial"/>
          <w:sz w:val="22"/>
          <w:szCs w:val="22"/>
          <w:color w:val="auto"/>
        </w:rPr>
      </w:pPr>
      <w:r>
        <w:rPr>
          <w:rFonts w:ascii="Arial" w:cs="Arial" w:eastAsia="Arial" w:hAnsi="Arial"/>
          <w:sz w:val="22"/>
          <w:szCs w:val="22"/>
          <w:color w:val="auto"/>
        </w:rPr>
        <w:t>in the case of any such Restricted Subsidiary, title and extended coverage insurance covering such real property in an amount at least equal to the purchase price of such real property, and</w:t>
      </w:r>
    </w:p>
    <w:p>
      <w:pPr>
        <w:spacing w:after="0" w:line="200" w:lineRule="exact"/>
        <w:rPr>
          <w:rFonts w:ascii="Arial" w:cs="Arial" w:eastAsia="Arial" w:hAnsi="Arial"/>
          <w:sz w:val="22"/>
          <w:szCs w:val="22"/>
          <w:color w:val="auto"/>
        </w:rPr>
      </w:pPr>
    </w:p>
    <w:p>
      <w:pPr>
        <w:jc w:val="both"/>
        <w:ind w:left="640" w:firstLine="645"/>
        <w:spacing w:after="0" w:line="258" w:lineRule="auto"/>
        <w:tabs>
          <w:tab w:leader="none" w:pos="2325" w:val="left"/>
        </w:tabs>
        <w:numPr>
          <w:ilvl w:val="1"/>
          <w:numId w:val="157"/>
        </w:numPr>
        <w:rPr>
          <w:rFonts w:ascii="Arial" w:cs="Arial" w:eastAsia="Arial" w:hAnsi="Arial"/>
          <w:sz w:val="21"/>
          <w:szCs w:val="21"/>
          <w:color w:val="auto"/>
        </w:rPr>
      </w:pPr>
      <w:r>
        <w:rPr>
          <w:rFonts w:ascii="Arial" w:cs="Arial" w:eastAsia="Arial" w:hAnsi="Arial"/>
          <w:sz w:val="21"/>
          <w:szCs w:val="21"/>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193" w:lineRule="exact"/>
        <w:rPr>
          <w:rFonts w:ascii="Arial" w:cs="Arial" w:eastAsia="Arial" w:hAnsi="Arial"/>
          <w:sz w:val="21"/>
          <w:szCs w:val="21"/>
          <w:color w:val="auto"/>
        </w:rPr>
      </w:pPr>
    </w:p>
    <w:p>
      <w:pPr>
        <w:jc w:val="both"/>
        <w:ind w:left="-20" w:firstLine="656"/>
        <w:spacing w:after="0" w:line="236" w:lineRule="auto"/>
        <w:tabs>
          <w:tab w:leader="none" w:pos="1589" w:val="left"/>
        </w:tabs>
        <w:numPr>
          <w:ilvl w:val="0"/>
          <w:numId w:val="157"/>
        </w:numPr>
        <w:rPr>
          <w:rFonts w:ascii="Arial" w:cs="Arial" w:eastAsia="Arial" w:hAnsi="Arial"/>
          <w:sz w:val="22"/>
          <w:szCs w:val="22"/>
          <w:color w:val="auto"/>
        </w:rPr>
      </w:pPr>
      <w:r>
        <w:rPr>
          <w:rFonts w:ascii="Arial" w:cs="Arial" w:eastAsia="Arial" w:hAnsi="Arial"/>
          <w:sz w:val="22"/>
          <w:szCs w:val="22"/>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this Indenture and the Notes or such Restricted Subsidiary’s Guarantee obligations under the applicable Security Agreement, as the case may be;</w:t>
      </w:r>
    </w:p>
    <w:p>
      <w:pPr>
        <w:spacing w:after="0" w:line="214" w:lineRule="exact"/>
        <w:rPr>
          <w:rFonts w:ascii="Arial" w:cs="Arial" w:eastAsia="Arial" w:hAnsi="Arial"/>
          <w:sz w:val="22"/>
          <w:szCs w:val="22"/>
          <w:color w:val="auto"/>
        </w:rPr>
      </w:pPr>
    </w:p>
    <w:p>
      <w:pPr>
        <w:jc w:val="both"/>
        <w:ind w:left="-20" w:firstLine="656"/>
        <w:spacing w:after="0"/>
        <w:tabs>
          <w:tab w:leader="none" w:pos="168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Section 4.25;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76835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753" w:right="239" w:bottom="1440" w:gutter="0" w:footer="0" w:header="0"/>
        </w:sectPr>
      </w:pPr>
    </w:p>
    <w:bookmarkStart w:id="108" w:name="page109"/>
    <w:bookmarkEnd w:id="108"/>
    <w:p>
      <w:pPr>
        <w:ind w:firstLine="656"/>
        <w:spacing w:after="0" w:line="251" w:lineRule="auto"/>
        <w:tabs>
          <w:tab w:leader="none" w:pos="135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promptly deliver to the Trustee such Opinions of Counsel, if any, as the Trustee may reasonably require with respect to the foregoing (including opinions as to enforceability and perfection of security interests).</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Notwithstanding the foregoing, no Restricted Subsidiary shall be required to take the actions specified in clauses (2) through (6) above during any Collateral Release Period.</w:t>
      </w:r>
    </w:p>
    <w:p>
      <w:pPr>
        <w:spacing w:after="0" w:line="200"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4.26</w:t>
      </w:r>
      <w:r>
        <w:rPr>
          <w:sz w:val="20"/>
          <w:szCs w:val="20"/>
          <w:color w:val="auto"/>
        </w:rPr>
        <w:tab/>
      </w:r>
      <w:r>
        <w:rPr>
          <w:rFonts w:ascii="Arial" w:cs="Arial" w:eastAsia="Arial" w:hAnsi="Arial"/>
          <w:sz w:val="19"/>
          <w:szCs w:val="19"/>
          <w:i w:val="1"/>
          <w:iCs w:val="1"/>
          <w:color w:val="auto"/>
        </w:rPr>
        <w:t>Additional Collateral; Acquisition of Assets or Property.</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At any time other than during a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shall, and shall cause its Restricted Subsidiaries to, cause the applicable entity to:</w:t>
      </w:r>
    </w:p>
    <w:p>
      <w:pPr>
        <w:spacing w:after="0" w:line="170" w:lineRule="exact"/>
        <w:rPr>
          <w:sz w:val="20"/>
          <w:szCs w:val="20"/>
          <w:color w:val="auto"/>
        </w:rPr>
      </w:pPr>
    </w:p>
    <w:p>
      <w:pPr>
        <w:jc w:val="both"/>
        <w:ind w:firstLine="656"/>
        <w:spacing w:after="0" w:line="236" w:lineRule="auto"/>
        <w:tabs>
          <w:tab w:leader="none" w:pos="1408" w:val="left"/>
        </w:tabs>
        <w:numPr>
          <w:ilvl w:val="1"/>
          <w:numId w:val="159"/>
        </w:numPr>
        <w:rPr>
          <w:rFonts w:ascii="Arial" w:cs="Arial" w:eastAsia="Arial" w:hAnsi="Arial"/>
          <w:sz w:val="22"/>
          <w:szCs w:val="22"/>
          <w:color w:val="auto"/>
        </w:rPr>
      </w:pPr>
      <w:r>
        <w:rPr>
          <w:rFonts w:ascii="Arial" w:cs="Arial" w:eastAsia="Arial" w:hAnsi="Arial"/>
          <w:sz w:val="22"/>
          <w:szCs w:val="22"/>
          <w:color w:val="auto"/>
        </w:rPr>
        <w:t>in the case of the acquisition of personal property with an aggregate fair market value in excess of $50,000 (other than “Excluded Assets” as defined in the Pledge and Security Agreement) for all such acquired personal property, execute and deliver to the collateral agent under the Pledge and Security Agreement such Uniform Commercial Code financing statements, if any, as are necessary or, in the opinion of the Trustee, desirable to perfect and protect the Trustee’s security interest in such assets or property;</w:t>
      </w:r>
    </w:p>
    <w:p>
      <w:pPr>
        <w:spacing w:after="0" w:line="214" w:lineRule="exact"/>
        <w:rPr>
          <w:rFonts w:ascii="Arial" w:cs="Arial" w:eastAsia="Arial" w:hAnsi="Arial"/>
          <w:sz w:val="22"/>
          <w:szCs w:val="22"/>
          <w:color w:val="auto"/>
        </w:rPr>
      </w:pPr>
    </w:p>
    <w:p>
      <w:pPr>
        <w:ind w:left="1380" w:hanging="724"/>
        <w:spacing w:after="0"/>
        <w:tabs>
          <w:tab w:leader="none" w:pos="1380" w:val="left"/>
        </w:tabs>
        <w:numPr>
          <w:ilvl w:val="1"/>
          <w:numId w:val="159"/>
        </w:numPr>
        <w:rPr>
          <w:rFonts w:ascii="Arial" w:cs="Arial" w:eastAsia="Arial" w:hAnsi="Arial"/>
          <w:sz w:val="19"/>
          <w:szCs w:val="19"/>
          <w:color w:val="auto"/>
        </w:rPr>
      </w:pPr>
      <w:r>
        <w:rPr>
          <w:rFonts w:ascii="Arial" w:cs="Arial" w:eastAsia="Arial" w:hAnsi="Arial"/>
          <w:sz w:val="19"/>
          <w:szCs w:val="19"/>
          <w:color w:val="auto"/>
        </w:rPr>
        <w:t>in the case of the acquisition of real property, that (i) is contiguous to any real property included in the Collateral or</w:t>
      </w:r>
    </w:p>
    <w:p>
      <w:pPr>
        <w:spacing w:after="0" w:line="42" w:lineRule="exact"/>
        <w:rPr>
          <w:rFonts w:ascii="Arial" w:cs="Arial" w:eastAsia="Arial" w:hAnsi="Arial"/>
          <w:sz w:val="19"/>
          <w:szCs w:val="19"/>
          <w:color w:val="auto"/>
        </w:rPr>
      </w:pPr>
    </w:p>
    <w:p>
      <w:pPr>
        <w:ind w:firstLine="8"/>
        <w:spacing w:after="0" w:line="237" w:lineRule="auto"/>
        <w:tabs>
          <w:tab w:leader="none" w:pos="348" w:val="left"/>
        </w:tabs>
        <w:numPr>
          <w:ilvl w:val="0"/>
          <w:numId w:val="160"/>
        </w:numPr>
        <w:rPr>
          <w:rFonts w:ascii="Arial" w:cs="Arial" w:eastAsia="Arial" w:hAnsi="Arial"/>
          <w:sz w:val="22"/>
          <w:szCs w:val="22"/>
          <w:color w:val="auto"/>
        </w:rPr>
      </w:pPr>
      <w:r>
        <w:rPr>
          <w:rFonts w:ascii="Arial" w:cs="Arial" w:eastAsia="Arial" w:hAnsi="Arial"/>
          <w:sz w:val="22"/>
          <w:szCs w:val="22"/>
          <w:color w:val="auto"/>
        </w:rPr>
        <w:t>has a Fair Market Value in excess of $5.0 million in the aggregate or $2.5 million individually, execute and deliver to the Trustee:</w:t>
      </w:r>
    </w:p>
    <w:p>
      <w:pPr>
        <w:spacing w:after="0" w:line="211" w:lineRule="exact"/>
        <w:rPr>
          <w:rFonts w:ascii="Arial" w:cs="Arial" w:eastAsia="Arial" w:hAnsi="Arial"/>
          <w:sz w:val="22"/>
          <w:szCs w:val="22"/>
          <w:color w:val="auto"/>
        </w:rPr>
      </w:pPr>
    </w:p>
    <w:p>
      <w:pPr>
        <w:jc w:val="both"/>
        <w:ind w:left="660" w:firstLine="645"/>
        <w:spacing w:after="0"/>
        <w:tabs>
          <w:tab w:leader="none" w:pos="2179" w:val="left"/>
        </w:tabs>
        <w:numPr>
          <w:ilvl w:val="2"/>
          <w:numId w:val="160"/>
        </w:numPr>
        <w:rPr>
          <w:rFonts w:ascii="Arial" w:cs="Arial" w:eastAsia="Arial" w:hAnsi="Arial"/>
          <w:sz w:val="22"/>
          <w:szCs w:val="22"/>
          <w:color w:val="auto"/>
        </w:rPr>
      </w:pPr>
      <w:r>
        <w:rPr>
          <w:rFonts w:ascii="Arial" w:cs="Arial" w:eastAsia="Arial" w:hAnsi="Arial"/>
          <w:sz w:val="22"/>
          <w:szCs w:val="22"/>
          <w:color w:val="auto"/>
        </w:rPr>
        <w:t>a deed of trust, substantially in the form of the Deeds of Trust (with such modifications as are necessary to comply with applicable law) (under which Wynn Las Vegas or such Restricted Subsidiary shall grant a security interest to the Trustee in such real property and any related fixtures), and</w:t>
      </w:r>
    </w:p>
    <w:p>
      <w:pPr>
        <w:spacing w:after="0" w:line="213" w:lineRule="exact"/>
        <w:rPr>
          <w:rFonts w:ascii="Arial" w:cs="Arial" w:eastAsia="Arial" w:hAnsi="Arial"/>
          <w:sz w:val="22"/>
          <w:szCs w:val="22"/>
          <w:color w:val="auto"/>
        </w:rPr>
      </w:pPr>
    </w:p>
    <w:p>
      <w:pPr>
        <w:ind w:left="660" w:firstLine="645"/>
        <w:spacing w:after="0" w:line="251" w:lineRule="auto"/>
        <w:tabs>
          <w:tab w:leader="none" w:pos="2435" w:val="left"/>
        </w:tabs>
        <w:numPr>
          <w:ilvl w:val="2"/>
          <w:numId w:val="160"/>
        </w:numPr>
        <w:rPr>
          <w:rFonts w:ascii="Arial" w:cs="Arial" w:eastAsia="Arial" w:hAnsi="Arial"/>
          <w:sz w:val="22"/>
          <w:szCs w:val="22"/>
          <w:color w:val="auto"/>
        </w:rPr>
      </w:pPr>
      <w:r>
        <w:rPr>
          <w:rFonts w:ascii="Arial" w:cs="Arial" w:eastAsia="Arial" w:hAnsi="Arial"/>
          <w:sz w:val="22"/>
          <w:szCs w:val="22"/>
          <w:color w:val="auto"/>
        </w:rPr>
        <w:t>title and extended coverage insurance covering such real property in an amount at least equal to the purchase price of such real property; and</w:t>
      </w:r>
    </w:p>
    <w:p>
      <w:pPr>
        <w:spacing w:after="0" w:line="200" w:lineRule="exact"/>
        <w:rPr>
          <w:rFonts w:ascii="Arial" w:cs="Arial" w:eastAsia="Arial" w:hAnsi="Arial"/>
          <w:sz w:val="22"/>
          <w:szCs w:val="22"/>
          <w:color w:val="auto"/>
        </w:rPr>
      </w:pPr>
    </w:p>
    <w:p>
      <w:pPr>
        <w:jc w:val="both"/>
        <w:ind w:firstLine="656"/>
        <w:spacing w:after="0" w:line="287" w:lineRule="auto"/>
        <w:tabs>
          <w:tab w:leader="none" w:pos="1344" w:val="left"/>
        </w:tabs>
        <w:numPr>
          <w:ilvl w:val="1"/>
          <w:numId w:val="160"/>
        </w:numPr>
        <w:rPr>
          <w:rFonts w:ascii="Arial" w:cs="Arial" w:eastAsia="Arial" w:hAnsi="Arial"/>
          <w:sz w:val="19"/>
          <w:szCs w:val="19"/>
          <w:color w:val="auto"/>
        </w:rPr>
      </w:pPr>
      <w:r>
        <w:rPr>
          <w:rFonts w:ascii="Arial" w:cs="Arial" w:eastAsia="Arial" w:hAnsi="Arial"/>
          <w:sz w:val="19"/>
          <w:szCs w:val="19"/>
          <w:color w:val="auto"/>
        </w:rPr>
        <w:t>in the case of the acquisition of personal property (other than personal property in which the Trustee has a perfected security interest (subject only to Permitted Liens)) or real property subject to clauses (a) and (b) above of this Section 4.26, as applicable, promptly deliver to the Trustee such Opinions of Counsel, if any, as the Trustee may reasonably require with respect to the foregoing (including opinions as to enforceability and perfection of security interests).</w:t>
      </w:r>
    </w:p>
    <w:p>
      <w:pPr>
        <w:spacing w:after="0" w:line="170"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4.27</w:t>
      </w:r>
      <w:r>
        <w:rPr>
          <w:sz w:val="20"/>
          <w:szCs w:val="20"/>
          <w:color w:val="auto"/>
        </w:rPr>
        <w:tab/>
      </w:r>
      <w:r>
        <w:rPr>
          <w:rFonts w:ascii="Arial" w:cs="Arial" w:eastAsia="Arial" w:hAnsi="Arial"/>
          <w:sz w:val="19"/>
          <w:szCs w:val="19"/>
          <w:i w:val="1"/>
          <w:iCs w:val="1"/>
          <w:color w:val="auto"/>
        </w:rPr>
        <w:t>Further Assurances.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Except during any Collateral Release Period, Wynn Las Vegas shall, and shall cause its Restricted Subsidiaries to, execute and deliver such additional instruments, certificates or documents, and take all such actions as may be reasonably required from time to time in order to:</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09" w:name="page110"/>
    <w:bookmarkEnd w:id="109"/>
    <w:p>
      <w:pPr>
        <w:ind w:left="1320" w:hanging="664"/>
        <w:spacing w:after="0"/>
        <w:tabs>
          <w:tab w:leader="none" w:pos="13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carry out more effectively the purposes of the Collateral Documents;</w:t>
      </w:r>
    </w:p>
    <w:p>
      <w:pPr>
        <w:spacing w:after="0" w:line="233" w:lineRule="exact"/>
        <w:rPr>
          <w:rFonts w:ascii="Arial" w:cs="Arial" w:eastAsia="Arial" w:hAnsi="Arial"/>
          <w:sz w:val="22"/>
          <w:szCs w:val="22"/>
          <w:color w:val="auto"/>
        </w:rPr>
      </w:pPr>
    </w:p>
    <w:p>
      <w:pPr>
        <w:ind w:right="20" w:firstLine="656"/>
        <w:spacing w:after="0" w:line="251" w:lineRule="auto"/>
        <w:tabs>
          <w:tab w:leader="none" w:pos="1595" w:val="left"/>
        </w:tabs>
        <w:numPr>
          <w:ilvl w:val="0"/>
          <w:numId w:val="161"/>
        </w:numPr>
        <w:rPr>
          <w:rFonts w:ascii="Arial" w:cs="Arial" w:eastAsia="Arial" w:hAnsi="Arial"/>
          <w:sz w:val="22"/>
          <w:szCs w:val="22"/>
          <w:color w:val="auto"/>
        </w:rPr>
      </w:pPr>
      <w:r>
        <w:rPr>
          <w:rFonts w:ascii="Arial" w:cs="Arial" w:eastAsia="Arial" w:hAnsi="Arial"/>
          <w:sz w:val="22"/>
          <w:szCs w:val="22"/>
          <w:color w:val="auto"/>
        </w:rPr>
        <w:t>create, grant, perfect and maintain the validity, effectiveness, perfection and priority of any of the Collateral Documents and the Liens created, or intended to be created, by the Collateral Documents; and</w:t>
      </w:r>
    </w:p>
    <w:p>
      <w:pPr>
        <w:spacing w:after="0" w:line="200" w:lineRule="exact"/>
        <w:rPr>
          <w:rFonts w:ascii="Arial" w:cs="Arial" w:eastAsia="Arial" w:hAnsi="Arial"/>
          <w:sz w:val="22"/>
          <w:szCs w:val="22"/>
          <w:color w:val="auto"/>
        </w:rPr>
      </w:pPr>
    </w:p>
    <w:p>
      <w:pPr>
        <w:jc w:val="both"/>
        <w:ind w:firstLine="656"/>
        <w:spacing w:after="0" w:line="238" w:lineRule="auto"/>
        <w:tabs>
          <w:tab w:leader="none" w:pos="1463" w:val="left"/>
        </w:tabs>
        <w:numPr>
          <w:ilvl w:val="0"/>
          <w:numId w:val="161"/>
        </w:numPr>
        <w:rPr>
          <w:rFonts w:ascii="Arial" w:cs="Arial" w:eastAsia="Arial" w:hAnsi="Arial"/>
          <w:sz w:val="22"/>
          <w:szCs w:val="22"/>
          <w:color w:val="auto"/>
        </w:rPr>
      </w:pPr>
      <w:r>
        <w:rPr>
          <w:rFonts w:ascii="Arial" w:cs="Arial" w:eastAsia="Arial" w:hAnsi="Arial"/>
          <w:sz w:val="22"/>
          <w:szCs w:val="22"/>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Upon the exercise by the Trustee or any Holder of any power, right, privilege or remedy under this Indenture or any of the Collateral Documents which requires any consent, approval, recording, qualification or authorization of any governmental authority (including any Gaming Authority), Wynn Las Vegas shall, and shall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15"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4.28</w:t>
      </w:r>
      <w:r>
        <w:rPr>
          <w:sz w:val="20"/>
          <w:szCs w:val="20"/>
          <w:color w:val="auto"/>
        </w:rPr>
        <w:tab/>
      </w:r>
      <w:r>
        <w:rPr>
          <w:rFonts w:ascii="Arial" w:cs="Arial" w:eastAsia="Arial" w:hAnsi="Arial"/>
          <w:sz w:val="19"/>
          <w:szCs w:val="19"/>
          <w:i w:val="1"/>
          <w:iCs w:val="1"/>
          <w:color w:val="auto"/>
        </w:rPr>
        <w:t>Payments for Consent.</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Wynn Las Vegas shall not, and shall not permit any of its Restricted Subsidiaries to, directly or indirectly, pay or cause to be paid any consideration to or for the benefit of any Holder of Notes for or as an inducement to any consent, waiver or amendment of any of the terms or provisions of this Indenture, the Notes or the Collateral Documents unless such consideration is offered to be paid and is paid to all Holders of Notes that consent, waive or agree to amend in the time frame set forth in the solicitation documents relating to such consent, waiver or agreement. Notwithstanding the foregoing, in any offer or payment of consideration for, or as an inducement to, any consent, waiver or amendment of any of the terms or provisions of this Indenture or the Notes in connection with an exchange offer, Wynn Las Vegas m ay exclude (i) Holders or beneficial owners of the Notes that are not institutional “accredited investors” as defined in subparagraphs (a)(1), (2), (3) or (7) of Rule 501 under the Securities Act, and (ii) Holders or beneficial owners of the Notes in any jurisdiction where the inclusion of such Holders or beneficial owners would require Wynn Las Vegas to comply with the registration requirements or other similar requirements under any securities laws of such jurisdiction, or the solicitation of such consent, waiver or amendment from, or the granting of such consent or waiver, or the approval of such amendment by, Holders or beneficial owners in such jurisdiction would be unlawful, in each case as determined by Wynn Las Vegas in its sole discretion.</w:t>
      </w:r>
    </w:p>
    <w:p>
      <w:pPr>
        <w:spacing w:after="0" w:line="200" w:lineRule="exact"/>
        <w:rPr>
          <w:sz w:val="20"/>
          <w:szCs w:val="20"/>
          <w:color w:val="auto"/>
        </w:rPr>
      </w:pPr>
    </w:p>
    <w:p>
      <w:pPr>
        <w:spacing w:after="0" w:line="232"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4.29</w:t>
      </w:r>
      <w:r>
        <w:rPr>
          <w:sz w:val="20"/>
          <w:szCs w:val="20"/>
          <w:color w:val="auto"/>
        </w:rPr>
        <w:tab/>
      </w:r>
      <w:r>
        <w:rPr>
          <w:rFonts w:ascii="Arial" w:cs="Arial" w:eastAsia="Arial" w:hAnsi="Arial"/>
          <w:sz w:val="19"/>
          <w:szCs w:val="19"/>
          <w:i w:val="1"/>
          <w:iCs w:val="1"/>
          <w:color w:val="auto"/>
        </w:rPr>
        <w:t>Restrictions on Activities of Wynn Capital.</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Wynn Capital shall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this Indenture, but only if the Net Proceeds of such Indebtedness are received by Wynn Las Vegas or one or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0" w:name="page111"/>
    <w:bookmarkEnd w:id="110"/>
    <w:p>
      <w:pPr>
        <w:jc w:val="both"/>
        <w:spacing w:after="0" w:line="238" w:lineRule="auto"/>
        <w:rPr>
          <w:sz w:val="20"/>
          <w:szCs w:val="20"/>
          <w:color w:val="auto"/>
        </w:rPr>
      </w:pPr>
      <w:r>
        <w:rPr>
          <w:rFonts w:ascii="Arial" w:cs="Arial" w:eastAsia="Arial" w:hAnsi="Arial"/>
          <w:sz w:val="22"/>
          <w:szCs w:val="22"/>
          <w:color w:val="auto"/>
        </w:rPr>
        <w:t>more of Wynn Las Vegas’ Wholly Owned Restricted Subsidiaries other than Wynn Capital. At all times while Notes issued under this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SUCCESSORS</w:t>
      </w:r>
    </w:p>
    <w:p>
      <w:pPr>
        <w:spacing w:after="0" w:line="215"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Merger, Consolidation, or Sale of Assets.</w:t>
      </w:r>
    </w:p>
    <w:p>
      <w:pPr>
        <w:spacing w:after="0" w:line="233" w:lineRule="exact"/>
        <w:rPr>
          <w:sz w:val="20"/>
          <w:szCs w:val="20"/>
          <w:color w:val="auto"/>
        </w:rPr>
      </w:pPr>
    </w:p>
    <w:p>
      <w:pPr>
        <w:jc w:val="both"/>
        <w:ind w:firstLine="656"/>
        <w:spacing w:after="0"/>
        <w:tabs>
          <w:tab w:leader="none" w:pos="1358" w:val="left"/>
        </w:tabs>
        <w:numPr>
          <w:ilvl w:val="0"/>
          <w:numId w:val="162"/>
        </w:numPr>
        <w:rPr>
          <w:rFonts w:ascii="Arial" w:cs="Arial" w:eastAsia="Arial" w:hAnsi="Arial"/>
          <w:sz w:val="22"/>
          <w:szCs w:val="22"/>
          <w:color w:val="auto"/>
        </w:rPr>
      </w:pPr>
      <w:r>
        <w:rPr>
          <w:rFonts w:ascii="Arial" w:cs="Arial" w:eastAsia="Arial" w:hAnsi="Arial"/>
          <w:sz w:val="22"/>
          <w:szCs w:val="22"/>
          <w:color w:val="auto"/>
        </w:rPr>
        <w:t>Neither Issuer may,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213" w:lineRule="exact"/>
        <w:rPr>
          <w:rFonts w:ascii="Arial" w:cs="Arial" w:eastAsia="Arial" w:hAnsi="Arial"/>
          <w:sz w:val="22"/>
          <w:szCs w:val="22"/>
          <w:color w:val="auto"/>
        </w:rPr>
      </w:pPr>
    </w:p>
    <w:p>
      <w:pPr>
        <w:jc w:val="both"/>
        <w:ind w:left="660" w:firstLine="645"/>
        <w:spacing w:after="0" w:line="238" w:lineRule="auto"/>
        <w:tabs>
          <w:tab w:leader="none" w:pos="2551" w:val="left"/>
        </w:tabs>
        <w:numPr>
          <w:ilvl w:val="1"/>
          <w:numId w:val="162"/>
        </w:numPr>
        <w:rPr>
          <w:rFonts w:ascii="Arial" w:cs="Arial" w:eastAsia="Arial" w:hAnsi="Arial"/>
          <w:sz w:val="22"/>
          <w:szCs w:val="22"/>
          <w:color w:val="auto"/>
        </w:rPr>
      </w:pPr>
      <w:r>
        <w:rPr>
          <w:rFonts w:ascii="Arial" w:cs="Arial" w:eastAsia="Arial" w:hAnsi="Arial"/>
          <w:sz w:val="22"/>
          <w:szCs w:val="22"/>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212" w:lineRule="exact"/>
        <w:rPr>
          <w:rFonts w:ascii="Arial" w:cs="Arial" w:eastAsia="Arial" w:hAnsi="Arial"/>
          <w:sz w:val="22"/>
          <w:szCs w:val="22"/>
          <w:color w:val="auto"/>
        </w:rPr>
      </w:pPr>
    </w:p>
    <w:p>
      <w:pPr>
        <w:jc w:val="both"/>
        <w:ind w:left="660" w:firstLine="645"/>
        <w:spacing w:after="0" w:line="238" w:lineRule="auto"/>
        <w:tabs>
          <w:tab w:leader="none" w:pos="2326" w:val="left"/>
        </w:tabs>
        <w:numPr>
          <w:ilvl w:val="1"/>
          <w:numId w:val="162"/>
        </w:numPr>
        <w:rPr>
          <w:rFonts w:ascii="Arial" w:cs="Arial" w:eastAsia="Arial" w:hAnsi="Arial"/>
          <w:sz w:val="22"/>
          <w:szCs w:val="22"/>
          <w:color w:val="auto"/>
        </w:rPr>
      </w:pPr>
      <w:r>
        <w:rPr>
          <w:rFonts w:ascii="Arial" w:cs="Arial" w:eastAsia="Arial" w:hAnsi="Arial"/>
          <w:sz w:val="22"/>
          <w:szCs w:val="22"/>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this Indenture, the Registration Rights Agreement and the Collateral Documents pursuant to agreements reasonably satisfactory to the Trustee;</w:t>
      </w:r>
    </w:p>
    <w:p>
      <w:pPr>
        <w:spacing w:after="0" w:line="212" w:lineRule="exact"/>
        <w:rPr>
          <w:rFonts w:ascii="Arial" w:cs="Arial" w:eastAsia="Arial" w:hAnsi="Arial"/>
          <w:sz w:val="22"/>
          <w:szCs w:val="22"/>
          <w:color w:val="auto"/>
        </w:rPr>
      </w:pPr>
    </w:p>
    <w:p>
      <w:pPr>
        <w:ind w:left="2100" w:hanging="795"/>
        <w:spacing w:after="0"/>
        <w:tabs>
          <w:tab w:leader="none" w:pos="210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immediately after such transaction, no Default or Event of Default exists;</w:t>
      </w:r>
    </w:p>
    <w:p>
      <w:pPr>
        <w:spacing w:after="0" w:line="233" w:lineRule="exact"/>
        <w:rPr>
          <w:rFonts w:ascii="Arial" w:cs="Arial" w:eastAsia="Arial" w:hAnsi="Arial"/>
          <w:sz w:val="22"/>
          <w:szCs w:val="22"/>
          <w:color w:val="auto"/>
        </w:rPr>
      </w:pPr>
    </w:p>
    <w:p>
      <w:pPr>
        <w:jc w:val="both"/>
        <w:ind w:left="660" w:firstLine="645"/>
        <w:spacing w:after="0"/>
        <w:tabs>
          <w:tab w:leader="none" w:pos="2168" w:val="left"/>
        </w:tabs>
        <w:numPr>
          <w:ilvl w:val="1"/>
          <w:numId w:val="162"/>
        </w:numPr>
        <w:rPr>
          <w:rFonts w:ascii="Arial" w:cs="Arial" w:eastAsia="Arial" w:hAnsi="Arial"/>
          <w:sz w:val="22"/>
          <w:szCs w:val="22"/>
          <w:color w:val="auto"/>
        </w:rPr>
      </w:pPr>
      <w:r>
        <w:rPr>
          <w:rFonts w:ascii="Arial" w:cs="Arial" w:eastAsia="Arial" w:hAnsi="Arial"/>
          <w:sz w:val="22"/>
          <w:szCs w:val="22"/>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213" w:lineRule="exact"/>
        <w:rPr>
          <w:rFonts w:ascii="Arial" w:cs="Arial" w:eastAsia="Arial" w:hAnsi="Arial"/>
          <w:sz w:val="22"/>
          <w:szCs w:val="22"/>
          <w:color w:val="auto"/>
        </w:rPr>
      </w:pPr>
    </w:p>
    <w:p>
      <w:pPr>
        <w:ind w:left="660" w:firstLine="645"/>
        <w:spacing w:after="0" w:line="274" w:lineRule="auto"/>
        <w:tabs>
          <w:tab w:leader="none" w:pos="2301" w:val="left"/>
        </w:tabs>
        <w:numPr>
          <w:ilvl w:val="1"/>
          <w:numId w:val="162"/>
        </w:numPr>
        <w:rPr>
          <w:rFonts w:ascii="Arial" w:cs="Arial" w:eastAsia="Arial" w:hAnsi="Arial"/>
          <w:sz w:val="21"/>
          <w:szCs w:val="21"/>
          <w:color w:val="auto"/>
        </w:rPr>
      </w:pPr>
      <w:r>
        <w:rPr>
          <w:rFonts w:ascii="Arial" w:cs="Arial" w:eastAsia="Arial" w:hAnsi="Arial"/>
          <w:sz w:val="21"/>
          <w:szCs w:val="21"/>
          <w:color w:val="auto"/>
        </w:rPr>
        <w:t>such Issuer or the Person formed by or surviving any such consolidation or merger (if other than such Issuer), or to which such sale, assignment, transfer, conveyance or other disposition shall have been made:</w:t>
      </w:r>
    </w:p>
    <w:p>
      <w:pPr>
        <w:spacing w:after="0" w:line="177" w:lineRule="exact"/>
        <w:rPr>
          <w:rFonts w:ascii="Arial" w:cs="Arial" w:eastAsia="Arial" w:hAnsi="Arial"/>
          <w:sz w:val="21"/>
          <w:szCs w:val="21"/>
          <w:color w:val="auto"/>
        </w:rPr>
      </w:pPr>
    </w:p>
    <w:p>
      <w:pPr>
        <w:jc w:val="both"/>
        <w:ind w:firstLine="2073"/>
        <w:spacing w:after="0" w:line="297" w:lineRule="auto"/>
        <w:tabs>
          <w:tab w:leader="none" w:pos="3025" w:val="left"/>
        </w:tabs>
        <w:numPr>
          <w:ilvl w:val="2"/>
          <w:numId w:val="162"/>
        </w:numPr>
        <w:rPr>
          <w:rFonts w:ascii="Arial" w:cs="Arial" w:eastAsia="Arial" w:hAnsi="Arial"/>
          <w:sz w:val="19"/>
          <w:szCs w:val="19"/>
          <w:color w:val="auto"/>
        </w:rPr>
      </w:pPr>
      <w:r>
        <w:rPr>
          <w:rFonts w:ascii="Arial" w:cs="Arial" w:eastAsia="Arial" w:hAnsi="Arial"/>
          <w:sz w:val="19"/>
          <w:szCs w:val="19"/>
          <w:color w:val="auto"/>
        </w:rPr>
        <w:t>shall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161" w:lineRule="exact"/>
        <w:rPr>
          <w:rFonts w:ascii="Arial" w:cs="Arial" w:eastAsia="Arial" w:hAnsi="Arial"/>
          <w:sz w:val="19"/>
          <w:szCs w:val="19"/>
          <w:color w:val="auto"/>
        </w:rPr>
      </w:pPr>
    </w:p>
    <w:p>
      <w:pPr>
        <w:jc w:val="both"/>
        <w:ind w:firstLine="2117"/>
        <w:spacing w:after="0" w:line="297" w:lineRule="auto"/>
        <w:tabs>
          <w:tab w:leader="none" w:pos="3299" w:val="left"/>
        </w:tabs>
        <w:numPr>
          <w:ilvl w:val="3"/>
          <w:numId w:val="162"/>
        </w:numPr>
        <w:rPr>
          <w:rFonts w:ascii="Arial" w:cs="Arial" w:eastAsia="Arial" w:hAnsi="Arial"/>
          <w:sz w:val="19"/>
          <w:szCs w:val="19"/>
          <w:color w:val="auto"/>
        </w:rPr>
      </w:pPr>
      <w:r>
        <w:rPr>
          <w:rFonts w:ascii="Arial" w:cs="Arial" w:eastAsia="Arial" w:hAnsi="Arial"/>
          <w:sz w:val="19"/>
          <w:szCs w:val="19"/>
          <w:color w:val="auto"/>
        </w:rPr>
        <w:t>shall,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Section 4.09(a) hereof;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11" w:name="page112"/>
    <w:bookmarkEnd w:id="111"/>
    <w:p>
      <w:pPr>
        <w:jc w:val="both"/>
        <w:ind w:left="660" w:firstLine="645"/>
        <w:spacing w:after="0" w:line="287" w:lineRule="auto"/>
        <w:tabs>
          <w:tab w:leader="none" w:pos="2105" w:val="left"/>
        </w:tabs>
        <w:numPr>
          <w:ilvl w:val="0"/>
          <w:numId w:val="163"/>
        </w:numPr>
        <w:rPr>
          <w:rFonts w:ascii="Arial" w:cs="Arial" w:eastAsia="Arial" w:hAnsi="Arial"/>
          <w:sz w:val="19"/>
          <w:szCs w:val="19"/>
          <w:color w:val="auto"/>
        </w:rPr>
      </w:pPr>
      <w:r>
        <w:rPr>
          <w:rFonts w:ascii="Arial" w:cs="Arial" w:eastAsia="Arial" w:hAnsi="Arial"/>
          <w:sz w:val="19"/>
          <w:szCs w:val="19"/>
          <w:color w:val="auto"/>
        </w:rPr>
        <w:t>such transaction, at the time it is undertaken, would not require any Holder or Beneficial Owner of Notes to obtain a Gaming License or be qualified or found suitable under the law of any applicable 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In addition, no Issuer may, directly or indirectly, lease all or substantially all of its properties or assets, taken as a whole, in one or more related transactions, to any other Person.</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Notwithstanding the provisions of this Section 5.01, Wynn Las Vegas or any of its Restricted Subsidiaries that is not a subchapter “C” corporation is permitted to convert into a corporation pursuant to a Permitted C-Corp. Conversion.</w:t>
      </w:r>
    </w:p>
    <w:p>
      <w:pPr>
        <w:spacing w:after="0" w:line="178"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i w:val="1"/>
          <w:iCs w:val="1"/>
          <w:color w:val="auto"/>
        </w:rPr>
        <w:t>Successor Corporation Substituted.</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Upon any consolidation or merger, or any sale, assignment, transfer, lease, conveyance or other disposition of all or substantially all of the assets of either Issuer in a transaction that is subject to, and that complies with the provisions of, Section 5.01 hereof, the successor Person formed by such consolidation or into or with which such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such “Issuer” shall refer instead to the successor Person and not to such Issuer), and may exercise every right and power of such Issuer under this Indenture with the same effec t as if such successor Person had been named as such Issuer herein; provided, however, that the predecessor Issuer shall not be relieved from the obligation to pay the principal of and interest and premium, if any, on the Notes, except in the case of a sale of all of such Issuer’s assets in a transaction that is subject to, and that complies with the provisions of Section 5.01 hereof.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DEFAULTS AND REMEDIES</w:t>
      </w:r>
    </w:p>
    <w:p>
      <w:pPr>
        <w:spacing w:after="0" w:line="215"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i w:val="1"/>
          <w:iCs w:val="1"/>
          <w:color w:val="auto"/>
        </w:rPr>
        <w:t>Events of Default.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following is an “Event of Default”:</w:t>
      </w:r>
    </w:p>
    <w:p>
      <w:pPr>
        <w:spacing w:after="0" w:line="233" w:lineRule="exact"/>
        <w:rPr>
          <w:sz w:val="20"/>
          <w:szCs w:val="20"/>
          <w:color w:val="auto"/>
        </w:rPr>
      </w:pPr>
    </w:p>
    <w:p>
      <w:pPr>
        <w:ind w:left="1380" w:hanging="724"/>
        <w:spacing w:after="0"/>
        <w:tabs>
          <w:tab w:leader="none" w:pos="138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Issuers default for 30 days in the payment when due of interest on, or Liquidated Damages, if any, with respect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the Notes;</w:t>
      </w:r>
    </w:p>
    <w:p>
      <w:pPr>
        <w:spacing w:after="0" w:line="215" w:lineRule="exact"/>
        <w:rPr>
          <w:rFonts w:ascii="Arial" w:cs="Arial" w:eastAsia="Arial" w:hAnsi="Arial"/>
          <w:sz w:val="19"/>
          <w:szCs w:val="19"/>
          <w:color w:val="auto"/>
        </w:rPr>
      </w:pPr>
    </w:p>
    <w:p>
      <w:pPr>
        <w:ind w:firstLine="656"/>
        <w:spacing w:after="0" w:line="251" w:lineRule="auto"/>
        <w:tabs>
          <w:tab w:leader="none" w:pos="1341"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Issuers default in the payment when due (at maturity, upon redemption, repurchase or otherwise) of the principal of, or premium, if any, on the Notes;</w:t>
      </w:r>
    </w:p>
    <w:p>
      <w:pPr>
        <w:spacing w:after="0" w:line="200" w:lineRule="exact"/>
        <w:rPr>
          <w:rFonts w:ascii="Arial" w:cs="Arial" w:eastAsia="Arial" w:hAnsi="Arial"/>
          <w:sz w:val="22"/>
          <w:szCs w:val="22"/>
          <w:color w:val="auto"/>
        </w:rPr>
      </w:pPr>
    </w:p>
    <w:p>
      <w:pPr>
        <w:ind w:left="1320" w:hanging="664"/>
        <w:spacing w:after="0"/>
        <w:tabs>
          <w:tab w:leader="none" w:pos="132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failure by Wynn Capital, Wynn Las Vegas or any of its Restricted Subsidiaries:</w:t>
      </w:r>
    </w:p>
    <w:p>
      <w:pPr>
        <w:spacing w:after="0" w:line="233" w:lineRule="exact"/>
        <w:rPr>
          <w:rFonts w:ascii="Arial" w:cs="Arial" w:eastAsia="Arial" w:hAnsi="Arial"/>
          <w:sz w:val="22"/>
          <w:szCs w:val="22"/>
          <w:color w:val="auto"/>
        </w:rPr>
      </w:pPr>
    </w:p>
    <w:p>
      <w:pPr>
        <w:ind w:left="660" w:firstLine="645"/>
        <w:spacing w:after="0" w:line="251" w:lineRule="auto"/>
        <w:tabs>
          <w:tab w:leader="none" w:pos="2320" w:val="left"/>
        </w:tabs>
        <w:numPr>
          <w:ilvl w:val="1"/>
          <w:numId w:val="164"/>
        </w:numPr>
        <w:rPr>
          <w:rFonts w:ascii="Arial" w:cs="Arial" w:eastAsia="Arial" w:hAnsi="Arial"/>
          <w:sz w:val="22"/>
          <w:szCs w:val="22"/>
          <w:color w:val="auto"/>
        </w:rPr>
      </w:pPr>
      <w:r>
        <w:rPr>
          <w:rFonts w:ascii="Arial" w:cs="Arial" w:eastAsia="Arial" w:hAnsi="Arial"/>
          <w:sz w:val="22"/>
          <w:szCs w:val="22"/>
          <w:color w:val="auto"/>
        </w:rPr>
        <w:t>to comply with any payment obligations (including, without limitation, obligations as to the timing or amount of such payments) described under Sections 4.10, 4.15 or 4.16 hereof;</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2" w:name="page113"/>
    <w:bookmarkEnd w:id="112"/>
    <w:p>
      <w:pPr>
        <w:ind w:left="2100" w:hanging="795"/>
        <w:spacing w:after="0"/>
        <w:tabs>
          <w:tab w:leader="none" w:pos="210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to comply with Sections 4.07, 4.09 or 5.01 hereof;</w:t>
      </w:r>
    </w:p>
    <w:p>
      <w:pPr>
        <w:spacing w:after="0" w:line="233" w:lineRule="exact"/>
        <w:rPr>
          <w:rFonts w:ascii="Arial" w:cs="Arial" w:eastAsia="Arial" w:hAnsi="Arial"/>
          <w:sz w:val="22"/>
          <w:szCs w:val="22"/>
          <w:color w:val="auto"/>
        </w:rPr>
      </w:pPr>
    </w:p>
    <w:p>
      <w:pPr>
        <w:jc w:val="both"/>
        <w:ind w:firstLine="656"/>
        <w:spacing w:after="0" w:line="297" w:lineRule="auto"/>
        <w:tabs>
          <w:tab w:leader="none" w:pos="141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failure by Wynn Capital, Wynn Las Vegas or any of its Restricted Subsidiaries for 60 days after receipt of written notice from the Trustee or the Holders of at least 25% in aggregate principal amount of the Notes, if any, then outstanding voting as a single class to comply with any of the other agreements in this Indenture not set forth in Section 6.01(c) above;</w:t>
      </w:r>
    </w:p>
    <w:p>
      <w:pPr>
        <w:spacing w:after="0" w:line="161" w:lineRule="exact"/>
        <w:rPr>
          <w:rFonts w:ascii="Arial" w:cs="Arial" w:eastAsia="Arial" w:hAnsi="Arial"/>
          <w:sz w:val="19"/>
          <w:szCs w:val="19"/>
          <w:color w:val="auto"/>
        </w:rPr>
      </w:pPr>
    </w:p>
    <w:p>
      <w:pPr>
        <w:jc w:val="both"/>
        <w:ind w:firstLine="656"/>
        <w:spacing w:after="0" w:line="236" w:lineRule="auto"/>
        <w:tabs>
          <w:tab w:leader="none" w:pos="1428" w:val="left"/>
        </w:tabs>
        <w:numPr>
          <w:ilvl w:val="0"/>
          <w:numId w:val="166"/>
        </w:numPr>
        <w:rPr>
          <w:rFonts w:ascii="Arial" w:cs="Arial" w:eastAsia="Arial" w:hAnsi="Arial"/>
          <w:sz w:val="22"/>
          <w:szCs w:val="22"/>
          <w:color w:val="auto"/>
        </w:rPr>
      </w:pPr>
      <w:r>
        <w:rPr>
          <w:rFonts w:ascii="Arial" w:cs="Arial" w:eastAsia="Arial" w:hAnsi="Arial"/>
          <w:sz w:val="22"/>
          <w:szCs w:val="22"/>
          <w:color w:val="auto"/>
        </w:rPr>
        <w:t>failure by Wynn Capital, Wynn Las Vegas or any of its Restricted Subsidiaries, the Completion Guarantor or any other party to any Collateral Documents (other than the Trustee or any representative of the lenders under the Credit Agreement or other lenders party thereto) for 60 days after receipt of written notice from the Trustee or the Holders of at least 25% in aggregate principal amount of the Notes, if any, then outstanding voting as a single class, to comply with any of its agreements, as applicable, in any Collateral Document;</w:t>
      </w:r>
    </w:p>
    <w:p>
      <w:pPr>
        <w:spacing w:after="0" w:line="214" w:lineRule="exact"/>
        <w:rPr>
          <w:rFonts w:ascii="Arial" w:cs="Arial" w:eastAsia="Arial" w:hAnsi="Arial"/>
          <w:sz w:val="22"/>
          <w:szCs w:val="22"/>
          <w:color w:val="auto"/>
        </w:rPr>
      </w:pPr>
    </w:p>
    <w:p>
      <w:pPr>
        <w:jc w:val="both"/>
        <w:ind w:firstLine="656"/>
        <w:spacing w:after="0" w:line="252" w:lineRule="auto"/>
        <w:tabs>
          <w:tab w:leader="none" w:pos="1481" w:val="left"/>
        </w:tabs>
        <w:numPr>
          <w:ilvl w:val="0"/>
          <w:numId w:val="166"/>
        </w:numPr>
        <w:rPr>
          <w:rFonts w:ascii="Arial" w:cs="Arial" w:eastAsia="Arial" w:hAnsi="Arial"/>
          <w:sz w:val="21"/>
          <w:szCs w:val="21"/>
          <w:color w:val="auto"/>
        </w:rPr>
      </w:pPr>
      <w:r>
        <w:rPr>
          <w:rFonts w:ascii="Arial" w:cs="Arial" w:eastAsia="Arial" w:hAnsi="Arial"/>
          <w:sz w:val="21"/>
          <w:szCs w:val="21"/>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now exists, or is created after the date of this Indenture, if that default:</w:t>
      </w:r>
    </w:p>
    <w:p>
      <w:pPr>
        <w:spacing w:after="0" w:line="201" w:lineRule="exact"/>
        <w:rPr>
          <w:rFonts w:ascii="Arial" w:cs="Arial" w:eastAsia="Arial" w:hAnsi="Arial"/>
          <w:sz w:val="21"/>
          <w:szCs w:val="21"/>
          <w:color w:val="auto"/>
        </w:rPr>
      </w:pPr>
    </w:p>
    <w:p>
      <w:pPr>
        <w:ind w:left="660" w:firstLine="645"/>
        <w:spacing w:after="0" w:line="328" w:lineRule="auto"/>
        <w:tabs>
          <w:tab w:leader="none" w:pos="2182" w:val="left"/>
        </w:tabs>
        <w:numPr>
          <w:ilvl w:val="1"/>
          <w:numId w:val="166"/>
        </w:numPr>
        <w:rPr>
          <w:rFonts w:ascii="Arial" w:cs="Arial" w:eastAsia="Arial" w:hAnsi="Arial"/>
          <w:sz w:val="19"/>
          <w:szCs w:val="19"/>
          <w:color w:val="auto"/>
        </w:rPr>
      </w:pPr>
      <w:r>
        <w:rPr>
          <w:rFonts w:ascii="Arial" w:cs="Arial" w:eastAsia="Arial" w:hAnsi="Arial"/>
          <w:sz w:val="19"/>
          <w:szCs w:val="19"/>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9"/>
          <w:szCs w:val="19"/>
          <w:i w:val="1"/>
          <w:iCs w:val="1"/>
          <w:u w:val="single" w:color="auto"/>
          <w:color w:val="auto"/>
        </w:rPr>
        <w:t>Payment Default</w:t>
      </w:r>
      <w:r>
        <w:rPr>
          <w:rFonts w:ascii="Arial" w:cs="Arial" w:eastAsia="Arial" w:hAnsi="Arial"/>
          <w:sz w:val="19"/>
          <w:szCs w:val="19"/>
          <w:color w:val="auto"/>
        </w:rPr>
        <w:t>”); or</w:t>
      </w:r>
    </w:p>
    <w:p>
      <w:pPr>
        <w:spacing w:after="0" w:line="132" w:lineRule="exact"/>
        <w:rPr>
          <w:rFonts w:ascii="Arial" w:cs="Arial" w:eastAsia="Arial" w:hAnsi="Arial"/>
          <w:sz w:val="19"/>
          <w:szCs w:val="19"/>
          <w:color w:val="auto"/>
        </w:rPr>
      </w:pPr>
    </w:p>
    <w:p>
      <w:pPr>
        <w:ind w:left="2100" w:hanging="795"/>
        <w:spacing w:after="0"/>
        <w:tabs>
          <w:tab w:leader="none" w:pos="210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results in the acceleration of such Indebtedness prior to its express maturity,</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213" w:lineRule="exact"/>
        <w:rPr>
          <w:sz w:val="20"/>
          <w:szCs w:val="20"/>
          <w:color w:val="auto"/>
        </w:rPr>
      </w:pPr>
    </w:p>
    <w:p>
      <w:pPr>
        <w:jc w:val="both"/>
        <w:ind w:firstLine="656"/>
        <w:spacing w:after="0" w:line="297" w:lineRule="auto"/>
        <w:tabs>
          <w:tab w:leader="none" w:pos="163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161" w:lineRule="exact"/>
        <w:rPr>
          <w:rFonts w:ascii="Arial" w:cs="Arial" w:eastAsia="Arial" w:hAnsi="Arial"/>
          <w:sz w:val="19"/>
          <w:szCs w:val="19"/>
          <w:color w:val="auto"/>
        </w:rPr>
      </w:pPr>
    </w:p>
    <w:p>
      <w:pPr>
        <w:jc w:val="both"/>
        <w:ind w:firstLine="656"/>
        <w:spacing w:after="0" w:line="282" w:lineRule="auto"/>
        <w:tabs>
          <w:tab w:leader="none" w:pos="1372"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174" w:lineRule="exact"/>
        <w:rPr>
          <w:rFonts w:ascii="Arial" w:cs="Arial" w:eastAsia="Arial" w:hAnsi="Arial"/>
          <w:sz w:val="19"/>
          <w:szCs w:val="19"/>
          <w:color w:val="auto"/>
        </w:rPr>
      </w:pPr>
    </w:p>
    <w:p>
      <w:pPr>
        <w:jc w:val="both"/>
        <w:ind w:firstLine="656"/>
        <w:spacing w:after="0" w:line="297" w:lineRule="auto"/>
        <w:tabs>
          <w:tab w:leader="none" w:pos="150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3" w:name="page114"/>
    <w:bookmarkEnd w:id="113"/>
    <w:p>
      <w:pPr>
        <w:jc w:val="both"/>
        <w:spacing w:after="0"/>
        <w:rPr>
          <w:sz w:val="20"/>
          <w:szCs w:val="20"/>
          <w:color w:val="auto"/>
        </w:rPr>
      </w:pPr>
      <w:r>
        <w:rPr>
          <w:rFonts w:ascii="Arial" w:cs="Arial" w:eastAsia="Arial" w:hAnsi="Arial"/>
          <w:sz w:val="22"/>
          <w:szCs w:val="22"/>
          <w:color w:val="auto"/>
        </w:rPr>
        <w:t>any material respect on or as of the date made or deemed made; provided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213" w:lineRule="exact"/>
        <w:rPr>
          <w:sz w:val="20"/>
          <w:szCs w:val="20"/>
          <w:color w:val="auto"/>
        </w:rPr>
      </w:pPr>
    </w:p>
    <w:p>
      <w:pPr>
        <w:jc w:val="both"/>
        <w:ind w:firstLine="656"/>
        <w:spacing w:after="0" w:line="238" w:lineRule="auto"/>
        <w:tabs>
          <w:tab w:leader="none" w:pos="1455" w:val="left"/>
        </w:tabs>
        <w:numPr>
          <w:ilvl w:val="0"/>
          <w:numId w:val="168"/>
        </w:numPr>
        <w:rPr>
          <w:rFonts w:ascii="Arial" w:cs="Arial" w:eastAsia="Arial" w:hAnsi="Arial"/>
          <w:sz w:val="22"/>
          <w:szCs w:val="22"/>
          <w:color w:val="auto"/>
        </w:rPr>
      </w:pPr>
      <w:r>
        <w:rPr>
          <w:rFonts w:ascii="Arial" w:cs="Arial" w:eastAsia="Arial" w:hAnsi="Arial"/>
          <w:sz w:val="22"/>
          <w:szCs w:val="22"/>
          <w:color w:val="auto"/>
        </w:rPr>
        <w:t>except as expressly permitted therein or by this Indenture, any Note Guarantee issued by a Significant Restricted Subsidiary of Wynn Las Vegas shall be held in any judicial proceeding to be unenforceable or invalid or shall cease for any reason to be in full force and effect or any Restricted Subsidiary of Wynn Las Vegas, or any Person acting on behalf of any such Person, shall deny or disaffirm its obligations under its Note Guarantee;</w:t>
      </w:r>
    </w:p>
    <w:p>
      <w:pPr>
        <w:spacing w:after="0" w:line="212" w:lineRule="exact"/>
        <w:rPr>
          <w:rFonts w:ascii="Arial" w:cs="Arial" w:eastAsia="Arial" w:hAnsi="Arial"/>
          <w:sz w:val="22"/>
          <w:szCs w:val="22"/>
          <w:color w:val="auto"/>
        </w:rPr>
      </w:pPr>
    </w:p>
    <w:p>
      <w:pPr>
        <w:jc w:val="both"/>
        <w:ind w:firstLine="656"/>
        <w:spacing w:after="0"/>
        <w:tabs>
          <w:tab w:leader="none" w:pos="1427" w:val="left"/>
        </w:tabs>
        <w:numPr>
          <w:ilvl w:val="0"/>
          <w:numId w:val="168"/>
        </w:numPr>
        <w:rPr>
          <w:rFonts w:ascii="Arial" w:cs="Arial" w:eastAsia="Arial" w:hAnsi="Arial"/>
          <w:sz w:val="22"/>
          <w:szCs w:val="22"/>
          <w:color w:val="auto"/>
        </w:rPr>
      </w:pPr>
      <w:r>
        <w:rPr>
          <w:rFonts w:ascii="Arial" w:cs="Arial" w:eastAsia="Arial" w:hAnsi="Arial"/>
          <w:sz w:val="22"/>
          <w:szCs w:val="22"/>
          <w:color w:val="auto"/>
        </w:rPr>
        <w:t>either Issuer, any Significant Restricted Subsidiary of Wynn Las Vegas or any group of Restricted Subsidiaries of Wynn Las Vegas that, taken together, would constitute a Significant Restricted Subsidiary of Wynn Las Vegas pursuant to or within the meaning of Bankruptcy Law:</w:t>
      </w:r>
    </w:p>
    <w:p>
      <w:pPr>
        <w:spacing w:after="0" w:line="213" w:lineRule="exact"/>
        <w:rPr>
          <w:rFonts w:ascii="Arial" w:cs="Arial" w:eastAsia="Arial" w:hAnsi="Arial"/>
          <w:sz w:val="22"/>
          <w:szCs w:val="22"/>
          <w:color w:val="auto"/>
        </w:rPr>
      </w:pPr>
    </w:p>
    <w:p>
      <w:pPr>
        <w:ind w:left="2100" w:hanging="795"/>
        <w:spacing w:after="0"/>
        <w:tabs>
          <w:tab w:leader="none" w:pos="210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33" w:lineRule="exact"/>
        <w:rPr>
          <w:rFonts w:ascii="Arial" w:cs="Arial" w:eastAsia="Arial" w:hAnsi="Arial"/>
          <w:sz w:val="22"/>
          <w:szCs w:val="22"/>
          <w:color w:val="auto"/>
        </w:rPr>
      </w:pPr>
    </w:p>
    <w:p>
      <w:pPr>
        <w:ind w:left="2100" w:hanging="795"/>
        <w:spacing w:after="0"/>
        <w:tabs>
          <w:tab w:leader="none" w:pos="210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33" w:lineRule="exact"/>
        <w:rPr>
          <w:rFonts w:ascii="Arial" w:cs="Arial" w:eastAsia="Arial" w:hAnsi="Arial"/>
          <w:sz w:val="22"/>
          <w:szCs w:val="22"/>
          <w:color w:val="auto"/>
        </w:rPr>
      </w:pPr>
    </w:p>
    <w:p>
      <w:pPr>
        <w:ind w:left="2100" w:hanging="795"/>
        <w:spacing w:after="0"/>
        <w:tabs>
          <w:tab w:leader="none" w:pos="210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all or substantially all of its property,</w:t>
      </w:r>
    </w:p>
    <w:p>
      <w:pPr>
        <w:spacing w:after="0" w:line="233" w:lineRule="exact"/>
        <w:rPr>
          <w:rFonts w:ascii="Arial" w:cs="Arial" w:eastAsia="Arial" w:hAnsi="Arial"/>
          <w:sz w:val="22"/>
          <w:szCs w:val="22"/>
          <w:color w:val="auto"/>
        </w:rPr>
      </w:pPr>
    </w:p>
    <w:p>
      <w:pPr>
        <w:ind w:left="2100" w:hanging="795"/>
        <w:spacing w:after="0"/>
        <w:tabs>
          <w:tab w:leader="none" w:pos="210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33" w:lineRule="exact"/>
        <w:rPr>
          <w:rFonts w:ascii="Arial" w:cs="Arial" w:eastAsia="Arial" w:hAnsi="Arial"/>
          <w:sz w:val="22"/>
          <w:szCs w:val="22"/>
          <w:color w:val="auto"/>
        </w:rPr>
      </w:pPr>
    </w:p>
    <w:p>
      <w:pPr>
        <w:ind w:left="2100" w:hanging="795"/>
        <w:spacing w:after="0"/>
        <w:tabs>
          <w:tab w:leader="none" w:pos="210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generally is not paying its debts as they become due; or</w:t>
      </w:r>
    </w:p>
    <w:p>
      <w:pPr>
        <w:spacing w:after="0" w:line="233" w:lineRule="exact"/>
        <w:rPr>
          <w:rFonts w:ascii="Arial" w:cs="Arial" w:eastAsia="Arial" w:hAnsi="Arial"/>
          <w:sz w:val="22"/>
          <w:szCs w:val="22"/>
          <w:color w:val="auto"/>
        </w:rPr>
      </w:pPr>
    </w:p>
    <w:p>
      <w:pPr>
        <w:ind w:left="1400" w:hanging="744"/>
        <w:spacing w:after="0"/>
        <w:tabs>
          <w:tab w:leader="none" w:pos="14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233" w:lineRule="exact"/>
        <w:rPr>
          <w:rFonts w:ascii="Arial" w:cs="Arial" w:eastAsia="Arial" w:hAnsi="Arial"/>
          <w:sz w:val="22"/>
          <w:szCs w:val="22"/>
          <w:color w:val="auto"/>
        </w:rPr>
      </w:pPr>
    </w:p>
    <w:p>
      <w:pPr>
        <w:jc w:val="both"/>
        <w:ind w:left="660" w:firstLine="645"/>
        <w:spacing w:after="0"/>
        <w:tabs>
          <w:tab w:leader="none" w:pos="2161" w:val="left"/>
        </w:tabs>
        <w:numPr>
          <w:ilvl w:val="1"/>
          <w:numId w:val="168"/>
        </w:numPr>
        <w:rPr>
          <w:rFonts w:ascii="Arial" w:cs="Arial" w:eastAsia="Arial" w:hAnsi="Arial"/>
          <w:sz w:val="22"/>
          <w:szCs w:val="22"/>
          <w:color w:val="auto"/>
        </w:rPr>
      </w:pPr>
      <w:r>
        <w:rPr>
          <w:rFonts w:ascii="Arial" w:cs="Arial" w:eastAsia="Arial" w:hAnsi="Arial"/>
          <w:sz w:val="22"/>
          <w:szCs w:val="22"/>
          <w:color w:val="auto"/>
        </w:rPr>
        <w:t>is for relief against either Issuer or any Significant Restricted Subsidiary of Wynn Las Vegas or any group of Restricted Subsidiaries of Wynn Las Vegas that, taken together, would constitute a Significant Restricted Subsidiary of Wynn Las Vegas in an involuntary case;</w:t>
      </w:r>
    </w:p>
    <w:p>
      <w:pPr>
        <w:spacing w:after="0" w:line="213" w:lineRule="exact"/>
        <w:rPr>
          <w:rFonts w:ascii="Arial" w:cs="Arial" w:eastAsia="Arial" w:hAnsi="Arial"/>
          <w:sz w:val="22"/>
          <w:szCs w:val="22"/>
          <w:color w:val="auto"/>
        </w:rPr>
      </w:pPr>
    </w:p>
    <w:p>
      <w:pPr>
        <w:jc w:val="both"/>
        <w:ind w:left="660" w:firstLine="645"/>
        <w:spacing w:after="0" w:line="249" w:lineRule="auto"/>
        <w:tabs>
          <w:tab w:leader="none" w:pos="2236" w:val="left"/>
        </w:tabs>
        <w:numPr>
          <w:ilvl w:val="1"/>
          <w:numId w:val="168"/>
        </w:numPr>
        <w:rPr>
          <w:rFonts w:ascii="Arial" w:cs="Arial" w:eastAsia="Arial" w:hAnsi="Arial"/>
          <w:sz w:val="21"/>
          <w:szCs w:val="21"/>
          <w:color w:val="auto"/>
        </w:rPr>
      </w:pPr>
      <w:r>
        <w:rPr>
          <w:rFonts w:ascii="Arial" w:cs="Arial" w:eastAsia="Arial" w:hAnsi="Arial"/>
          <w:sz w:val="21"/>
          <w:szCs w:val="21"/>
          <w:color w:val="auto"/>
        </w:rPr>
        <w:t>appoints a custodian of either Issuer or any Significant Restricted Subsidiary of Wynn Las Vegas or any group of Restricted Subsidiaries of Wynn Las Vegas that, taken together, would constitute a Significant Restricted Subsidiary of Wynn Las Vegas or for all or substantially all of the property of either Issuer or any Significant Restricted Subsidiary of Wynn Las Vegas or any group of Restricted Subsidiaries of Wynn Las Vegas that, taken together, would constitute a Significant Restricted Subsidiary of Wynn Las Vegas; or</w:t>
      </w:r>
    </w:p>
    <w:p>
      <w:pPr>
        <w:spacing w:after="0" w:line="205" w:lineRule="exact"/>
        <w:rPr>
          <w:rFonts w:ascii="Arial" w:cs="Arial" w:eastAsia="Arial" w:hAnsi="Arial"/>
          <w:sz w:val="21"/>
          <w:szCs w:val="21"/>
          <w:color w:val="auto"/>
        </w:rPr>
      </w:pPr>
    </w:p>
    <w:p>
      <w:pPr>
        <w:jc w:val="both"/>
        <w:ind w:left="660" w:firstLine="645"/>
        <w:spacing w:after="0"/>
        <w:tabs>
          <w:tab w:leader="none" w:pos="2204" w:val="left"/>
        </w:tabs>
        <w:numPr>
          <w:ilvl w:val="1"/>
          <w:numId w:val="168"/>
        </w:numPr>
        <w:rPr>
          <w:rFonts w:ascii="Arial" w:cs="Arial" w:eastAsia="Arial" w:hAnsi="Arial"/>
          <w:sz w:val="22"/>
          <w:szCs w:val="22"/>
          <w:color w:val="auto"/>
        </w:rPr>
      </w:pPr>
      <w:r>
        <w:rPr>
          <w:rFonts w:ascii="Arial" w:cs="Arial" w:eastAsia="Arial" w:hAnsi="Arial"/>
          <w:sz w:val="22"/>
          <w:szCs w:val="22"/>
          <w:color w:val="auto"/>
        </w:rPr>
        <w:t>orders the liquidation of either Issuer or any Significant Restricted Subsidiary of Wynn Las Vegas or any group of Restricted Subsidiaries of Wynn Las Vegas that, taken together, would constitute a Significant Restricted Subsidiary of Wynn Las Vegas;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and the order or decree remains unstayed and in effect for 60 consecutive days; or</w:t>
      </w:r>
    </w:p>
    <w:p>
      <w:pPr>
        <w:spacing w:after="0" w:line="233" w:lineRule="exact"/>
        <w:rPr>
          <w:sz w:val="20"/>
          <w:szCs w:val="20"/>
          <w:color w:val="auto"/>
        </w:rPr>
      </w:pPr>
    </w:p>
    <w:p>
      <w:pPr>
        <w:ind w:firstLine="656"/>
        <w:spacing w:after="0" w:line="328" w:lineRule="auto"/>
        <w:tabs>
          <w:tab w:leader="none" w:pos="1439"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132" w:lineRule="exact"/>
        <w:rPr>
          <w:rFonts w:ascii="Arial" w:cs="Arial" w:eastAsia="Arial" w:hAnsi="Arial"/>
          <w:sz w:val="19"/>
          <w:szCs w:val="19"/>
          <w:color w:val="auto"/>
        </w:rPr>
      </w:pPr>
    </w:p>
    <w:p>
      <w:pPr>
        <w:ind w:left="1460" w:hanging="804"/>
        <w:spacing w:after="0"/>
        <w:tabs>
          <w:tab w:leader="none" w:pos="146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if Wynn Las Vegas ever fails to own, directly or indirectly, 100% of the issued and outstanding Equity Interests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Wynn Capital.</w:t>
      </w:r>
    </w:p>
    <w:p>
      <w:pPr>
        <w:spacing w:after="0" w:line="215"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i w:val="1"/>
          <w:iCs w:val="1"/>
          <w:color w:val="auto"/>
        </w:rPr>
        <w:t>Acceleration.</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In the case of an Event of Default specified in clause (k) or (l) of Section 6.01 hereof, with respect to either Issuer, any Significant Restricted Subsidiary or any group of Restricted Subsidiaries that, taken together, would constitute a Significant Restricted Subsidiary,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Upon any such declaration, the Notes shall become due and payable immediately. The Holders of a majority in aggregate principal amount of the then outstanding Notes by written notice to the Trustee may on behalf of all of th e Holders rescind an acceleration and its consequences if the rescission would not conflict with any judgment or decree and if all existing Events of Default (except nonpayment of principal, interest or premium or Liquidated Damages, if any, that has become due solely because of the acceleration) have been cured or waived.</w:t>
      </w:r>
    </w:p>
    <w:p>
      <w:pPr>
        <w:spacing w:after="0" w:line="186"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i w:val="1"/>
          <w:iCs w:val="1"/>
          <w:color w:val="auto"/>
        </w:rPr>
        <w:t>Other Remedies.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If an Event of Default occurs and is continuing, the Trustee may pursue any available remedy to collect the payment of principal, premium and Liquidated Damages, if any, and interest on the Notes or to enforce the performance of any provision of the Notes or this Indenture.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212"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6.04</w:t>
      </w:r>
      <w:r>
        <w:rPr>
          <w:sz w:val="20"/>
          <w:szCs w:val="20"/>
          <w:color w:val="auto"/>
        </w:rPr>
        <w:tab/>
      </w:r>
      <w:r>
        <w:rPr>
          <w:rFonts w:ascii="Arial" w:cs="Arial" w:eastAsia="Arial" w:hAnsi="Arial"/>
          <w:sz w:val="19"/>
          <w:szCs w:val="19"/>
          <w:i w:val="1"/>
          <w:iCs w:val="1"/>
          <w:color w:val="auto"/>
        </w:rPr>
        <w:t>Waiver of Past Defaults.</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provided, however,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 ndenture; but no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color w:val="auto"/>
        </w:rPr>
        <w:t>such waiver shall extend to any subsequent or other Default or impair any right consequent thereon.</w:t>
      </w:r>
    </w:p>
    <w:p>
      <w:pPr>
        <w:spacing w:after="0" w:line="233"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6.05</w:t>
      </w:r>
      <w:r>
        <w:rPr>
          <w:sz w:val="20"/>
          <w:szCs w:val="20"/>
          <w:color w:val="auto"/>
        </w:rPr>
        <w:tab/>
      </w:r>
      <w:r>
        <w:rPr>
          <w:rFonts w:ascii="Arial" w:cs="Arial" w:eastAsia="Arial" w:hAnsi="Arial"/>
          <w:sz w:val="19"/>
          <w:szCs w:val="19"/>
          <w:i w:val="1"/>
          <w:iCs w:val="1"/>
          <w:color w:val="auto"/>
        </w:rPr>
        <w:t>Control by Majority.</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Subject to the Intercreditor Agreement, Holders of a majority in principal amount of the then outstanding Notes may direct the time, method and place of conducting any proceeding for exercising any remedy available to the Trustee or exercising any trust or power conferred on it. However, as long as any Indebtedness is outstanding under the Credit Agreement or any of the 2014 Notes remain outstanding, the Holders will not have any right to direct the Collateral Agent to enforce remedies against the Collateral. In addition, the Trustee may refuse to follow any direction that conflicts with law or this Indenture that the Trustee determines may be unduly prejudicial to the rights of other Holders of Notes or that may involve the Trustee in personal liability.</w:t>
      </w:r>
    </w:p>
    <w:p>
      <w:pPr>
        <w:spacing w:after="0" w:line="178"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i w:val="1"/>
          <w:iCs w:val="1"/>
          <w:color w:val="auto"/>
        </w:rPr>
        <w:t>Limitation on Suits.</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Except to enforce the right to receive payment of principal, interest, or premium, if any, or Liquidated Damages, if any, when due, a Holder of a Note may pursue a remedy with respect to this Indenture or the Notes only if:</w:t>
      </w:r>
    </w:p>
    <w:p>
      <w:pPr>
        <w:spacing w:after="0" w:line="178" w:lineRule="exact"/>
        <w:rPr>
          <w:sz w:val="20"/>
          <w:szCs w:val="20"/>
          <w:color w:val="auto"/>
        </w:rPr>
      </w:pPr>
    </w:p>
    <w:p>
      <w:pPr>
        <w:ind w:left="1320" w:hanging="664"/>
        <w:spacing w:after="0"/>
        <w:tabs>
          <w:tab w:leader="none" w:pos="132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such Holder of a Note gives to the Trustee written notice that an Event of Default is continuing;</w:t>
      </w:r>
    </w:p>
    <w:p>
      <w:pPr>
        <w:spacing w:after="0" w:line="233" w:lineRule="exact"/>
        <w:rPr>
          <w:rFonts w:ascii="Arial" w:cs="Arial" w:eastAsia="Arial" w:hAnsi="Arial"/>
          <w:sz w:val="22"/>
          <w:szCs w:val="22"/>
          <w:color w:val="auto"/>
        </w:rPr>
      </w:pPr>
    </w:p>
    <w:p>
      <w:pPr>
        <w:ind w:firstLine="656"/>
        <w:spacing w:after="0" w:line="251" w:lineRule="auto"/>
        <w:tabs>
          <w:tab w:leader="none" w:pos="1371"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Holders of at least 25% in principal amount of the then outstanding Notes make a written request to the Trustee to pursue the remedy;</w:t>
      </w:r>
    </w:p>
    <w:p>
      <w:pPr>
        <w:spacing w:after="0" w:line="200" w:lineRule="exact"/>
        <w:rPr>
          <w:rFonts w:ascii="Arial" w:cs="Arial" w:eastAsia="Arial" w:hAnsi="Arial"/>
          <w:sz w:val="22"/>
          <w:szCs w:val="22"/>
          <w:color w:val="auto"/>
        </w:rPr>
      </w:pPr>
    </w:p>
    <w:p>
      <w:pPr>
        <w:ind w:firstLine="656"/>
        <w:spacing w:after="0" w:line="251" w:lineRule="auto"/>
        <w:tabs>
          <w:tab w:leader="none" w:pos="1515" w:val="left"/>
        </w:tabs>
        <w:numPr>
          <w:ilvl w:val="0"/>
          <w:numId w:val="170"/>
        </w:numPr>
        <w:rPr>
          <w:rFonts w:ascii="Arial" w:cs="Arial" w:eastAsia="Arial" w:hAnsi="Arial"/>
          <w:sz w:val="22"/>
          <w:szCs w:val="22"/>
          <w:color w:val="auto"/>
        </w:rPr>
      </w:pPr>
      <w:r>
        <w:rPr>
          <w:rFonts w:ascii="Arial" w:cs="Arial" w:eastAsia="Arial" w:hAnsi="Arial"/>
          <w:sz w:val="22"/>
          <w:szCs w:val="22"/>
          <w:color w:val="auto"/>
        </w:rPr>
        <w:t>such Holder or Holders offer and, if requested, provide to the Trustee security or indemnity satisfactory to the Trustee against any loss, liability or expense;</w:t>
      </w:r>
    </w:p>
    <w:p>
      <w:pPr>
        <w:spacing w:after="0" w:line="200" w:lineRule="exact"/>
        <w:rPr>
          <w:rFonts w:ascii="Arial" w:cs="Arial" w:eastAsia="Arial" w:hAnsi="Arial"/>
          <w:sz w:val="22"/>
          <w:szCs w:val="22"/>
          <w:color w:val="auto"/>
        </w:rPr>
      </w:pPr>
    </w:p>
    <w:p>
      <w:pPr>
        <w:ind w:left="1400" w:hanging="744"/>
        <w:spacing w:after="0"/>
        <w:tabs>
          <w:tab w:leader="none" w:pos="140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Trustee does not comply with the request within 60 days after receipt of the request and the offer of security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indemnity; and</w:t>
      </w:r>
    </w:p>
    <w:p>
      <w:pPr>
        <w:spacing w:after="0" w:line="215" w:lineRule="exact"/>
        <w:rPr>
          <w:rFonts w:ascii="Arial" w:cs="Arial" w:eastAsia="Arial" w:hAnsi="Arial"/>
          <w:sz w:val="19"/>
          <w:szCs w:val="19"/>
          <w:color w:val="auto"/>
        </w:rPr>
      </w:pPr>
    </w:p>
    <w:p>
      <w:pPr>
        <w:ind w:firstLine="656"/>
        <w:spacing w:after="0" w:line="251" w:lineRule="auto"/>
        <w:tabs>
          <w:tab w:leader="none" w:pos="1368" w:val="left"/>
        </w:tabs>
        <w:numPr>
          <w:ilvl w:val="0"/>
          <w:numId w:val="170"/>
        </w:numPr>
        <w:rPr>
          <w:rFonts w:ascii="Arial" w:cs="Arial" w:eastAsia="Arial" w:hAnsi="Arial"/>
          <w:sz w:val="22"/>
          <w:szCs w:val="22"/>
          <w:color w:val="auto"/>
        </w:rPr>
      </w:pPr>
      <w:r>
        <w:rPr>
          <w:rFonts w:ascii="Arial" w:cs="Arial" w:eastAsia="Arial" w:hAnsi="Arial"/>
          <w:sz w:val="22"/>
          <w:szCs w:val="22"/>
          <w:color w:val="auto"/>
        </w:rPr>
        <w:t>during such 60-day period, the Holders of a majority in principal amount of the then outstanding Notes do not give the Trustee a direction inconsistent with such request within such 60-day period.</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 Holder of a Note may not use this Indenture to prejudice the rights of another Holder of a Note or to obtain a preference or priority over another Holder of a Note.</w:t>
      </w:r>
    </w:p>
    <w:p>
      <w:pPr>
        <w:spacing w:after="0" w:line="200"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9"/>
          <w:szCs w:val="19"/>
          <w:i w:val="1"/>
          <w:iCs w:val="1"/>
          <w:color w:val="auto"/>
        </w:rPr>
        <w:t>Rights of Holders of Notes to Receive Payment.</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Notwithstanding any other provision of this Indenture, the right of any Holder of a Note to receive payment of principal, premium and Liquidated Damages,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 provided that a Holder shall not have the right to institute any such suit for the enforcement of payment if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16" w:name="page117"/>
    <w:bookmarkEnd w:id="116"/>
    <w:p>
      <w:pPr>
        <w:jc w:val="both"/>
        <w:ind w:right="20"/>
        <w:spacing w:after="0" w:line="274" w:lineRule="auto"/>
        <w:rPr>
          <w:sz w:val="20"/>
          <w:szCs w:val="20"/>
          <w:color w:val="auto"/>
        </w:rPr>
      </w:pPr>
      <w:r>
        <w:rPr>
          <w:rFonts w:ascii="Arial" w:cs="Arial" w:eastAsia="Arial" w:hAnsi="Arial"/>
          <w:sz w:val="21"/>
          <w:szCs w:val="21"/>
          <w:color w:val="auto"/>
        </w:rPr>
        <w:t>and to the extent that the institution or prosecution thereof or the entry of judgment therein would, under applicable law, result in the surrender, impairment, waiver or loss of the Lien of this Indenture upon any property subject to such Lien.</w:t>
      </w:r>
    </w:p>
    <w:p>
      <w:pPr>
        <w:spacing w:after="0" w:line="178"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i w:val="1"/>
          <w:iCs w:val="1"/>
          <w:color w:val="auto"/>
        </w:rPr>
        <w:t>Collection Suit by Trustee.</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If an Event of Default specified in Section 6.01(a) or (b) occurs and is continuing, the Trustee is authorized to recover judgment in its own name and as trustee of an express trust against the Issuers for the whole amount of principal of, premium and Liquidated Damages,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75"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i w:val="1"/>
          <w:iCs w:val="1"/>
          <w:color w:val="auto"/>
        </w:rPr>
        <w:t>Trustee May File Proofs of Claim.</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Issuers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 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200" w:lineRule="exact"/>
        <w:rPr>
          <w:sz w:val="20"/>
          <w:szCs w:val="20"/>
          <w:color w:val="auto"/>
        </w:rPr>
      </w:pPr>
    </w:p>
    <w:p>
      <w:pPr>
        <w:spacing w:after="0" w:line="232"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21"/>
          <w:szCs w:val="21"/>
          <w:i w:val="1"/>
          <w:iCs w:val="1"/>
          <w:color w:val="auto"/>
        </w:rPr>
        <w:t>Priorities.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Trustee collects any money pursuant to this Article 6, it shall pay out the money in the following order:</w:t>
      </w:r>
    </w:p>
    <w:p>
      <w:pPr>
        <w:spacing w:after="0" w:line="233" w:lineRule="exact"/>
        <w:rPr>
          <w:sz w:val="20"/>
          <w:szCs w:val="20"/>
          <w:color w:val="auto"/>
        </w:rPr>
      </w:pPr>
    </w:p>
    <w:p>
      <w:pPr>
        <w:jc w:val="both"/>
        <w:ind w:left="660" w:firstLine="648"/>
        <w:spacing w:after="0"/>
        <w:rPr>
          <w:sz w:val="20"/>
          <w:szCs w:val="20"/>
          <w:color w:val="auto"/>
        </w:rPr>
      </w:pPr>
      <w:r>
        <w:rPr>
          <w:rFonts w:ascii="Arial" w:cs="Arial" w:eastAsia="Arial" w:hAnsi="Arial"/>
          <w:sz w:val="22"/>
          <w:szCs w:val="22"/>
          <w:i w:val="1"/>
          <w:iCs w:val="1"/>
          <w:color w:val="auto"/>
        </w:rPr>
        <w:t>First</w:t>
      </w:r>
      <w:r>
        <w:rPr>
          <w:rFonts w:ascii="Arial" w:cs="Arial" w:eastAsia="Arial" w:hAnsi="Arial"/>
          <w:sz w:val="22"/>
          <w:szCs w:val="22"/>
          <w:color w:val="auto"/>
        </w:rPr>
        <w:t>: to the Trustee, its agents and attorneys for amounts due under Section 7.07 hereof, including payment of all</w:t>
      </w:r>
      <w:r>
        <w:rPr>
          <w:rFonts w:ascii="Arial" w:cs="Arial" w:eastAsia="Arial" w:hAnsi="Arial"/>
          <w:sz w:val="22"/>
          <w:szCs w:val="22"/>
          <w:i w:val="1"/>
          <w:iCs w:val="1"/>
          <w:color w:val="auto"/>
        </w:rPr>
        <w:t xml:space="preserve"> </w:t>
      </w:r>
      <w:r>
        <w:rPr>
          <w:rFonts w:ascii="Arial" w:cs="Arial" w:eastAsia="Arial" w:hAnsi="Arial"/>
          <w:sz w:val="22"/>
          <w:szCs w:val="22"/>
          <w:color w:val="auto"/>
        </w:rPr>
        <w:t>compensation, expense and liabilities incurred, and all advances made, by the Trustee and the costs and expenses of collection;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7" w:name="page118"/>
    <w:bookmarkEnd w:id="117"/>
    <w:p>
      <w:pPr>
        <w:jc w:val="both"/>
        <w:ind w:left="660" w:firstLine="648"/>
        <w:spacing w:after="0" w:line="258" w:lineRule="auto"/>
        <w:rPr>
          <w:sz w:val="20"/>
          <w:szCs w:val="20"/>
          <w:color w:val="auto"/>
        </w:rPr>
      </w:pPr>
      <w:r>
        <w:rPr>
          <w:rFonts w:ascii="Arial" w:cs="Arial" w:eastAsia="Arial" w:hAnsi="Arial"/>
          <w:sz w:val="21"/>
          <w:szCs w:val="21"/>
          <w:i w:val="1"/>
          <w:iCs w:val="1"/>
          <w:color w:val="auto"/>
        </w:rPr>
        <w:t xml:space="preserve">Second: </w:t>
      </w:r>
      <w:r>
        <w:rPr>
          <w:rFonts w:ascii="Arial" w:cs="Arial" w:eastAsia="Arial" w:hAnsi="Arial"/>
          <w:sz w:val="21"/>
          <w:szCs w:val="21"/>
          <w:color w:val="auto"/>
        </w:rPr>
        <w:t>to Holders of Notes for amounts due and unpaid on the Notes for principal, premium and Liquidated</w:t>
      </w:r>
      <w:r>
        <w:rPr>
          <w:rFonts w:ascii="Arial" w:cs="Arial" w:eastAsia="Arial" w:hAnsi="Arial"/>
          <w:sz w:val="21"/>
          <w:szCs w:val="21"/>
          <w:i w:val="1"/>
          <w:iCs w:val="1"/>
          <w:color w:val="auto"/>
        </w:rPr>
        <w:t xml:space="preserve"> </w:t>
      </w:r>
      <w:r>
        <w:rPr>
          <w:rFonts w:ascii="Arial" w:cs="Arial" w:eastAsia="Arial" w:hAnsi="Arial"/>
          <w:sz w:val="21"/>
          <w:szCs w:val="21"/>
          <w:color w:val="auto"/>
        </w:rPr>
        <w:t>Damages, if any, and interest, ratably, without preference or priority of any kind, according to the amounts due and payable on the Notes for principal, premium and Liquidated Damages, if any and interest, respectively; and</w:t>
      </w:r>
    </w:p>
    <w:p>
      <w:pPr>
        <w:spacing w:after="0" w:line="194"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i w:val="1"/>
          <w:iCs w:val="1"/>
          <w:color w:val="auto"/>
        </w:rPr>
        <w:t>Third:</w:t>
      </w:r>
      <w:r>
        <w:rPr>
          <w:sz w:val="20"/>
          <w:szCs w:val="20"/>
          <w:color w:val="auto"/>
        </w:rPr>
        <w:tab/>
      </w:r>
      <w:r>
        <w:rPr>
          <w:rFonts w:ascii="Arial" w:cs="Arial" w:eastAsia="Arial" w:hAnsi="Arial"/>
          <w:sz w:val="22"/>
          <w:szCs w:val="22"/>
          <w:color w:val="auto"/>
        </w:rPr>
        <w:t>to the Issuers or to such party as a court of competent jurisdiction shall direct.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Trustee may fix a record date and payment date for any payment to Holders of Notes pursuant to this Section 6.10.</w:t>
      </w:r>
    </w:p>
    <w:p>
      <w:pPr>
        <w:spacing w:after="0" w:line="268"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i w:val="1"/>
          <w:iCs w:val="1"/>
          <w:color w:val="auto"/>
        </w:rPr>
        <w:t>Undertaking for Costs.</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TRUSTEE</w:t>
      </w:r>
    </w:p>
    <w:p>
      <w:pPr>
        <w:spacing w:after="0" w:line="215"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i w:val="1"/>
          <w:iCs w:val="1"/>
          <w:color w:val="auto"/>
        </w:rPr>
        <w:t>Duties of Trustee.</w:t>
      </w:r>
    </w:p>
    <w:p>
      <w:pPr>
        <w:spacing w:after="0" w:line="233" w:lineRule="exact"/>
        <w:rPr>
          <w:sz w:val="20"/>
          <w:szCs w:val="20"/>
          <w:color w:val="auto"/>
        </w:rPr>
      </w:pPr>
    </w:p>
    <w:p>
      <w:pPr>
        <w:jc w:val="both"/>
        <w:ind w:firstLine="656"/>
        <w:spacing w:after="0"/>
        <w:tabs>
          <w:tab w:leader="none" w:pos="132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213" w:lineRule="exact"/>
        <w:rPr>
          <w:rFonts w:ascii="Arial" w:cs="Arial" w:eastAsia="Arial" w:hAnsi="Arial"/>
          <w:sz w:val="22"/>
          <w:szCs w:val="22"/>
          <w:color w:val="auto"/>
        </w:rPr>
      </w:pPr>
    </w:p>
    <w:p>
      <w:pPr>
        <w:ind w:left="1340" w:hanging="684"/>
        <w:spacing w:after="0"/>
        <w:tabs>
          <w:tab w:leader="none" w:pos="134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33" w:lineRule="exact"/>
        <w:rPr>
          <w:rFonts w:ascii="Arial" w:cs="Arial" w:eastAsia="Arial" w:hAnsi="Arial"/>
          <w:sz w:val="22"/>
          <w:szCs w:val="22"/>
          <w:color w:val="auto"/>
        </w:rPr>
      </w:pPr>
    </w:p>
    <w:p>
      <w:pPr>
        <w:jc w:val="both"/>
        <w:ind w:left="660" w:firstLine="645"/>
        <w:spacing w:after="0" w:line="238" w:lineRule="auto"/>
        <w:tabs>
          <w:tab w:leader="none" w:pos="2291" w:val="left"/>
        </w:tabs>
        <w:numPr>
          <w:ilvl w:val="1"/>
          <w:numId w:val="171"/>
        </w:numPr>
        <w:rPr>
          <w:rFonts w:ascii="Arial" w:cs="Arial" w:eastAsia="Arial" w:hAnsi="Arial"/>
          <w:sz w:val="22"/>
          <w:szCs w:val="22"/>
          <w:color w:val="auto"/>
        </w:rPr>
      </w:pPr>
      <w:r>
        <w:rPr>
          <w:rFonts w:ascii="Arial" w:cs="Arial" w:eastAsia="Arial" w:hAnsi="Arial"/>
          <w:sz w:val="22"/>
          <w:szCs w:val="22"/>
          <w:color w:val="auto"/>
        </w:rPr>
        <w:t>the duties of the Trustee shall be determined solely by the express provisions of this Indenture and the Collateral Documents, and the Trustee need perform only those duties that are specifically set forth in this Indenture and the Collateral Documents, and no others, and no implied covenants or obligations shall be read into this Indenture and the Collateral Documents against the Trustee; and</w:t>
      </w:r>
    </w:p>
    <w:p>
      <w:pPr>
        <w:spacing w:after="0" w:line="212" w:lineRule="exact"/>
        <w:rPr>
          <w:rFonts w:ascii="Arial" w:cs="Arial" w:eastAsia="Arial" w:hAnsi="Arial"/>
          <w:sz w:val="22"/>
          <w:szCs w:val="22"/>
          <w:color w:val="auto"/>
        </w:rPr>
      </w:pPr>
    </w:p>
    <w:p>
      <w:pPr>
        <w:jc w:val="both"/>
        <w:ind w:left="660" w:firstLine="645"/>
        <w:spacing w:after="0" w:line="287" w:lineRule="auto"/>
        <w:tabs>
          <w:tab w:leader="none" w:pos="2200" w:val="left"/>
        </w:tabs>
        <w:numPr>
          <w:ilvl w:val="1"/>
          <w:numId w:val="171"/>
        </w:numPr>
        <w:rPr>
          <w:rFonts w:ascii="Arial" w:cs="Arial" w:eastAsia="Arial" w:hAnsi="Arial"/>
          <w:sz w:val="19"/>
          <w:szCs w:val="19"/>
          <w:color w:val="auto"/>
        </w:rPr>
      </w:pPr>
      <w:r>
        <w:rPr>
          <w:rFonts w:ascii="Arial" w:cs="Arial" w:eastAsia="Arial" w:hAnsi="Arial"/>
          <w:sz w:val="19"/>
          <w:szCs w:val="19"/>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and the Collateral Documents. However, the Trustee shall examine the certificates and opinions to determine whether or not they conform to the requirements of this Indenture and the Collateral Documents.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118" w:name="page119"/>
    <w:bookmarkEnd w:id="118"/>
    <w:p>
      <w:pPr>
        <w:ind w:firstLine="656"/>
        <w:spacing w:after="0" w:line="251" w:lineRule="auto"/>
        <w:tabs>
          <w:tab w:leader="none" w:pos="1386"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Trustee may not be relieved from liabilities for its own negligent action, its own negligent failure to act, or its own willful misconduct, except that:</w:t>
      </w:r>
    </w:p>
    <w:p>
      <w:pPr>
        <w:spacing w:after="0" w:line="200" w:lineRule="exact"/>
        <w:rPr>
          <w:rFonts w:ascii="Arial" w:cs="Arial" w:eastAsia="Arial" w:hAnsi="Arial"/>
          <w:sz w:val="22"/>
          <w:szCs w:val="22"/>
          <w:color w:val="auto"/>
        </w:rPr>
      </w:pPr>
    </w:p>
    <w:p>
      <w:pPr>
        <w:ind w:left="2100" w:hanging="795"/>
        <w:spacing w:after="0"/>
        <w:tabs>
          <w:tab w:leader="none" w:pos="210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this Section 7.01(c) does not limit the effect of paragraph (b) of this Section 7.01;</w:t>
      </w:r>
    </w:p>
    <w:p>
      <w:pPr>
        <w:spacing w:after="0" w:line="233" w:lineRule="exact"/>
        <w:rPr>
          <w:rFonts w:ascii="Arial" w:cs="Arial" w:eastAsia="Arial" w:hAnsi="Arial"/>
          <w:sz w:val="22"/>
          <w:szCs w:val="22"/>
          <w:color w:val="auto"/>
        </w:rPr>
      </w:pPr>
    </w:p>
    <w:p>
      <w:pPr>
        <w:ind w:left="660" w:firstLine="645"/>
        <w:spacing w:after="0" w:line="251" w:lineRule="auto"/>
        <w:tabs>
          <w:tab w:leader="none" w:pos="2101" w:val="left"/>
        </w:tabs>
        <w:numPr>
          <w:ilvl w:val="1"/>
          <w:numId w:val="172"/>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that the Trustee was negligent in ascertaining the pertinent facts; and</w:t>
      </w:r>
    </w:p>
    <w:p>
      <w:pPr>
        <w:spacing w:after="0" w:line="200" w:lineRule="exact"/>
        <w:rPr>
          <w:rFonts w:ascii="Arial" w:cs="Arial" w:eastAsia="Arial" w:hAnsi="Arial"/>
          <w:sz w:val="22"/>
          <w:szCs w:val="22"/>
          <w:color w:val="auto"/>
        </w:rPr>
      </w:pPr>
    </w:p>
    <w:p>
      <w:pPr>
        <w:ind w:left="660" w:right="20" w:firstLine="645"/>
        <w:spacing w:after="0" w:line="251" w:lineRule="auto"/>
        <w:tabs>
          <w:tab w:leader="none" w:pos="2105" w:val="left"/>
        </w:tabs>
        <w:numPr>
          <w:ilvl w:val="1"/>
          <w:numId w:val="172"/>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it takes or omits to take in good faith in accordance with a direction received by it pursuant to Section 6.05 hereof.</w:t>
      </w:r>
    </w:p>
    <w:p>
      <w:pPr>
        <w:spacing w:after="0" w:line="200" w:lineRule="exact"/>
        <w:rPr>
          <w:rFonts w:ascii="Arial" w:cs="Arial" w:eastAsia="Arial" w:hAnsi="Arial"/>
          <w:sz w:val="22"/>
          <w:szCs w:val="22"/>
          <w:color w:val="auto"/>
        </w:rPr>
      </w:pPr>
    </w:p>
    <w:p>
      <w:pPr>
        <w:ind w:right="20" w:firstLine="656"/>
        <w:spacing w:after="0" w:line="251" w:lineRule="auto"/>
        <w:tabs>
          <w:tab w:leader="none" w:pos="1329" w:val="left"/>
        </w:tabs>
        <w:numPr>
          <w:ilvl w:val="0"/>
          <w:numId w:val="172"/>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that in any way relates to the Trustee is subject to paragraphs (a), (b), and (c) of this Section 7.01.</w:t>
      </w:r>
    </w:p>
    <w:p>
      <w:pPr>
        <w:spacing w:after="0" w:line="200" w:lineRule="exact"/>
        <w:rPr>
          <w:rFonts w:ascii="Arial" w:cs="Arial" w:eastAsia="Arial" w:hAnsi="Arial"/>
          <w:sz w:val="22"/>
          <w:szCs w:val="22"/>
          <w:color w:val="auto"/>
        </w:rPr>
      </w:pPr>
    </w:p>
    <w:p>
      <w:pPr>
        <w:jc w:val="both"/>
        <w:ind w:firstLine="656"/>
        <w:spacing w:after="0" w:line="238" w:lineRule="auto"/>
        <w:tabs>
          <w:tab w:leader="none" w:pos="1348" w:val="left"/>
        </w:tabs>
        <w:numPr>
          <w:ilvl w:val="0"/>
          <w:numId w:val="172"/>
        </w:numPr>
        <w:rPr>
          <w:rFonts w:ascii="Arial" w:cs="Arial" w:eastAsia="Arial" w:hAnsi="Arial"/>
          <w:sz w:val="22"/>
          <w:szCs w:val="22"/>
          <w:color w:val="auto"/>
        </w:rPr>
      </w:pPr>
      <w:r>
        <w:rPr>
          <w:rFonts w:ascii="Arial" w:cs="Arial" w:eastAsia="Arial" w:hAnsi="Arial"/>
          <w:sz w:val="22"/>
          <w:szCs w:val="22"/>
          <w:color w:val="auto"/>
        </w:rPr>
        <w:t>No provision of this Indenture or the Collateral Documents shall require the Trustee to expend or risk its own funds or incur any liability. The Trustee shall be under no obligation to exercise any of its rights and powers under this Indenture and the Collateral Documents at the request of any Holders, unless such Holder shall have offered to the Trustee security and indemnity satisfactory to it against any loss, liability or expense.</w:t>
      </w:r>
    </w:p>
    <w:p>
      <w:pPr>
        <w:spacing w:after="0" w:line="212" w:lineRule="exact"/>
        <w:rPr>
          <w:rFonts w:ascii="Arial" w:cs="Arial" w:eastAsia="Arial" w:hAnsi="Arial"/>
          <w:sz w:val="22"/>
          <w:szCs w:val="22"/>
          <w:color w:val="auto"/>
        </w:rPr>
      </w:pPr>
    </w:p>
    <w:p>
      <w:pPr>
        <w:ind w:firstLine="656"/>
        <w:spacing w:after="0" w:line="328" w:lineRule="auto"/>
        <w:tabs>
          <w:tab w:leader="none" w:pos="1415"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Trustee shall not be liable for interest on any money received by it except as the Trustee may agree in writing with the Issuers. Money held in trust by the Trustee need not be segregated from other funds except to the extent required by law.</w:t>
      </w:r>
    </w:p>
    <w:p>
      <w:pPr>
        <w:spacing w:after="0" w:line="132"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i w:val="1"/>
          <w:iCs w:val="1"/>
          <w:color w:val="auto"/>
        </w:rPr>
        <w:t>Rights of Trustee.</w:t>
      </w:r>
    </w:p>
    <w:p>
      <w:pPr>
        <w:spacing w:after="0" w:line="233" w:lineRule="exact"/>
        <w:rPr>
          <w:sz w:val="20"/>
          <w:szCs w:val="20"/>
          <w:color w:val="auto"/>
        </w:rPr>
      </w:pPr>
    </w:p>
    <w:p>
      <w:pPr>
        <w:ind w:firstLine="656"/>
        <w:spacing w:after="0" w:line="274" w:lineRule="auto"/>
        <w:tabs>
          <w:tab w:leader="none" w:pos="1472" w:val="left"/>
        </w:tabs>
        <w:numPr>
          <w:ilvl w:val="0"/>
          <w:numId w:val="173"/>
        </w:numPr>
        <w:rPr>
          <w:rFonts w:ascii="Arial" w:cs="Arial" w:eastAsia="Arial" w:hAnsi="Arial"/>
          <w:sz w:val="21"/>
          <w:szCs w:val="21"/>
          <w:color w:val="auto"/>
        </w:rPr>
      </w:pPr>
      <w:r>
        <w:rPr>
          <w:rFonts w:ascii="Arial" w:cs="Arial" w:eastAsia="Arial" w:hAnsi="Arial"/>
          <w:sz w:val="21"/>
          <w:szCs w:val="21"/>
          <w:color w:val="auto"/>
        </w:rPr>
        <w:t>The Trustee may conclusively rely upon any document believed by it to be genuine and to have been signed or presented by the proper Person. The Trustee need not investigate any fact or matter stated in the document.</w:t>
      </w:r>
    </w:p>
    <w:p>
      <w:pPr>
        <w:spacing w:after="0" w:line="177" w:lineRule="exact"/>
        <w:rPr>
          <w:rFonts w:ascii="Arial" w:cs="Arial" w:eastAsia="Arial" w:hAnsi="Arial"/>
          <w:sz w:val="21"/>
          <w:szCs w:val="21"/>
          <w:color w:val="auto"/>
        </w:rPr>
      </w:pPr>
    </w:p>
    <w:p>
      <w:pPr>
        <w:jc w:val="both"/>
        <w:ind w:firstLine="656"/>
        <w:spacing w:after="0" w:line="236" w:lineRule="auto"/>
        <w:tabs>
          <w:tab w:leader="none" w:pos="139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and the written advice of such counsel or any Opinion of Counsel shall be full and complete authorization and protection from liability in respect of any action taken, suffered or omitted by it hereunder in good faith and in reliance thereon.</w:t>
      </w:r>
    </w:p>
    <w:p>
      <w:pPr>
        <w:spacing w:after="0" w:line="214" w:lineRule="exact"/>
        <w:rPr>
          <w:rFonts w:ascii="Arial" w:cs="Arial" w:eastAsia="Arial" w:hAnsi="Arial"/>
          <w:sz w:val="22"/>
          <w:szCs w:val="22"/>
          <w:color w:val="auto"/>
        </w:rPr>
      </w:pPr>
    </w:p>
    <w:p>
      <w:pPr>
        <w:ind w:firstLine="656"/>
        <w:spacing w:after="0" w:line="251" w:lineRule="auto"/>
        <w:tabs>
          <w:tab w:leader="none" w:pos="137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Trustee may act through its attorneys and agents and shall not be responsible for the misconduct or negligence of any agent appointed with due care.</w:t>
      </w:r>
    </w:p>
    <w:p>
      <w:pPr>
        <w:spacing w:after="0" w:line="200" w:lineRule="exact"/>
        <w:rPr>
          <w:rFonts w:ascii="Arial" w:cs="Arial" w:eastAsia="Arial" w:hAnsi="Arial"/>
          <w:sz w:val="22"/>
          <w:szCs w:val="22"/>
          <w:color w:val="auto"/>
        </w:rPr>
      </w:pPr>
    </w:p>
    <w:p>
      <w:pPr>
        <w:ind w:firstLine="656"/>
        <w:spacing w:after="0" w:line="251" w:lineRule="auto"/>
        <w:tabs>
          <w:tab w:leader="none" w:pos="1384"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that it believes to be authorized or within the rights or powers conferred upon it by this Indenture.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19" w:name="page120"/>
    <w:bookmarkEnd w:id="119"/>
    <w:p>
      <w:pPr>
        <w:ind w:firstLine="656"/>
        <w:spacing w:after="0" w:line="251" w:lineRule="auto"/>
        <w:tabs>
          <w:tab w:leader="none" w:pos="132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Unless otherwise specifically provided in this Indenture or the Collateral Documents, any demand, request, direction or notice from the Issuers shall be sufficient if signed by an Officer of either Issuer.</w:t>
      </w:r>
    </w:p>
    <w:p>
      <w:pPr>
        <w:spacing w:after="0" w:line="200" w:lineRule="exact"/>
        <w:rPr>
          <w:rFonts w:ascii="Arial" w:cs="Arial" w:eastAsia="Arial" w:hAnsi="Arial"/>
          <w:sz w:val="22"/>
          <w:szCs w:val="22"/>
          <w:color w:val="auto"/>
        </w:rPr>
      </w:pPr>
    </w:p>
    <w:p>
      <w:pPr>
        <w:jc w:val="both"/>
        <w:ind w:firstLine="656"/>
        <w:spacing w:after="0" w:line="270" w:lineRule="auto"/>
        <w:tabs>
          <w:tab w:leader="none" w:pos="1386" w:val="left"/>
        </w:tabs>
        <w:numPr>
          <w:ilvl w:val="1"/>
          <w:numId w:val="174"/>
        </w:numPr>
        <w:rPr>
          <w:rFonts w:ascii="Arial" w:cs="Arial" w:eastAsia="Arial" w:hAnsi="Arial"/>
          <w:sz w:val="19"/>
          <w:szCs w:val="19"/>
          <w:color w:val="auto"/>
        </w:rPr>
      </w:pPr>
      <w:r>
        <w:rPr>
          <w:rFonts w:ascii="Arial" w:cs="Arial" w:eastAsia="Arial" w:hAnsi="Arial"/>
          <w:sz w:val="19"/>
          <w:szCs w:val="19"/>
          <w:color w:val="auto"/>
        </w:rPr>
        <w:t>The Trustee shall be under no obligation to exercise any of the rights or powers vested in it by this Indenture or the Collateral Documents at the request or direction of any of the Holders unless such Holders have offered to the Trustee security or indemnity reasonably satisfactory to the Trustee against the costs, expenses and liabilities that might be incurred by it in compliance with such request or direction. Nor shall the Trustee be bound to investigate (i) the performance of any of the covenants, agreements or other terms or conditions set forth herein or in any Security Agreement, (ii) the occurrence of any default, or the validity, enforceability, effectiveness or genuineness of any Security Agreement or other agreement, instrument or document,</w:t>
      </w:r>
    </w:p>
    <w:p>
      <w:pPr>
        <w:spacing w:after="0" w:line="1" w:lineRule="exact"/>
        <w:rPr>
          <w:rFonts w:ascii="Arial" w:cs="Arial" w:eastAsia="Arial" w:hAnsi="Arial"/>
          <w:sz w:val="19"/>
          <w:szCs w:val="19"/>
          <w:color w:val="auto"/>
        </w:rPr>
      </w:pPr>
    </w:p>
    <w:p>
      <w:pPr>
        <w:ind w:firstLine="8"/>
        <w:spacing w:after="0" w:line="237" w:lineRule="auto"/>
        <w:tabs>
          <w:tab w:leader="none" w:pos="402"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 he creation, perfection or priority of any lien, (iv) the value or sufficiency of any Collateral or (v) the satisfaction of any condition set forth in any Security Agreement.</w:t>
      </w:r>
    </w:p>
    <w:p>
      <w:pPr>
        <w:spacing w:after="0" w:line="211" w:lineRule="exact"/>
        <w:rPr>
          <w:rFonts w:ascii="Arial" w:cs="Arial" w:eastAsia="Arial" w:hAnsi="Arial"/>
          <w:sz w:val="22"/>
          <w:szCs w:val="22"/>
          <w:color w:val="auto"/>
        </w:rPr>
      </w:pPr>
    </w:p>
    <w:p>
      <w:pPr>
        <w:ind w:firstLine="656"/>
        <w:spacing w:after="0" w:line="251" w:lineRule="auto"/>
        <w:tabs>
          <w:tab w:leader="none" w:pos="1404" w:val="left"/>
        </w:tabs>
        <w:numPr>
          <w:ilvl w:val="1"/>
          <w:numId w:val="175"/>
        </w:numPr>
        <w:rPr>
          <w:rFonts w:ascii="Arial" w:cs="Arial" w:eastAsia="Arial" w:hAnsi="Arial"/>
          <w:sz w:val="22"/>
          <w:szCs w:val="22"/>
          <w:color w:val="auto"/>
        </w:rPr>
      </w:pPr>
      <w:r>
        <w:rPr>
          <w:rFonts w:ascii="Arial" w:cs="Arial" w:eastAsia="Arial" w:hAnsi="Arial"/>
          <w:sz w:val="22"/>
          <w:szCs w:val="22"/>
          <w:color w:val="auto"/>
        </w:rPr>
        <w:t>Except as expressly provided herein, the Trustee shall have no duty to inquire as to the performance of the Issuers with respect to the covenants contained in Articles 4 and 5 hereof.</w:t>
      </w:r>
    </w:p>
    <w:p>
      <w:pPr>
        <w:spacing w:after="0" w:line="200" w:lineRule="exact"/>
        <w:rPr>
          <w:rFonts w:ascii="Arial" w:cs="Arial" w:eastAsia="Arial" w:hAnsi="Arial"/>
          <w:sz w:val="22"/>
          <w:szCs w:val="22"/>
          <w:color w:val="auto"/>
        </w:rPr>
      </w:pPr>
    </w:p>
    <w:p>
      <w:pPr>
        <w:jc w:val="both"/>
        <w:ind w:firstLine="656"/>
        <w:spacing w:after="0"/>
        <w:tabs>
          <w:tab w:leader="none" w:pos="151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The Trustee shall not be deemed to have knowledge of an Event of Default except (i) any Default or Event of Default occurring pursuant to Sections 6.01(a) and (b) hereof or (ii) any Default or Event of Default of which the Trustee shall have received written notification or obtained actual knowledge thereof.</w:t>
      </w:r>
    </w:p>
    <w:p>
      <w:pPr>
        <w:spacing w:after="0" w:line="213" w:lineRule="exact"/>
        <w:rPr>
          <w:rFonts w:ascii="Arial" w:cs="Arial" w:eastAsia="Arial" w:hAnsi="Arial"/>
          <w:sz w:val="22"/>
          <w:szCs w:val="22"/>
          <w:color w:val="auto"/>
        </w:rPr>
      </w:pPr>
    </w:p>
    <w:p>
      <w:pPr>
        <w:jc w:val="both"/>
        <w:ind w:firstLine="656"/>
        <w:spacing w:after="0" w:line="252" w:lineRule="auto"/>
        <w:tabs>
          <w:tab w:leader="none" w:pos="1480" w:val="left"/>
        </w:tabs>
        <w:numPr>
          <w:ilvl w:val="1"/>
          <w:numId w:val="175"/>
        </w:numPr>
        <w:rPr>
          <w:rFonts w:ascii="Arial" w:cs="Arial" w:eastAsia="Arial" w:hAnsi="Arial"/>
          <w:sz w:val="21"/>
          <w:szCs w:val="21"/>
          <w:color w:val="auto"/>
        </w:rPr>
      </w:pPr>
      <w:r>
        <w:rPr>
          <w:rFonts w:ascii="Arial" w:cs="Arial" w:eastAsia="Arial" w:hAnsi="Arial"/>
          <w:sz w:val="21"/>
          <w:szCs w:val="21"/>
          <w:color w:val="auto"/>
        </w:rPr>
        <w:t>The Trustee may request that the Issuers deliver Officers’ Certificates setting forth the names of individuals and their 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spacing w:after="0" w:line="201" w:lineRule="exact"/>
        <w:rPr>
          <w:rFonts w:ascii="Arial" w:cs="Arial" w:eastAsia="Arial" w:hAnsi="Arial"/>
          <w:sz w:val="21"/>
          <w:szCs w:val="21"/>
          <w:color w:val="auto"/>
        </w:rPr>
      </w:pPr>
    </w:p>
    <w:p>
      <w:pPr>
        <w:ind w:left="1340" w:hanging="684"/>
        <w:spacing w:after="0"/>
        <w:tabs>
          <w:tab w:leader="none" w:pos="134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Any permissive right granted to the Trustee shall not be construed as a mandatory duty.</w:t>
      </w:r>
    </w:p>
    <w:p>
      <w:pPr>
        <w:spacing w:after="0" w:line="233" w:lineRule="exact"/>
        <w:rPr>
          <w:rFonts w:ascii="Arial" w:cs="Arial" w:eastAsia="Arial" w:hAnsi="Arial"/>
          <w:sz w:val="22"/>
          <w:szCs w:val="22"/>
          <w:color w:val="auto"/>
        </w:rPr>
      </w:pPr>
    </w:p>
    <w:p>
      <w:pPr>
        <w:ind w:left="1400" w:hanging="744"/>
        <w:spacing w:after="0"/>
        <w:tabs>
          <w:tab w:leader="none" w:pos="1400" w:val="left"/>
        </w:tabs>
        <w:numPr>
          <w:ilvl w:val="1"/>
          <w:numId w:val="175"/>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 duties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215" w:lineRule="exact"/>
        <w:rPr>
          <w:rFonts w:ascii="Arial" w:cs="Arial" w:eastAsia="Arial" w:hAnsi="Arial"/>
          <w:sz w:val="19"/>
          <w:szCs w:val="19"/>
          <w:color w:val="auto"/>
        </w:rPr>
      </w:pPr>
    </w:p>
    <w:p>
      <w:pPr>
        <w:jc w:val="both"/>
        <w:ind w:firstLine="656"/>
        <w:spacing w:after="0" w:line="248" w:lineRule="auto"/>
        <w:tabs>
          <w:tab w:leader="none" w:pos="1439" w:val="left"/>
        </w:tabs>
        <w:numPr>
          <w:ilvl w:val="1"/>
          <w:numId w:val="175"/>
        </w:numPr>
        <w:rPr>
          <w:rFonts w:ascii="Arial" w:cs="Arial" w:eastAsia="Arial" w:hAnsi="Arial"/>
          <w:sz w:val="21"/>
          <w:szCs w:val="21"/>
          <w:color w:val="auto"/>
        </w:rPr>
      </w:pPr>
      <w:r>
        <w:rPr>
          <w:rFonts w:ascii="Arial" w:cs="Arial" w:eastAsia="Arial" w:hAnsi="Arial"/>
          <w:sz w:val="21"/>
          <w:szCs w:val="21"/>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0" w:name="page121"/>
    <w:bookmarkEnd w:id="120"/>
    <w:p>
      <w:pPr>
        <w:spacing w:after="0"/>
        <w:tabs>
          <w:tab w:leader="none" w:pos="194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i w:val="1"/>
          <w:iCs w:val="1"/>
          <w:color w:val="auto"/>
        </w:rPr>
        <w:t>Individual Rights of Trustee.</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Trustee, in its individual or any other capacity, may become the owner or 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(if this Indenture has been qualified under the TIA) or resign. Any Agent may do the same with like rights and duties. The Trustee is also subject to Sections 7.10 and 7.11 hereof.</w:t>
      </w:r>
    </w:p>
    <w:p>
      <w:pPr>
        <w:spacing w:after="0" w:line="215"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7.04</w:t>
      </w:r>
      <w:r>
        <w:rPr>
          <w:sz w:val="20"/>
          <w:szCs w:val="20"/>
          <w:color w:val="auto"/>
        </w:rPr>
        <w:tab/>
      </w:r>
      <w:r>
        <w:rPr>
          <w:rFonts w:ascii="Arial" w:cs="Arial" w:eastAsia="Arial" w:hAnsi="Arial"/>
          <w:sz w:val="19"/>
          <w:szCs w:val="19"/>
          <w:i w:val="1"/>
          <w:iCs w:val="1"/>
          <w:color w:val="auto"/>
        </w:rPr>
        <w:t>Trustee’s Disclaimer.</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Trustee shall not be responsible for and makes no representation as to the validity or adequacy of this Indenture or the Notes, it shall not be accountable for the Issuers’ use of the proceeds from the Notes or any money paid to the Issuers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215"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7.05</w:t>
      </w:r>
      <w:r>
        <w:rPr>
          <w:sz w:val="20"/>
          <w:szCs w:val="20"/>
          <w:color w:val="auto"/>
        </w:rPr>
        <w:tab/>
      </w:r>
      <w:r>
        <w:rPr>
          <w:rFonts w:ascii="Arial" w:cs="Arial" w:eastAsia="Arial" w:hAnsi="Arial"/>
          <w:sz w:val="19"/>
          <w:szCs w:val="19"/>
          <w:i w:val="1"/>
          <w:iCs w:val="1"/>
          <w:color w:val="auto"/>
        </w:rPr>
        <w:t>Notice of Defaults.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If a Default or Event of Default occurs and is continuing and if it is known to the Trustee, the Trustee shall mail a notice of the Default or Event of Default to Holders within 90 days after it occurs. Except in the case of a Default or Event of Default in payment of principal of, premium or Liquidated Damages, if any, or interest on, any Note, the Trustee may withhold the notice if and so long as a committee of its Responsible Officers in good faith determines that withholding the notice is in the interests of the Holders of the Notes.</w:t>
      </w:r>
    </w:p>
    <w:p>
      <w:pPr>
        <w:spacing w:after="0" w:line="215"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7.06</w:t>
      </w:r>
      <w:r>
        <w:rPr>
          <w:sz w:val="20"/>
          <w:szCs w:val="20"/>
          <w:color w:val="auto"/>
        </w:rPr>
        <w:tab/>
      </w:r>
      <w:r>
        <w:rPr>
          <w:rFonts w:ascii="Arial" w:cs="Arial" w:eastAsia="Arial" w:hAnsi="Arial"/>
          <w:sz w:val="19"/>
          <w:szCs w:val="19"/>
          <w:i w:val="1"/>
          <w:iCs w:val="1"/>
          <w:color w:val="auto"/>
        </w:rPr>
        <w:t>Reports by Trustee to Holders of the Notes.</w:t>
      </w:r>
    </w:p>
    <w:p>
      <w:pPr>
        <w:spacing w:after="0" w:line="233" w:lineRule="exact"/>
        <w:rPr>
          <w:sz w:val="20"/>
          <w:szCs w:val="20"/>
          <w:color w:val="auto"/>
        </w:rPr>
      </w:pPr>
    </w:p>
    <w:p>
      <w:pPr>
        <w:jc w:val="both"/>
        <w:ind w:firstLine="656"/>
        <w:spacing w:after="0" w:line="236" w:lineRule="auto"/>
        <w:tabs>
          <w:tab w:leader="none" w:pos="135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Within 60 days after each April 15 beginning with the April 15 following the date of this Indenture, and for so long as Notes remain outstanding, the Trustee shall mail to the Holders of the Notes a brief report dated as of such reporting date that complies with TIA § 313(a) (but if no event described in TIA § 313(a) has occurred within the twelve months preceding the reporting date, no report need be transmitted). The Trustee also shall comply with TIA § 313(b)(2). The Trustee shall also transmit by mail all reports as required by TIA § 313(c).</w:t>
      </w:r>
    </w:p>
    <w:p>
      <w:pPr>
        <w:spacing w:after="0" w:line="214" w:lineRule="exact"/>
        <w:rPr>
          <w:rFonts w:ascii="Arial" w:cs="Arial" w:eastAsia="Arial" w:hAnsi="Arial"/>
          <w:sz w:val="22"/>
          <w:szCs w:val="22"/>
          <w:color w:val="auto"/>
        </w:rPr>
      </w:pPr>
    </w:p>
    <w:p>
      <w:pPr>
        <w:jc w:val="both"/>
        <w:ind w:firstLine="656"/>
        <w:spacing w:after="0" w:line="258" w:lineRule="auto"/>
        <w:tabs>
          <w:tab w:leader="none" w:pos="1351" w:val="left"/>
        </w:tabs>
        <w:numPr>
          <w:ilvl w:val="0"/>
          <w:numId w:val="176"/>
        </w:numPr>
        <w:rPr>
          <w:rFonts w:ascii="Arial" w:cs="Arial" w:eastAsia="Arial" w:hAnsi="Arial"/>
          <w:sz w:val="21"/>
          <w:szCs w:val="21"/>
          <w:color w:val="auto"/>
        </w:rPr>
      </w:pPr>
      <w:r>
        <w:rPr>
          <w:rFonts w:ascii="Arial" w:cs="Arial" w:eastAsia="Arial" w:hAnsi="Arial"/>
          <w:sz w:val="21"/>
          <w:szCs w:val="21"/>
          <w:color w:val="auto"/>
        </w:rPr>
        <w:t>A copy of each report at the time of its mailing to the Holders of Notes shall be mailed by the Trustee to the Issuers and filed by the Trustee with the SEC and each stock exchange on which the Notes are listed in accordance with TIA § 313(d). The Issuers shall promptly notify the Trustee when the Notes are listed on any stock exchange.</w:t>
      </w:r>
    </w:p>
    <w:p>
      <w:pPr>
        <w:spacing w:after="0" w:line="19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7.07</w:t>
      </w:r>
      <w:r>
        <w:rPr>
          <w:sz w:val="20"/>
          <w:szCs w:val="20"/>
          <w:color w:val="auto"/>
        </w:rPr>
        <w:tab/>
      </w:r>
      <w:r>
        <w:rPr>
          <w:rFonts w:ascii="Arial" w:cs="Arial" w:eastAsia="Arial" w:hAnsi="Arial"/>
          <w:sz w:val="19"/>
          <w:szCs w:val="19"/>
          <w:i w:val="1"/>
          <w:iCs w:val="1"/>
          <w:color w:val="auto"/>
        </w:rPr>
        <w:t>Compensation and Indemnity.</w:t>
      </w:r>
    </w:p>
    <w:p>
      <w:pPr>
        <w:spacing w:after="0" w:line="233" w:lineRule="exact"/>
        <w:rPr>
          <w:sz w:val="20"/>
          <w:szCs w:val="20"/>
          <w:color w:val="auto"/>
        </w:rPr>
      </w:pPr>
    </w:p>
    <w:p>
      <w:pPr>
        <w:jc w:val="both"/>
        <w:ind w:firstLine="656"/>
        <w:spacing w:after="0"/>
        <w:tabs>
          <w:tab w:leader="none" w:pos="1375"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Issuers shall pay to the Trustee from time to time reasonable compensation for its acceptance of this Indenture and services hereunder. The Trustee’s compensation shall not be limited by any law on compensation of a trustee of an express trust. The Issuers shall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1" w:name="page122"/>
    <w:bookmarkEnd w:id="121"/>
    <w:p>
      <w:pPr>
        <w:jc w:val="both"/>
        <w:spacing w:after="0"/>
        <w:rPr>
          <w:sz w:val="20"/>
          <w:szCs w:val="20"/>
          <w:color w:val="auto"/>
        </w:rPr>
      </w:pPr>
      <w:r>
        <w:rPr>
          <w:rFonts w:ascii="Arial" w:cs="Arial" w:eastAsia="Arial" w:hAnsi="Arial"/>
          <w:sz w:val="22"/>
          <w:szCs w:val="22"/>
          <w:color w:val="auto"/>
        </w:rPr>
        <w:t>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213" w:lineRule="exact"/>
        <w:rPr>
          <w:sz w:val="20"/>
          <w:szCs w:val="20"/>
          <w:color w:val="auto"/>
        </w:rPr>
      </w:pPr>
    </w:p>
    <w:p>
      <w:pPr>
        <w:jc w:val="both"/>
        <w:ind w:firstLine="656"/>
        <w:spacing w:after="0" w:line="273" w:lineRule="auto"/>
        <w:tabs>
          <w:tab w:leader="none" w:pos="1581"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Issuers and the Guarantors shall indemnify the Trustee against any and all losses, liabilities or expenses incurred by it arising out of or in connection with the acceptance or administration of its duties under this Indenture and the Collateral Documents, including the costs and expenses of enforcing this Indenture against the Issuers and the Guarantors (including this Section 7.07) and defending itself against any claim (whether asserted by the Issuers, the Guarantors or any Holder or any other Person) or liability in connection with the exercise or performance of any of its powers or duties hereunder or thereunder, respectively, except to the extent any such loss, liability or expense may be attributable to its negligence or bad faith. The Trustee shall notify the Issuers promptly of any claim for which it may seek indemnity. Failure by the Trustee to so notify the Issuers shall not relieve the Issuers or any of the Guarantors of their obligations hereunder. The Issuers or such Guarantor shall defend the claim and the Trustee shall cooperate in the defense. The Trustee may have separate counsel and the Issuers shall pay the reasonable fees and expenses of such counsel. Neither the Issuers nor any Guarantor need pay for any settlement made without its consent, which consent shall not be unreasonably withheld.</w:t>
      </w:r>
    </w:p>
    <w:p>
      <w:pPr>
        <w:spacing w:after="0" w:line="183" w:lineRule="exact"/>
        <w:rPr>
          <w:rFonts w:ascii="Arial" w:cs="Arial" w:eastAsia="Arial" w:hAnsi="Arial"/>
          <w:sz w:val="19"/>
          <w:szCs w:val="19"/>
          <w:color w:val="auto"/>
        </w:rPr>
      </w:pPr>
    </w:p>
    <w:p>
      <w:pPr>
        <w:ind w:firstLine="656"/>
        <w:spacing w:after="0" w:line="251" w:lineRule="auto"/>
        <w:tabs>
          <w:tab w:leader="none" w:pos="1329"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obligations of the Issuers and the Guarantors under this Section 7.07 shall survive the satisfaction and discharge of this Indenture.</w:t>
      </w:r>
    </w:p>
    <w:p>
      <w:pPr>
        <w:spacing w:after="0" w:line="200" w:lineRule="exact"/>
        <w:rPr>
          <w:rFonts w:ascii="Arial" w:cs="Arial" w:eastAsia="Arial" w:hAnsi="Arial"/>
          <w:sz w:val="22"/>
          <w:szCs w:val="22"/>
          <w:color w:val="auto"/>
        </w:rPr>
      </w:pPr>
    </w:p>
    <w:p>
      <w:pPr>
        <w:jc w:val="both"/>
        <w:ind w:firstLine="656"/>
        <w:spacing w:after="0"/>
        <w:tabs>
          <w:tab w:leader="none" w:pos="1424"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To secure the Issuers’ and the Guarantors’ payment obligations in this Section 7.07,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213" w:lineRule="exact"/>
        <w:rPr>
          <w:rFonts w:ascii="Arial" w:cs="Arial" w:eastAsia="Arial" w:hAnsi="Arial"/>
          <w:sz w:val="22"/>
          <w:szCs w:val="22"/>
          <w:color w:val="auto"/>
        </w:rPr>
      </w:pPr>
    </w:p>
    <w:p>
      <w:pPr>
        <w:jc w:val="both"/>
        <w:ind w:firstLine="656"/>
        <w:spacing w:after="0"/>
        <w:tabs>
          <w:tab w:leader="none" w:pos="142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When the Trustee incurs expenses or renders services after an Event of Default specified in Section 6.01(k) or (l) hereof occurs, the expenses and the compensation for the services (including the fees and expenses of its agents and counsel) are intended to constitute expenses of administration under any Bankruptcy Law.</w:t>
      </w:r>
    </w:p>
    <w:p>
      <w:pPr>
        <w:spacing w:after="0" w:line="213" w:lineRule="exact"/>
        <w:rPr>
          <w:rFonts w:ascii="Arial" w:cs="Arial" w:eastAsia="Arial" w:hAnsi="Arial"/>
          <w:sz w:val="22"/>
          <w:szCs w:val="22"/>
          <w:color w:val="auto"/>
        </w:rPr>
      </w:pPr>
    </w:p>
    <w:p>
      <w:pPr>
        <w:ind w:left="1360" w:hanging="704"/>
        <w:spacing w:after="0"/>
        <w:tabs>
          <w:tab w:leader="none" w:pos="136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Trustee shall comply with the provisions of TIA § 313(b)(2) to the extent applicable.</w:t>
      </w:r>
    </w:p>
    <w:p>
      <w:pPr>
        <w:spacing w:after="0" w:line="233"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7.08</w:t>
      </w:r>
      <w:r>
        <w:rPr>
          <w:sz w:val="20"/>
          <w:szCs w:val="20"/>
          <w:color w:val="auto"/>
        </w:rPr>
        <w:tab/>
      </w:r>
      <w:r>
        <w:rPr>
          <w:rFonts w:ascii="Arial" w:cs="Arial" w:eastAsia="Arial" w:hAnsi="Arial"/>
          <w:sz w:val="18"/>
          <w:szCs w:val="18"/>
          <w:i w:val="1"/>
          <w:iCs w:val="1"/>
          <w:color w:val="auto"/>
        </w:rPr>
        <w:t>Replacement of Trustee.</w:t>
      </w:r>
    </w:p>
    <w:p>
      <w:pPr>
        <w:spacing w:after="0" w:line="233" w:lineRule="exact"/>
        <w:rPr>
          <w:sz w:val="20"/>
          <w:szCs w:val="20"/>
          <w:color w:val="auto"/>
        </w:rPr>
      </w:pPr>
    </w:p>
    <w:p>
      <w:pPr>
        <w:ind w:firstLine="656"/>
        <w:spacing w:after="0" w:line="251" w:lineRule="auto"/>
        <w:tabs>
          <w:tab w:leader="none" w:pos="1408" w:val="left"/>
        </w:tabs>
        <w:numPr>
          <w:ilvl w:val="0"/>
          <w:numId w:val="179"/>
        </w:numPr>
        <w:rPr>
          <w:rFonts w:ascii="Arial" w:cs="Arial" w:eastAsia="Arial" w:hAnsi="Arial"/>
          <w:sz w:val="22"/>
          <w:szCs w:val="22"/>
          <w:color w:val="auto"/>
        </w:rPr>
      </w:pPr>
      <w:r>
        <w:rPr>
          <w:rFonts w:ascii="Arial" w:cs="Arial" w:eastAsia="Arial" w:hAnsi="Arial"/>
          <w:sz w:val="22"/>
          <w:szCs w:val="22"/>
          <w:color w:val="auto"/>
        </w:rPr>
        <w:t>A resignation or removal of the Trustee and appointment of a successor Trustee shall become effective only upon the successor Trustee’s acceptance of appointment as provided in this Section 7.08.</w:t>
      </w:r>
    </w:p>
    <w:p>
      <w:pPr>
        <w:spacing w:after="0" w:line="200" w:lineRule="exact"/>
        <w:rPr>
          <w:rFonts w:ascii="Arial" w:cs="Arial" w:eastAsia="Arial" w:hAnsi="Arial"/>
          <w:sz w:val="22"/>
          <w:szCs w:val="22"/>
          <w:color w:val="auto"/>
        </w:rPr>
      </w:pPr>
    </w:p>
    <w:p>
      <w:pPr>
        <w:jc w:val="both"/>
        <w:ind w:firstLine="656"/>
        <w:spacing w:after="0"/>
        <w:tabs>
          <w:tab w:leader="none" w:pos="141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Trustee may resign in writing at any time and be discharged from the trust hereby created by so notifying the Issuers in writing. The Holders of a majority in principal amount of the then outstanding Notes may remove the Trustee by so notifying the Trustee and the Issuers in writing. The Issuers may remove the Trustee if:</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2" w:name="page123"/>
    <w:bookmarkEnd w:id="122"/>
    <w:p>
      <w:pPr>
        <w:ind w:left="2100" w:hanging="795"/>
        <w:spacing w:after="0"/>
        <w:tabs>
          <w:tab w:leader="none" w:pos="210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the Trustee fails to comply with Section 7.10 hereof;</w:t>
      </w:r>
    </w:p>
    <w:p>
      <w:pPr>
        <w:spacing w:after="0" w:line="233" w:lineRule="exact"/>
        <w:rPr>
          <w:rFonts w:ascii="Arial" w:cs="Arial" w:eastAsia="Arial" w:hAnsi="Arial"/>
          <w:sz w:val="22"/>
          <w:szCs w:val="22"/>
          <w:color w:val="auto"/>
        </w:rPr>
      </w:pPr>
    </w:p>
    <w:p>
      <w:pPr>
        <w:ind w:left="660" w:right="20" w:firstLine="645"/>
        <w:spacing w:after="0" w:line="251" w:lineRule="auto"/>
        <w:tabs>
          <w:tab w:leader="none" w:pos="2324"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200" w:lineRule="exact"/>
        <w:rPr>
          <w:rFonts w:ascii="Arial" w:cs="Arial" w:eastAsia="Arial" w:hAnsi="Arial"/>
          <w:sz w:val="22"/>
          <w:szCs w:val="22"/>
          <w:color w:val="auto"/>
        </w:rPr>
      </w:pPr>
    </w:p>
    <w:p>
      <w:pPr>
        <w:ind w:left="2100" w:hanging="795"/>
        <w:spacing w:after="0"/>
        <w:tabs>
          <w:tab w:leader="none" w:pos="210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a custodian or public officer takes charge of the Trustee or its property; or</w:t>
      </w:r>
    </w:p>
    <w:p>
      <w:pPr>
        <w:spacing w:after="0" w:line="233" w:lineRule="exact"/>
        <w:rPr>
          <w:rFonts w:ascii="Arial" w:cs="Arial" w:eastAsia="Arial" w:hAnsi="Arial"/>
          <w:sz w:val="22"/>
          <w:szCs w:val="22"/>
          <w:color w:val="auto"/>
        </w:rPr>
      </w:pPr>
    </w:p>
    <w:p>
      <w:pPr>
        <w:ind w:left="2100" w:hanging="795"/>
        <w:spacing w:after="0"/>
        <w:tabs>
          <w:tab w:leader="none" w:pos="210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33" w:lineRule="exact"/>
        <w:rPr>
          <w:rFonts w:ascii="Arial" w:cs="Arial" w:eastAsia="Arial" w:hAnsi="Arial"/>
          <w:sz w:val="22"/>
          <w:szCs w:val="22"/>
          <w:color w:val="auto"/>
        </w:rPr>
      </w:pPr>
    </w:p>
    <w:p>
      <w:pPr>
        <w:jc w:val="both"/>
        <w:ind w:firstLine="656"/>
        <w:spacing w:after="0" w:line="238" w:lineRule="auto"/>
        <w:tabs>
          <w:tab w:leader="none" w:pos="141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If the Trustee resigns or is removed or if a vacancy exists in the office of Trustee for any reason, the Issuers shall promptly appoint a successor Trustee. Within one year after the successor Trustee takes office, the Holders of a majority in principal amount of the then outstanding Notes may appoint a successor Trustee to replace the successor Trustee appointed by the Issuers.</w:t>
      </w:r>
    </w:p>
    <w:p>
      <w:pPr>
        <w:spacing w:after="0" w:line="212" w:lineRule="exact"/>
        <w:rPr>
          <w:rFonts w:ascii="Arial" w:cs="Arial" w:eastAsia="Arial" w:hAnsi="Arial"/>
          <w:sz w:val="22"/>
          <w:szCs w:val="22"/>
          <w:color w:val="auto"/>
        </w:rPr>
      </w:pPr>
    </w:p>
    <w:p>
      <w:pPr>
        <w:jc w:val="both"/>
        <w:ind w:firstLine="656"/>
        <w:spacing w:after="0"/>
        <w:tabs>
          <w:tab w:leader="none" w:pos="1332"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If a successor Trustee does not take office within 60 days after the retiring Trustee resigns or is removed, the retiring Trustee, the Issuers, or the Holders of at least 10% in principal amount of the then outstanding Notes may petition any court of competent jurisdiction for the appointment of a successor Trustee.</w:t>
      </w:r>
    </w:p>
    <w:p>
      <w:pPr>
        <w:spacing w:after="0" w:line="213" w:lineRule="exact"/>
        <w:rPr>
          <w:rFonts w:ascii="Arial" w:cs="Arial" w:eastAsia="Arial" w:hAnsi="Arial"/>
          <w:sz w:val="22"/>
          <w:szCs w:val="22"/>
          <w:color w:val="auto"/>
        </w:rPr>
      </w:pPr>
    </w:p>
    <w:p>
      <w:pPr>
        <w:jc w:val="both"/>
        <w:ind w:firstLine="656"/>
        <w:spacing w:after="0"/>
        <w:tabs>
          <w:tab w:leader="none" w:pos="1428"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213" w:lineRule="exact"/>
        <w:rPr>
          <w:rFonts w:ascii="Arial" w:cs="Arial" w:eastAsia="Arial" w:hAnsi="Arial"/>
          <w:sz w:val="22"/>
          <w:szCs w:val="22"/>
          <w:color w:val="auto"/>
        </w:rPr>
      </w:pPr>
    </w:p>
    <w:p>
      <w:pPr>
        <w:jc w:val="both"/>
        <w:ind w:firstLine="656"/>
        <w:spacing w:after="0" w:line="234" w:lineRule="auto"/>
        <w:tabs>
          <w:tab w:leader="none" w:pos="166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 xml:space="preserve">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provided all sums owing to the Trustee hereunder have been paid and subject to the Lien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for in Section 7.07 hereof. Notwithstanding replacement of the Trustee pursuant to this Sectio n 7.08, the Issuers’ obligations under Section 7.07 hereof shall continue for the benefit of the retiring Trustee.</w:t>
      </w:r>
    </w:p>
    <w:p>
      <w:pPr>
        <w:spacing w:after="0" w:line="218"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7.09</w:t>
      </w:r>
      <w:r>
        <w:rPr>
          <w:sz w:val="20"/>
          <w:szCs w:val="20"/>
          <w:color w:val="auto"/>
        </w:rPr>
        <w:tab/>
      </w:r>
      <w:r>
        <w:rPr>
          <w:rFonts w:ascii="Arial" w:cs="Arial" w:eastAsia="Arial" w:hAnsi="Arial"/>
          <w:sz w:val="18"/>
          <w:szCs w:val="18"/>
          <w:i w:val="1"/>
          <w:iCs w:val="1"/>
          <w:color w:val="auto"/>
        </w:rPr>
        <w:t>Successor Trustee by Merger, etc.</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If the Trustee consolidates, merges or converts into, or transfers all or substantially all of its corporate trust business to, another corporation, the successor corporation without any further act shall be the successor Trustee.</w:t>
      </w:r>
    </w:p>
    <w:p>
      <w:pPr>
        <w:spacing w:after="0" w:line="200"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7.10</w:t>
      </w:r>
      <w:r>
        <w:rPr>
          <w:sz w:val="20"/>
          <w:szCs w:val="20"/>
          <w:color w:val="auto"/>
        </w:rPr>
        <w:tab/>
      </w:r>
      <w:r>
        <w:rPr>
          <w:rFonts w:ascii="Arial" w:cs="Arial" w:eastAsia="Arial" w:hAnsi="Arial"/>
          <w:sz w:val="21"/>
          <w:szCs w:val="21"/>
          <w:i w:val="1"/>
          <w:iCs w:val="1"/>
          <w:color w:val="auto"/>
        </w:rPr>
        <w:t>Eligibility; Disqualification.</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 million as set forth in its most recent published annual report of condition.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3" w:name="page124"/>
    <w:bookmarkEnd w:id="123"/>
    <w:p>
      <w:pPr>
        <w:jc w:val="both"/>
        <w:ind w:firstLine="648"/>
        <w:spacing w:after="0" w:line="251" w:lineRule="auto"/>
        <w:rPr>
          <w:sz w:val="20"/>
          <w:szCs w:val="20"/>
          <w:color w:val="auto"/>
        </w:rPr>
      </w:pPr>
      <w:r>
        <w:rPr>
          <w:rFonts w:ascii="Arial" w:cs="Arial" w:eastAsia="Arial" w:hAnsi="Arial"/>
          <w:sz w:val="22"/>
          <w:szCs w:val="22"/>
          <w:color w:val="auto"/>
        </w:rPr>
        <w:t>This Indenture shall always have a Trustee who satisfies the requirements of TIA § 310(a)(1), (2) and (5). The Trustee is subject to TIA § 310(b).</w:t>
      </w:r>
    </w:p>
    <w:p>
      <w:pPr>
        <w:spacing w:after="0" w:line="200"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7.11</w:t>
      </w:r>
      <w:r>
        <w:rPr>
          <w:sz w:val="20"/>
          <w:szCs w:val="20"/>
          <w:color w:val="auto"/>
        </w:rPr>
        <w:tab/>
      </w:r>
      <w:r>
        <w:rPr>
          <w:rFonts w:ascii="Arial" w:cs="Arial" w:eastAsia="Arial" w:hAnsi="Arial"/>
          <w:sz w:val="19"/>
          <w:szCs w:val="19"/>
          <w:i w:val="1"/>
          <w:iCs w:val="1"/>
          <w:color w:val="auto"/>
        </w:rPr>
        <w:t>Preferential Collection of Claims Against Issuers.</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Trustee is subject to TIA § 311(a), excluding any creditor relationship listed in TIA § 311(b). A Trustee who has resigned or been removed shall be subject to TIA § 311(a) to the extent indicated therein.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LEGAL DEFEASANCE AND COVENANT DEFEASANCE</w:t>
      </w:r>
    </w:p>
    <w:p>
      <w:pPr>
        <w:spacing w:after="0" w:line="215"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i w:val="1"/>
          <w:iCs w:val="1"/>
          <w:color w:val="auto"/>
        </w:rPr>
        <w:t>Option to Effect Legal Defeasance or Covenant Defeasance.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Issuers may, at the option of their respective Boards of Directors evidenced by a resolution set forth in an Officers’ Certificate of each Issuer, at any time, elect to have either Section 8.02 or 8.03 hereof be applied to all outstanding Notes upon compliance with the conditions set forth below in this Article 8.</w:t>
      </w:r>
    </w:p>
    <w:p>
      <w:pPr>
        <w:spacing w:after="0" w:line="213"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i w:val="1"/>
          <w:iCs w:val="1"/>
          <w:color w:val="auto"/>
        </w:rPr>
        <w:t>Legal Defeasance and Discharge.</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Upon the Issuers’ exercise under Section 8.01 hereof of the option applicable to this Section 8.02, the Issuers shall, subject to the satisfaction of the conditions set forth in Section 8.04 hereof, be deemed to have been discharged from their obligations with respect to all outstanding Notes, each of the Guarantors shall be deemed to be discharged from their obligations with respect to their Note Guarantees and the Issuers and each of the Guarantors shall be deemed to be discharged from their obligations with respect to the Collateral Documents on the date the conditions set forth below are satisfied (hereinafter, “</w:t>
      </w:r>
      <w:r>
        <w:rPr>
          <w:rFonts w:ascii="Arial" w:cs="Arial" w:eastAsia="Arial" w:hAnsi="Arial"/>
          <w:sz w:val="21"/>
          <w:szCs w:val="21"/>
          <w:i w:val="1"/>
          <w:iCs w:val="1"/>
          <w:u w:val="single" w:color="auto"/>
          <w:color w:val="auto"/>
        </w:rPr>
        <w:t>Legal Defeasance</w:t>
      </w:r>
      <w:r>
        <w:rPr>
          <w:rFonts w:ascii="Arial" w:cs="Arial" w:eastAsia="Arial" w:hAnsi="Arial"/>
          <w:sz w:val="21"/>
          <w:szCs w:val="21"/>
          <w:color w:val="auto"/>
        </w:rPr>
        <w:t>”). For this purpose, Legal Defeasance means that the Issuers and each of the Guarant ors shall be deemed to have paid and discharged the entire Indebtedness represented by the outstanding Notes (including the Note Guarantees), which shall thereafter be deemed to be “outstanding” only for the purposes of Section 8.05 hereof and the other Sections of this Indenture referred to in Sections 8.02(a) and (b) below, and to have satisfied all their other obligations under such Notes, the Note Guarantees, the Collateral Documents, and this Indenture (and the Trustee, on demand of and at the expense of the Issuers, shall execute proper instruments acknowledging the same), except for the following provisions which shall survive until otherwise terminated or discharged hereunder:</w:t>
      </w:r>
    </w:p>
    <w:p>
      <w:pPr>
        <w:spacing w:after="0" w:line="214" w:lineRule="exact"/>
        <w:rPr>
          <w:sz w:val="20"/>
          <w:szCs w:val="20"/>
          <w:color w:val="auto"/>
        </w:rPr>
      </w:pPr>
    </w:p>
    <w:p>
      <w:pPr>
        <w:ind w:firstLine="656"/>
        <w:spacing w:after="0" w:line="328" w:lineRule="auto"/>
        <w:tabs>
          <w:tab w:leader="none" w:pos="1356"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the rights of Holders of outstanding Notes to receive payments in respect of the principal of, or interest or premium and Liquidated Damages, if any, on such Notes when such payments are due from the trust referred to in Section 8.04 hereof;</w:t>
      </w:r>
    </w:p>
    <w:p>
      <w:pPr>
        <w:spacing w:after="0" w:line="132" w:lineRule="exact"/>
        <w:rPr>
          <w:rFonts w:ascii="Arial" w:cs="Arial" w:eastAsia="Arial" w:hAnsi="Arial"/>
          <w:sz w:val="19"/>
          <w:szCs w:val="19"/>
          <w:color w:val="auto"/>
        </w:rPr>
      </w:pPr>
    </w:p>
    <w:p>
      <w:pPr>
        <w:ind w:left="1340" w:hanging="684"/>
        <w:spacing w:after="0"/>
        <w:tabs>
          <w:tab w:leader="none" w:pos="134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Issuers’ obligations with respect to such Notes under Article 2 and Section 4.02 hereof;</w:t>
      </w:r>
    </w:p>
    <w:p>
      <w:pPr>
        <w:spacing w:after="0" w:line="233" w:lineRule="exact"/>
        <w:rPr>
          <w:rFonts w:ascii="Arial" w:cs="Arial" w:eastAsia="Arial" w:hAnsi="Arial"/>
          <w:sz w:val="22"/>
          <w:szCs w:val="22"/>
          <w:color w:val="auto"/>
        </w:rPr>
      </w:pPr>
    </w:p>
    <w:p>
      <w:pPr>
        <w:ind w:firstLine="656"/>
        <w:spacing w:after="0" w:line="251" w:lineRule="auto"/>
        <w:tabs>
          <w:tab w:leader="none" w:pos="1523"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rights, powers, trusts, duties and immunities of the Trustee hereunder and the Issuers’ and the Guarantors’ obligations in connection therewith; and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4" w:name="page125"/>
    <w:bookmarkEnd w:id="124"/>
    <w:p>
      <w:pPr>
        <w:ind w:left="1340" w:hanging="684"/>
        <w:spacing w:after="0"/>
        <w:tabs>
          <w:tab w:leader="none" w:pos="134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this Article 8.</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Subject to compliance with this Article 8, the Issuers may exercise their option under this Section 8.02 notwithstanding the prior exercise of its option under Section 8.03 hereof.</w:t>
      </w:r>
    </w:p>
    <w:p>
      <w:pPr>
        <w:spacing w:after="0" w:line="200"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i w:val="1"/>
          <w:iCs w:val="1"/>
          <w:color w:val="auto"/>
        </w:rPr>
        <w:t>Covenant Defeasance.</w:t>
      </w:r>
    </w:p>
    <w:p>
      <w:pPr>
        <w:spacing w:after="0" w:line="2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Upon the Issuers’ exercise under Section 8.01 hereof of the option applicable to this Section 8.03, the Issuers, the Restricted Subsidiaries of Wynn Las Vegas and any Guarantors shall, subject to the satisfaction of the conditions set forth in Section 8.04 hereof, be released from each of their obligations under the covenants contained in Sections 4.07, 4.08, 4.09, 4.10, 4.11, 4.12, 4.13 and 4.15 through 4.29 inclusive hereof and clause (5) of Section 5.01(a) hereof with respect to the outstanding Notes on and after the date the conditions set forth in Section 8.04 hereof are satisfied (hereinafter, “</w:t>
      </w:r>
      <w:r>
        <w:rPr>
          <w:rFonts w:ascii="Arial" w:cs="Arial" w:eastAsia="Arial" w:hAnsi="Arial"/>
          <w:sz w:val="19"/>
          <w:szCs w:val="19"/>
          <w:i w:val="1"/>
          <w:iCs w:val="1"/>
          <w:u w:val="single" w:color="auto"/>
          <w:color w:val="auto"/>
        </w:rPr>
        <w:t>Covenant Defeasance</w:t>
      </w:r>
      <w:r>
        <w:rPr>
          <w:rFonts w:ascii="Arial" w:cs="Arial" w:eastAsia="Arial" w:hAnsi="Arial"/>
          <w:sz w:val="19"/>
          <w:szCs w:val="19"/>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and Note Guarantees, the Issuers and each of the Guarantors released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and Note Guarantees sha ll be unaffected thereby. In addition, upon the Issuers’ exercise under Section 8.01 hereof of the option applicable to this Section 8.03 hereof, subject to the satisfaction of the conditions set forth in Section 8.04 hereof, Sections 6.01(c) through 6.01(h), Section 6.01(j) and Sections 6.01(n) through 6.01(p) hereof shall not constitute Events of Default.</w:t>
      </w:r>
    </w:p>
    <w:p>
      <w:pPr>
        <w:spacing w:after="0" w:line="200" w:lineRule="exact"/>
        <w:rPr>
          <w:sz w:val="20"/>
          <w:szCs w:val="20"/>
          <w:color w:val="auto"/>
        </w:rPr>
      </w:pPr>
    </w:p>
    <w:p>
      <w:pPr>
        <w:spacing w:after="0" w:line="243"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8.04</w:t>
      </w:r>
      <w:r>
        <w:rPr>
          <w:sz w:val="20"/>
          <w:szCs w:val="20"/>
          <w:color w:val="auto"/>
        </w:rPr>
        <w:tab/>
      </w:r>
      <w:r>
        <w:rPr>
          <w:rFonts w:ascii="Arial" w:cs="Arial" w:eastAsia="Arial" w:hAnsi="Arial"/>
          <w:sz w:val="19"/>
          <w:szCs w:val="19"/>
          <w:i w:val="1"/>
          <w:iCs w:val="1"/>
          <w:color w:val="auto"/>
        </w:rPr>
        <w:t>Conditions to Legal or Covenant Defeasance.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order to exercise either Legal Defeasance or Covenant Defeasance under either Section 8.02 or 8.03 hereof:</w:t>
      </w:r>
    </w:p>
    <w:p>
      <w:pPr>
        <w:spacing w:after="0" w:line="245" w:lineRule="exact"/>
        <w:rPr>
          <w:sz w:val="20"/>
          <w:szCs w:val="20"/>
          <w:color w:val="auto"/>
        </w:rPr>
      </w:pPr>
    </w:p>
    <w:p>
      <w:pPr>
        <w:jc w:val="both"/>
        <w:ind w:firstLine="656"/>
        <w:spacing w:after="0" w:line="248" w:lineRule="auto"/>
        <w:tabs>
          <w:tab w:leader="none" w:pos="1420" w:val="left"/>
        </w:tabs>
        <w:numPr>
          <w:ilvl w:val="0"/>
          <w:numId w:val="184"/>
        </w:numPr>
        <w:rPr>
          <w:rFonts w:ascii="Arial" w:cs="Arial" w:eastAsia="Arial" w:hAnsi="Arial"/>
          <w:sz w:val="21"/>
          <w:szCs w:val="21"/>
          <w:color w:val="auto"/>
        </w:rPr>
      </w:pPr>
      <w:r>
        <w:rPr>
          <w:rFonts w:ascii="Arial" w:cs="Arial" w:eastAsia="Arial" w:hAnsi="Arial"/>
          <w:sz w:val="21"/>
          <w:szCs w:val="21"/>
          <w:color w:val="auto"/>
        </w:rPr>
        <w:t>the Issuers must irrevocably deposit with the Trustee, in trust, for the benefit of the Holders, cash in U.S. dollars, non-callable Government Securities, or a combination of cash in U.S. dollars and non-callable Government Securities, in amounts as shall be sufficient, in the opinion of a nationally recognized investment bank, appraisal firm, or firm of independent public accountants, to pay the principal of, or interest and premium and Liquidated Damages, if any, on the outstanding Notes on the stated maturity or on the applicable redemption date, as the case may be, and the Issuers must specify whether the Notes are being defeased to maturity or to a particular redemption date;</w:t>
      </w:r>
    </w:p>
    <w:p>
      <w:pPr>
        <w:spacing w:after="0" w:line="204" w:lineRule="exact"/>
        <w:rPr>
          <w:rFonts w:ascii="Arial" w:cs="Arial" w:eastAsia="Arial" w:hAnsi="Arial"/>
          <w:sz w:val="21"/>
          <w:szCs w:val="21"/>
          <w:color w:val="auto"/>
        </w:rPr>
      </w:pPr>
    </w:p>
    <w:p>
      <w:pPr>
        <w:jc w:val="both"/>
        <w:ind w:firstLine="656"/>
        <w:spacing w:after="0"/>
        <w:tabs>
          <w:tab w:leader="none" w:pos="1402" w:val="left"/>
        </w:tabs>
        <w:numPr>
          <w:ilvl w:val="0"/>
          <w:numId w:val="184"/>
        </w:numPr>
        <w:rPr>
          <w:rFonts w:ascii="Arial" w:cs="Arial" w:eastAsia="Arial" w:hAnsi="Arial"/>
          <w:sz w:val="22"/>
          <w:szCs w:val="22"/>
          <w:color w:val="auto"/>
        </w:rPr>
      </w:pPr>
      <w:r>
        <w:rPr>
          <w:rFonts w:ascii="Arial" w:cs="Arial" w:eastAsia="Arial" w:hAnsi="Arial"/>
          <w:sz w:val="22"/>
          <w:szCs w:val="22"/>
          <w:color w:val="auto"/>
        </w:rPr>
        <w:t>in the case of an election under Section 8.02 hereof, the Issuers must deliver to the Trustee an Opinion of Counsel reasonably acceptable to the Trustee confirming that (1) the Issuers have received from, or there has been published by, the Internal Revenue Service a ruling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5" w:name="page126"/>
    <w:bookmarkEnd w:id="125"/>
    <w:p>
      <w:pPr>
        <w:jc w:val="both"/>
        <w:spacing w:after="0" w:line="236" w:lineRule="auto"/>
        <w:rPr>
          <w:sz w:val="20"/>
          <w:szCs w:val="20"/>
          <w:color w:val="auto"/>
        </w:rPr>
      </w:pPr>
      <w:r>
        <w:rPr>
          <w:rFonts w:ascii="Arial" w:cs="Arial" w:eastAsia="Arial" w:hAnsi="Arial"/>
          <w:sz w:val="22"/>
          <w:szCs w:val="22"/>
          <w:color w:val="auto"/>
        </w:rPr>
        <w:t>or (2) since the date of this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215" w:lineRule="exact"/>
        <w:rPr>
          <w:sz w:val="20"/>
          <w:szCs w:val="20"/>
          <w:color w:val="auto"/>
        </w:rPr>
      </w:pPr>
    </w:p>
    <w:p>
      <w:pPr>
        <w:jc w:val="both"/>
        <w:ind w:firstLine="656"/>
        <w:spacing w:after="0" w:line="287" w:lineRule="auto"/>
        <w:tabs>
          <w:tab w:leader="none" w:pos="133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in the case of an election under Section 8.03 hereof, the Issuers have delivered to the Trustee an Opinion of Counsel reasonably acceptable to the Trustee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170" w:lineRule="exact"/>
        <w:rPr>
          <w:rFonts w:ascii="Arial" w:cs="Arial" w:eastAsia="Arial" w:hAnsi="Arial"/>
          <w:sz w:val="19"/>
          <w:szCs w:val="19"/>
          <w:color w:val="auto"/>
        </w:rPr>
      </w:pPr>
    </w:p>
    <w:p>
      <w:pPr>
        <w:jc w:val="both"/>
        <w:ind w:firstLine="656"/>
        <w:spacing w:after="0" w:line="252" w:lineRule="auto"/>
        <w:tabs>
          <w:tab w:leader="none" w:pos="1411" w:val="left"/>
        </w:tabs>
        <w:numPr>
          <w:ilvl w:val="0"/>
          <w:numId w:val="185"/>
        </w:numPr>
        <w:rPr>
          <w:rFonts w:ascii="Arial" w:cs="Arial" w:eastAsia="Arial" w:hAnsi="Arial"/>
          <w:sz w:val="21"/>
          <w:szCs w:val="21"/>
          <w:color w:val="auto"/>
        </w:rPr>
      </w:pPr>
      <w:r>
        <w:rPr>
          <w:rFonts w:ascii="Arial" w:cs="Arial" w:eastAsia="Arial" w:hAnsi="Arial"/>
          <w:sz w:val="21"/>
          <w:szCs w:val="21"/>
          <w:color w:val="auto"/>
        </w:rPr>
        <w:t>no Default or Event of Default has occurred and is continuing on the date of such deposit (other than a Default or Event of Default resulting from the borrowing of funds to be applied to such deposit) and the deposit shall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201" w:lineRule="exact"/>
        <w:rPr>
          <w:rFonts w:ascii="Arial" w:cs="Arial" w:eastAsia="Arial" w:hAnsi="Arial"/>
          <w:sz w:val="21"/>
          <w:szCs w:val="21"/>
          <w:color w:val="auto"/>
        </w:rPr>
      </w:pPr>
    </w:p>
    <w:p>
      <w:pPr>
        <w:jc w:val="both"/>
        <w:ind w:firstLine="656"/>
        <w:spacing w:after="0"/>
        <w:tabs>
          <w:tab w:leader="none" w:pos="142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such Legal Defeasance or Covenant Defeasance shall not result in a breach or violation of, or constitute a default under any material agreement or instrument (other than this Indenture) to which either Issuer, any Restricted Subsidiary or any Guarantor is a party or by which any such Person is bound;</w:t>
      </w:r>
    </w:p>
    <w:p>
      <w:pPr>
        <w:spacing w:after="0" w:line="213" w:lineRule="exact"/>
        <w:rPr>
          <w:rFonts w:ascii="Arial" w:cs="Arial" w:eastAsia="Arial" w:hAnsi="Arial"/>
          <w:sz w:val="22"/>
          <w:szCs w:val="22"/>
          <w:color w:val="auto"/>
        </w:rPr>
      </w:pPr>
    </w:p>
    <w:p>
      <w:pPr>
        <w:jc w:val="both"/>
        <w:ind w:firstLine="656"/>
        <w:spacing w:after="0" w:line="236" w:lineRule="auto"/>
        <w:tabs>
          <w:tab w:leader="none" w:pos="135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in the case of an election under Section 8.02 hereof, the Issuers must deliver to the Trustee an Opinion of Counsel to the effect that, assuming no intervening bankruptcy of the Issuers or any Guarantor between the date of deposit and the 91st day following the deposit and assuming that no Holder of Notes is an “insider” of either Issuer under applicable bankruptcy law, after the 91st day following the deposit, the trust funds shall not be subject to the effect of any applicable bankruptcy, insolvency, reorganization or similar laws affecting creditors’ rights generally;</w:t>
      </w:r>
    </w:p>
    <w:p>
      <w:pPr>
        <w:spacing w:after="0" w:line="214" w:lineRule="exact"/>
        <w:rPr>
          <w:rFonts w:ascii="Arial" w:cs="Arial" w:eastAsia="Arial" w:hAnsi="Arial"/>
          <w:sz w:val="22"/>
          <w:szCs w:val="22"/>
          <w:color w:val="auto"/>
        </w:rPr>
      </w:pPr>
    </w:p>
    <w:p>
      <w:pPr>
        <w:jc w:val="both"/>
        <w:ind w:firstLine="656"/>
        <w:spacing w:after="0"/>
        <w:tabs>
          <w:tab w:leader="none" w:pos="1404"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w:t>
      </w:r>
    </w:p>
    <w:p>
      <w:pPr>
        <w:spacing w:after="0" w:line="213" w:lineRule="exact"/>
        <w:rPr>
          <w:rFonts w:ascii="Arial" w:cs="Arial" w:eastAsia="Arial" w:hAnsi="Arial"/>
          <w:sz w:val="22"/>
          <w:szCs w:val="22"/>
          <w:color w:val="auto"/>
        </w:rPr>
      </w:pPr>
    </w:p>
    <w:p>
      <w:pPr>
        <w:ind w:right="20" w:firstLine="656"/>
        <w:spacing w:after="0" w:line="274" w:lineRule="auto"/>
        <w:tabs>
          <w:tab w:leader="none" w:pos="1507" w:val="left"/>
        </w:tabs>
        <w:numPr>
          <w:ilvl w:val="0"/>
          <w:numId w:val="185"/>
        </w:numPr>
        <w:rPr>
          <w:rFonts w:ascii="Arial" w:cs="Arial" w:eastAsia="Arial" w:hAnsi="Arial"/>
          <w:sz w:val="21"/>
          <w:szCs w:val="21"/>
          <w:color w:val="auto"/>
        </w:rPr>
      </w:pPr>
      <w:r>
        <w:rPr>
          <w:rFonts w:ascii="Arial" w:cs="Arial" w:eastAsia="Arial" w:hAnsi="Arial"/>
          <w:sz w:val="21"/>
          <w:szCs w:val="21"/>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78"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8.05</w:t>
      </w:r>
      <w:r>
        <w:rPr>
          <w:sz w:val="20"/>
          <w:szCs w:val="20"/>
          <w:color w:val="auto"/>
        </w:rPr>
        <w:tab/>
      </w:r>
      <w:r>
        <w:rPr>
          <w:rFonts w:ascii="Arial" w:cs="Arial" w:eastAsia="Arial" w:hAnsi="Arial"/>
          <w:sz w:val="19"/>
          <w:szCs w:val="19"/>
          <w:i w:val="1"/>
          <w:iCs w:val="1"/>
          <w:color w:val="auto"/>
        </w:rPr>
        <w:t>Deposited Money and Government Securities to be Held in Trust; Other Miscellaneous Provisions.</w:t>
      </w:r>
    </w:p>
    <w:p>
      <w:pPr>
        <w:spacing w:after="0" w:line="233"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Subject to Section 8.06 hereof, all money and Government Securities (including the proceeds thereof) deposited with the Trustee (or other qualifying trustee, collectively for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6" w:name="page127"/>
    <w:bookmarkEnd w:id="126"/>
    <w:p>
      <w:pPr>
        <w:jc w:val="both"/>
        <w:spacing w:after="0" w:line="282" w:lineRule="auto"/>
        <w:rPr>
          <w:sz w:val="20"/>
          <w:szCs w:val="20"/>
          <w:color w:val="auto"/>
        </w:rPr>
      </w:pPr>
      <w:r>
        <w:rPr>
          <w:rFonts w:ascii="Arial" w:cs="Arial" w:eastAsia="Arial" w:hAnsi="Arial"/>
          <w:sz w:val="19"/>
          <w:szCs w:val="19"/>
          <w:color w:val="auto"/>
        </w:rPr>
        <w:t>purposes of this Section 8.05, the “Trustee”) pursuant to Section 8.04 hereof in respect of the outstanding Notes shall be held in trust and applied by the Trustee, in accordance with the provisions of such Notes and this Indenture, to the payment, either directly or through any Paying Agent (including the Issuers acting as Paying Agent) as the Trustee may determine, to the Holders of such Notes of all sums due and to become due thereon in respect of principal, premium and Liquidated Damages, if any, and interest, but such money need not be segregated from other funds except to the extent required by law.</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Issuers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16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Notwithstanding anything in this Article 8 to the contrary, the Trustee shall deliver or pay to the Issuers from time to time upon the request of the Issuers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8.04(b) hereof), are in excess of the amount thereof that would then be required to be deposited to effect an equivalent Legal Defeasance or Covenant Defeasance.</w:t>
      </w:r>
    </w:p>
    <w:p>
      <w:pPr>
        <w:spacing w:after="0" w:line="175"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8.06</w:t>
      </w:r>
      <w:r>
        <w:rPr>
          <w:sz w:val="20"/>
          <w:szCs w:val="20"/>
          <w:color w:val="auto"/>
        </w:rPr>
        <w:tab/>
      </w:r>
      <w:r>
        <w:rPr>
          <w:rFonts w:ascii="Arial" w:cs="Arial" w:eastAsia="Arial" w:hAnsi="Arial"/>
          <w:sz w:val="18"/>
          <w:szCs w:val="18"/>
          <w:i w:val="1"/>
          <w:iCs w:val="1"/>
          <w:color w:val="auto"/>
        </w:rPr>
        <w:t>Repayment to Issuers.</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Any money deposited with the Trustee or any Paying Agent, or then held by the Issuers, in trust for the payment of the principal of, premium or Liquidated Damages, if any, or interest on any Note and remaining unclaimed for two years after such principal, premium or Liquidated Damages, if any, or interest has become due and payable shall be paid to the Issuers on its request or (if then held by the Issuers) shall be discharged from such trust; and the Holder of such Note shall thereafter be permitted to look only to the Issuers for payment thereof, and all liability of the Trustee or such Paying Agent with respect to such trust money, and all liability of the Issuers as trustee thereof, shall thereupon cease; provided, however, that the Trustee or such Paying Agent, before being required to make any such repayment, may at the e xpense of the Issuers cause to be published once, in the New York Times (national edition) and The Wall Street Journal (national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189"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8.07</w:t>
      </w:r>
      <w:r>
        <w:rPr>
          <w:sz w:val="20"/>
          <w:szCs w:val="20"/>
          <w:color w:val="auto"/>
        </w:rPr>
        <w:tab/>
      </w:r>
      <w:r>
        <w:rPr>
          <w:rFonts w:ascii="Arial" w:cs="Arial" w:eastAsia="Arial" w:hAnsi="Arial"/>
          <w:sz w:val="19"/>
          <w:szCs w:val="19"/>
          <w:i w:val="1"/>
          <w:iCs w:val="1"/>
          <w:color w:val="auto"/>
        </w:rPr>
        <w:t>Reinstatement.</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Issuers’ or the Guarantors’ obligations under this Indenture, the Notes, the Note Guarantees and the Collateral Documents shall be revived and reinstated as though no deposit had occurred pursuant to Section 8.02 or 8.03 hereof until such time as the Trustee or Paying Agent is permitted to apply all such money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7" w:name="page128"/>
    <w:bookmarkEnd w:id="127"/>
    <w:p>
      <w:pPr>
        <w:jc w:val="both"/>
        <w:spacing w:after="0" w:line="238" w:lineRule="auto"/>
        <w:rPr>
          <w:sz w:val="20"/>
          <w:szCs w:val="20"/>
          <w:color w:val="auto"/>
        </w:rPr>
      </w:pPr>
      <w:r>
        <w:rPr>
          <w:rFonts w:ascii="Arial" w:cs="Arial" w:eastAsia="Arial" w:hAnsi="Arial"/>
          <w:sz w:val="22"/>
          <w:szCs w:val="22"/>
          <w:color w:val="auto"/>
        </w:rPr>
        <w:t>in accordance with Section 8.02 or 8.03 hereof, as the case may be; provided, however, that, if the Issuers make any payment of principal of, premium or Liquidated Damages, if any, or interest on any Note following the reinstatement of its obligations, the Issuers shall subrogated to the rights of the Holders of such Notes to receive such payment from the money held by the Trustee or Paying Agent.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SUPPLEMENT AND WAIVER</w:t>
      </w:r>
    </w:p>
    <w:p>
      <w:pPr>
        <w:spacing w:after="0" w:line="215"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i w:val="1"/>
          <w:iCs w:val="1"/>
          <w:color w:val="auto"/>
        </w:rPr>
        <w:t>Without Consent of Holders of Notes.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Notwithstanding Section 9.02 of this Indenture, without the consent of any Holder, the Issuers, the Guarantors and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Trustee may amend or supplement this Indenture, the Notes, the Note Guarantees or the Collateral Documents to:</w:t>
      </w:r>
    </w:p>
    <w:p>
      <w:pPr>
        <w:spacing w:after="0" w:line="215" w:lineRule="exact"/>
        <w:rPr>
          <w:sz w:val="20"/>
          <w:szCs w:val="20"/>
          <w:color w:val="auto"/>
        </w:rPr>
      </w:pPr>
    </w:p>
    <w:p>
      <w:pPr>
        <w:ind w:left="1320" w:hanging="664"/>
        <w:spacing w:after="0"/>
        <w:tabs>
          <w:tab w:leader="none" w:pos="132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cure any ambiguity, defect or inconsistency;</w:t>
      </w:r>
    </w:p>
    <w:p>
      <w:pPr>
        <w:spacing w:after="0" w:line="233" w:lineRule="exact"/>
        <w:rPr>
          <w:rFonts w:ascii="Arial" w:cs="Arial" w:eastAsia="Arial" w:hAnsi="Arial"/>
          <w:sz w:val="22"/>
          <w:szCs w:val="22"/>
          <w:color w:val="auto"/>
        </w:rPr>
      </w:pPr>
    </w:p>
    <w:p>
      <w:pPr>
        <w:ind w:left="1340" w:hanging="684"/>
        <w:spacing w:after="0"/>
        <w:tabs>
          <w:tab w:leader="none" w:pos="134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provide for uncertificated Notes in addition to or in place of certificated Notes;</w:t>
      </w:r>
    </w:p>
    <w:p>
      <w:pPr>
        <w:spacing w:after="0" w:line="233" w:lineRule="exact"/>
        <w:rPr>
          <w:rFonts w:ascii="Arial" w:cs="Arial" w:eastAsia="Arial" w:hAnsi="Arial"/>
          <w:sz w:val="22"/>
          <w:szCs w:val="22"/>
          <w:color w:val="auto"/>
        </w:rPr>
      </w:pPr>
    </w:p>
    <w:p>
      <w:pPr>
        <w:jc w:val="both"/>
        <w:ind w:firstLine="656"/>
        <w:spacing w:after="0" w:line="258" w:lineRule="auto"/>
        <w:tabs>
          <w:tab w:leader="none" w:pos="1491" w:val="left"/>
        </w:tabs>
        <w:numPr>
          <w:ilvl w:val="0"/>
          <w:numId w:val="186"/>
        </w:numPr>
        <w:rPr>
          <w:rFonts w:ascii="Arial" w:cs="Arial" w:eastAsia="Arial" w:hAnsi="Arial"/>
          <w:sz w:val="21"/>
          <w:szCs w:val="21"/>
          <w:color w:val="auto"/>
        </w:rPr>
      </w:pPr>
      <w:r>
        <w:rPr>
          <w:rFonts w:ascii="Arial" w:cs="Arial" w:eastAsia="Arial" w:hAnsi="Arial"/>
          <w:sz w:val="21"/>
          <w:szCs w:val="21"/>
          <w:color w:val="auto"/>
        </w:rPr>
        <w:t>provide for the assumption of the Issuers’ or any Guarantor’s obligations to the Holders of the Notes and Note Guarantees by a successor to the Issuers or such Guarantor, as the case may be, in the case of a merger or consolidation or sale of all or substantially all of the Issuers’ or such Guarantor’s assets pursuant to Article 5 hereof;</w:t>
      </w:r>
    </w:p>
    <w:p>
      <w:pPr>
        <w:spacing w:after="0" w:line="193" w:lineRule="exact"/>
        <w:rPr>
          <w:rFonts w:ascii="Arial" w:cs="Arial" w:eastAsia="Arial" w:hAnsi="Arial"/>
          <w:sz w:val="21"/>
          <w:szCs w:val="21"/>
          <w:color w:val="auto"/>
        </w:rPr>
      </w:pPr>
    </w:p>
    <w:p>
      <w:pPr>
        <w:jc w:val="both"/>
        <w:ind w:right="20" w:firstLine="656"/>
        <w:spacing w:after="0" w:line="287" w:lineRule="auto"/>
        <w:tabs>
          <w:tab w:leader="none" w:pos="1417" w:val="left"/>
        </w:tabs>
        <w:numPr>
          <w:ilvl w:val="0"/>
          <w:numId w:val="186"/>
        </w:numPr>
        <w:rPr>
          <w:rFonts w:ascii="Arial" w:cs="Arial" w:eastAsia="Arial" w:hAnsi="Arial"/>
          <w:sz w:val="19"/>
          <w:szCs w:val="19"/>
          <w:color w:val="auto"/>
        </w:rPr>
      </w:pPr>
      <w:r>
        <w:rPr>
          <w:rFonts w:ascii="Arial" w:cs="Arial" w:eastAsia="Arial" w:hAnsi="Arial"/>
          <w:sz w:val="19"/>
          <w:szCs w:val="19"/>
          <w:color w:val="auto"/>
        </w:rPr>
        <w:t>make any change that would provide any additional rights or benefits to the Holders of the Notes or that does not adversely affect the legal rights hereunder of any such Holder, including any amendment or modification to the Intercreditor Agreement that gives or provides for any additional rights to the Holders to direct the Collateral Agent to enforce remedies against the Collateral and/or participate in other decisions regarding collateral and/or the enforcement of security documents;</w:t>
      </w:r>
    </w:p>
    <w:p>
      <w:pPr>
        <w:spacing w:after="0" w:line="170" w:lineRule="exact"/>
        <w:rPr>
          <w:rFonts w:ascii="Arial" w:cs="Arial" w:eastAsia="Arial" w:hAnsi="Arial"/>
          <w:sz w:val="19"/>
          <w:szCs w:val="19"/>
          <w:color w:val="auto"/>
        </w:rPr>
      </w:pPr>
    </w:p>
    <w:p>
      <w:pPr>
        <w:ind w:left="1460" w:hanging="804"/>
        <w:spacing w:after="0"/>
        <w:tabs>
          <w:tab w:leader="none" w:pos="146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comply with requirements of the SEC in order to effect or maintain the qualification of this Indenture under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TIA;</w:t>
      </w:r>
    </w:p>
    <w:p>
      <w:pPr>
        <w:spacing w:after="0" w:line="215" w:lineRule="exact"/>
        <w:rPr>
          <w:rFonts w:ascii="Arial" w:cs="Arial" w:eastAsia="Arial" w:hAnsi="Arial"/>
          <w:sz w:val="19"/>
          <w:szCs w:val="19"/>
          <w:color w:val="auto"/>
        </w:rPr>
      </w:pPr>
    </w:p>
    <w:p>
      <w:pPr>
        <w:ind w:right="20" w:firstLine="656"/>
        <w:spacing w:after="0" w:line="251" w:lineRule="auto"/>
        <w:tabs>
          <w:tab w:leader="none" w:pos="1415" w:val="left"/>
        </w:tabs>
        <w:numPr>
          <w:ilvl w:val="0"/>
          <w:numId w:val="186"/>
        </w:numPr>
        <w:rPr>
          <w:rFonts w:ascii="Arial" w:cs="Arial" w:eastAsia="Arial" w:hAnsi="Arial"/>
          <w:sz w:val="22"/>
          <w:szCs w:val="22"/>
          <w:color w:val="auto"/>
        </w:rPr>
      </w:pPr>
      <w:r>
        <w:rPr>
          <w:rFonts w:ascii="Arial" w:cs="Arial" w:eastAsia="Arial" w:hAnsi="Arial"/>
          <w:sz w:val="22"/>
          <w:szCs w:val="22"/>
          <w:color w:val="auto"/>
        </w:rPr>
        <w:t>provide for the issuance of Additional Notes in accordance with the limitations set forth in this Indenture as of the date of this Indenture;</w:t>
      </w:r>
    </w:p>
    <w:p>
      <w:pPr>
        <w:spacing w:after="0" w:line="200" w:lineRule="exact"/>
        <w:rPr>
          <w:rFonts w:ascii="Arial" w:cs="Arial" w:eastAsia="Arial" w:hAnsi="Arial"/>
          <w:sz w:val="22"/>
          <w:szCs w:val="22"/>
          <w:color w:val="auto"/>
        </w:rPr>
      </w:pPr>
    </w:p>
    <w:p>
      <w:pPr>
        <w:ind w:left="1340" w:hanging="684"/>
        <w:spacing w:after="0"/>
        <w:tabs>
          <w:tab w:leader="none" w:pos="134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allow any Guarantor to execute a supplemental indenture and/or a Note Guarantee with respect to the Notes; or</w:t>
      </w:r>
    </w:p>
    <w:p>
      <w:pPr>
        <w:spacing w:after="0" w:line="267" w:lineRule="exact"/>
        <w:rPr>
          <w:rFonts w:ascii="Arial" w:cs="Arial" w:eastAsia="Arial" w:hAnsi="Arial"/>
          <w:sz w:val="19"/>
          <w:szCs w:val="19"/>
          <w:color w:val="auto"/>
        </w:rPr>
      </w:pPr>
    </w:p>
    <w:p>
      <w:pPr>
        <w:ind w:left="1340" w:hanging="684"/>
        <w:spacing w:after="0"/>
        <w:tabs>
          <w:tab w:leader="none" w:pos="134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enter into additional or supplemental Collateral Documents or Guarantees or an intercreditor agreement with respect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thereto.</w:t>
      </w: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Upon request of the Issuers, the Trustee will enter into amendments, restatements and modifications of the Collateral Documents from time to time in connection with the grant of any Permitted Liens; provided, however, that any such amended, restated or modified Collateral Documents shall contain terms no less favorable to the Trustee or the Holders of the Notes than the terms contained in the Collateral Documents being amended, restated or modified (except as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8" w:name="page129"/>
    <w:bookmarkEnd w:id="128"/>
    <w:p>
      <w:pPr>
        <w:jc w:val="both"/>
        <w:spacing w:after="0"/>
        <w:rPr>
          <w:sz w:val="20"/>
          <w:szCs w:val="20"/>
          <w:color w:val="auto"/>
        </w:rPr>
      </w:pPr>
      <w:r>
        <w:rPr>
          <w:rFonts w:ascii="Arial" w:cs="Arial" w:eastAsia="Arial" w:hAnsi="Arial"/>
          <w:sz w:val="22"/>
          <w:szCs w:val="22"/>
          <w:color w:val="auto"/>
        </w:rPr>
        <w:t>expressly provided for in this Indenture); provided, further, that any such amendment, restatement or modification does not otherwise adversely affect the rights or remedies of the Trustee or the Holders of the Notes in any material respect (except as expressly provided for in this Indenture).</w:t>
      </w:r>
    </w:p>
    <w:p>
      <w:pPr>
        <w:spacing w:after="0" w:line="2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Upon the request of the Issuers accompanied by a resolution of their respective Boards of Directors authorizing the execution of any such amended or supplemental indenture, and upon receipt by the Trustee of the documents described in Section 7.02 hereof, the Trustee shall join with the Issuers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20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i w:val="1"/>
          <w:iCs w:val="1"/>
          <w:color w:val="auto"/>
        </w:rPr>
        <w:t>With Consent of Holders of Notes.</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Except as provided below in this Section 9.02, the Issuers, the Guarantors and the Trustee may amend or supplement this Indenture (including, without limitation, Section 3.10, 4.10, 4.15 and 4.16 hereof), the Notes, the Note Guarantees and, subject to the terms of the Intercreditor Agreement and this Indenture, the Collateral Documents, with the consent of the Holders of at least a majority in principal amount of the then outstanding Notes (including, without limitation, Additional Notes, if any) voting as a single class (including, without limitation, consents obtained in connection with a purchase of, or tender offer or exchange offer for, Notes), and, subject to Sections 6.04 and 6.07 hereof, any existing Default or Event of Default (other than a Default or Event of Default in the payment of the principal of, premium or Liqu idated Damages, if any, or interest on the Notes, except a payment default resulting from an acceleration that has been rescinded) or compliance with any provision of this Indenture, the Notes, the Note Guarantees or, subject to the terms of the Intercreditor Agreement and this Indenture, the Collateral Documents, may be waived with the consent of the Holders of a majority in principal amount of the then outstanding Notes (including, without limitation, Additional Notes, if any) voting as a single class (including, without limitation, consents obtained in connection with purchase of, or a tender offer or exchange offer for, the Notes).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Notwithstanding any other provision in this Indenture, the Notes, the Note Guarantees or the Collateral Documents, any amendment or modification to the definition of “Excluded Assets” in the Pledge and Security Agreement or the definition of “Excluded Property” in the Deeds of Trust shall require, in addition to the other consents required pursuant to Section 10.01(b) hereof and the Intercreditor Agreement, the consent of at least a majority in principal amount of the then outstanding Notes (including, without limitation, Additional Notes, if any) voting as a single class (including, without limitation, consent obtained in connection with a purchase of, or tender offer or exchange offer for, Notes), if as a result of such amendment or modification, the Notes will not be secured by substantially all of th e assets of the Issuers and the Guarantors.</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Upon the request of the Issuers accompanied by a resolution of their respective Boards of Directors authorizing the execution of any such amended or supplemental Indenture, and upon the filing with the Trustee of evidence satisfactory to the Trustee of the consent of the Holders of</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29" w:name="page130"/>
    <w:bookmarkEnd w:id="129"/>
    <w:p>
      <w:pPr>
        <w:jc w:val="both"/>
        <w:spacing w:after="0" w:line="287" w:lineRule="auto"/>
        <w:rPr>
          <w:sz w:val="20"/>
          <w:szCs w:val="20"/>
          <w:color w:val="auto"/>
        </w:rPr>
      </w:pPr>
      <w:r>
        <w:rPr>
          <w:rFonts w:ascii="Arial" w:cs="Arial" w:eastAsia="Arial" w:hAnsi="Arial"/>
          <w:sz w:val="19"/>
          <w:szCs w:val="19"/>
          <w:color w:val="auto"/>
        </w:rPr>
        <w:t>Notes as aforesaid, and upon receipt by the Trustee of the documents described in Section 7.02 hereof, the Trustee shall join with the Issuers and the Guarantors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70"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It is not necessary for the consent of the Holders of Notes under this Section 9.02 to approve the particular form of any proposed amendment or waiver, but it is sufficient if such consent approves the substance thereof.</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After an amendment, supplement or waiver under this Section 9.02 becomes effective, the Issuers shall mail to the Holders of Notes affected thereby a notice briefly describing the amendment, supplement or waiver. Any failure of the Issuers to mail such notice, or any defect therein, shall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Issuers with any provision of this Indenture or the Notes or by the Guarantors with any provision of the Note Guarantees. However, without the consent of each Holder affected or, in the case of clau ses (h), (i) and (j) below only, without the consent of the Holders of at least 95% in the aggregate principal amount of the Notes then outstanding, an amendment, supplement or waiver under this Section 9.02 may not (with respect to any Notes held by a non-consenting Holder):</w:t>
      </w:r>
    </w:p>
    <w:p>
      <w:pPr>
        <w:spacing w:after="0" w:line="186" w:lineRule="exact"/>
        <w:rPr>
          <w:sz w:val="20"/>
          <w:szCs w:val="20"/>
          <w:color w:val="auto"/>
        </w:rPr>
      </w:pPr>
    </w:p>
    <w:p>
      <w:pPr>
        <w:ind w:left="1320" w:hanging="664"/>
        <w:spacing w:after="0"/>
        <w:tabs>
          <w:tab w:leader="none" w:pos="1320" w:val="left"/>
        </w:tabs>
        <w:numPr>
          <w:ilvl w:val="0"/>
          <w:numId w:val="187"/>
        </w:numPr>
        <w:rPr>
          <w:rFonts w:ascii="Arial" w:cs="Arial" w:eastAsia="Arial" w:hAnsi="Arial"/>
          <w:sz w:val="21"/>
          <w:szCs w:val="21"/>
          <w:color w:val="auto"/>
        </w:rPr>
      </w:pPr>
      <w:r>
        <w:rPr>
          <w:rFonts w:ascii="Arial" w:cs="Arial" w:eastAsia="Arial" w:hAnsi="Arial"/>
          <w:sz w:val="21"/>
          <w:szCs w:val="21"/>
          <w:color w:val="auto"/>
        </w:rPr>
        <w:t>reduce the principal amount of Notes whose Holders must consent to an amendment, supplement or waiver;</w:t>
      </w:r>
    </w:p>
    <w:p>
      <w:pPr>
        <w:spacing w:after="0" w:line="244" w:lineRule="exact"/>
        <w:rPr>
          <w:rFonts w:ascii="Arial" w:cs="Arial" w:eastAsia="Arial" w:hAnsi="Arial"/>
          <w:sz w:val="21"/>
          <w:szCs w:val="21"/>
          <w:color w:val="auto"/>
        </w:rPr>
      </w:pPr>
    </w:p>
    <w:p>
      <w:pPr>
        <w:ind w:firstLine="656"/>
        <w:spacing w:after="0" w:line="328" w:lineRule="auto"/>
        <w:tabs>
          <w:tab w:leader="none" w:pos="1358" w:val="left"/>
        </w:tabs>
        <w:numPr>
          <w:ilvl w:val="0"/>
          <w:numId w:val="187"/>
        </w:numPr>
        <w:rPr>
          <w:rFonts w:ascii="Arial" w:cs="Arial" w:eastAsia="Arial" w:hAnsi="Arial"/>
          <w:sz w:val="19"/>
          <w:szCs w:val="19"/>
          <w:color w:val="auto"/>
        </w:rPr>
      </w:pPr>
      <w:r>
        <w:rPr>
          <w:rFonts w:ascii="Arial" w:cs="Arial" w:eastAsia="Arial" w:hAnsi="Arial"/>
          <w:sz w:val="19"/>
          <w:szCs w:val="19"/>
          <w:color w:val="auto"/>
        </w:rPr>
        <w:t>reduce the principal of or change the fixed maturity of any Note or alter or waive any of the provisions with respect to the redemption of the Notes, except as provided above with respect to Sections 3.10, 4.10, 4.15 and 4.16 hereof;</w:t>
      </w:r>
    </w:p>
    <w:p>
      <w:pPr>
        <w:spacing w:after="0" w:line="132" w:lineRule="exact"/>
        <w:rPr>
          <w:rFonts w:ascii="Arial" w:cs="Arial" w:eastAsia="Arial" w:hAnsi="Arial"/>
          <w:sz w:val="19"/>
          <w:szCs w:val="19"/>
          <w:color w:val="auto"/>
        </w:rPr>
      </w:pPr>
    </w:p>
    <w:p>
      <w:pPr>
        <w:ind w:left="1320" w:hanging="664"/>
        <w:spacing w:after="0"/>
        <w:tabs>
          <w:tab w:leader="none" w:pos="132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reduce the rate of or change the time for payment of interest, including default interest, on any Note;</w:t>
      </w:r>
    </w:p>
    <w:p>
      <w:pPr>
        <w:spacing w:after="0" w:line="233" w:lineRule="exact"/>
        <w:rPr>
          <w:rFonts w:ascii="Arial" w:cs="Arial" w:eastAsia="Arial" w:hAnsi="Arial"/>
          <w:sz w:val="22"/>
          <w:szCs w:val="22"/>
          <w:color w:val="auto"/>
        </w:rPr>
      </w:pPr>
    </w:p>
    <w:p>
      <w:pPr>
        <w:jc w:val="both"/>
        <w:ind w:firstLine="656"/>
        <w:spacing w:after="0" w:line="297" w:lineRule="auto"/>
        <w:tabs>
          <w:tab w:leader="none" w:pos="138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waive a Default or Event of Default in the payment of principal of, or interest or premium or Liquidated Damages,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161" w:lineRule="exact"/>
        <w:rPr>
          <w:rFonts w:ascii="Arial" w:cs="Arial" w:eastAsia="Arial" w:hAnsi="Arial"/>
          <w:sz w:val="19"/>
          <w:szCs w:val="19"/>
          <w:color w:val="auto"/>
        </w:rPr>
      </w:pPr>
    </w:p>
    <w:p>
      <w:pPr>
        <w:ind w:left="1320" w:hanging="664"/>
        <w:spacing w:after="0"/>
        <w:tabs>
          <w:tab w:leader="none" w:pos="132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make any Note payable in money other than that stated in the Notes;</w:t>
      </w:r>
    </w:p>
    <w:p>
      <w:pPr>
        <w:spacing w:after="0" w:line="233" w:lineRule="exact"/>
        <w:rPr>
          <w:rFonts w:ascii="Arial" w:cs="Arial" w:eastAsia="Arial" w:hAnsi="Arial"/>
          <w:sz w:val="22"/>
          <w:szCs w:val="22"/>
          <w:color w:val="auto"/>
        </w:rPr>
      </w:pPr>
    </w:p>
    <w:p>
      <w:pPr>
        <w:ind w:firstLine="656"/>
        <w:spacing w:after="0" w:line="274" w:lineRule="auto"/>
        <w:tabs>
          <w:tab w:leader="none" w:pos="1409" w:val="left"/>
        </w:tabs>
        <w:numPr>
          <w:ilvl w:val="0"/>
          <w:numId w:val="187"/>
        </w:numPr>
        <w:rPr>
          <w:rFonts w:ascii="Arial" w:cs="Arial" w:eastAsia="Arial" w:hAnsi="Arial"/>
          <w:sz w:val="21"/>
          <w:szCs w:val="21"/>
          <w:color w:val="auto"/>
        </w:rPr>
      </w:pPr>
      <w:r>
        <w:rPr>
          <w:rFonts w:ascii="Arial" w:cs="Arial" w:eastAsia="Arial" w:hAnsi="Arial"/>
          <w:sz w:val="21"/>
          <w:szCs w:val="21"/>
          <w:color w:val="auto"/>
        </w:rPr>
        <w:t>make any change in the provisions of this Indenture relating to waivers of past Defaults or the rights of Holders of Notes to receive payments of principal of, or interest or premium or Liquidated Damages, if any, on the Notes;</w:t>
      </w:r>
    </w:p>
    <w:p>
      <w:pPr>
        <w:spacing w:after="0" w:line="177" w:lineRule="exact"/>
        <w:rPr>
          <w:rFonts w:ascii="Arial" w:cs="Arial" w:eastAsia="Arial" w:hAnsi="Arial"/>
          <w:sz w:val="21"/>
          <w:szCs w:val="21"/>
          <w:color w:val="auto"/>
        </w:rPr>
      </w:pPr>
    </w:p>
    <w:p>
      <w:pPr>
        <w:ind w:firstLine="656"/>
        <w:spacing w:after="0" w:line="251" w:lineRule="auto"/>
        <w:tabs>
          <w:tab w:leader="none" w:pos="1403" w:val="left"/>
        </w:tabs>
        <w:numPr>
          <w:ilvl w:val="0"/>
          <w:numId w:val="187"/>
        </w:numPr>
        <w:rPr>
          <w:rFonts w:ascii="Arial" w:cs="Arial" w:eastAsia="Arial" w:hAnsi="Arial"/>
          <w:sz w:val="22"/>
          <w:szCs w:val="22"/>
          <w:color w:val="auto"/>
        </w:rPr>
      </w:pPr>
      <w:r>
        <w:rPr>
          <w:rFonts w:ascii="Arial" w:cs="Arial" w:eastAsia="Arial" w:hAnsi="Arial"/>
          <w:sz w:val="22"/>
          <w:szCs w:val="22"/>
          <w:color w:val="auto"/>
        </w:rPr>
        <w:t>waive a redemption payment with respect to any Note (other than a payment required by Sections 3.10, 4.10, 4.15 and 4.16 hereof);</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30" w:name="page131"/>
    <w:bookmarkEnd w:id="130"/>
    <w:p>
      <w:pPr>
        <w:ind w:right="20" w:firstLine="656"/>
        <w:spacing w:after="0" w:line="251" w:lineRule="auto"/>
        <w:tabs>
          <w:tab w:leader="none" w:pos="1565" w:val="left"/>
        </w:tabs>
        <w:numPr>
          <w:ilvl w:val="0"/>
          <w:numId w:val="188"/>
        </w:numPr>
        <w:rPr>
          <w:rFonts w:ascii="Arial" w:cs="Arial" w:eastAsia="Arial" w:hAnsi="Arial"/>
          <w:sz w:val="22"/>
          <w:szCs w:val="22"/>
          <w:color w:val="auto"/>
        </w:rPr>
      </w:pPr>
      <w:r>
        <w:rPr>
          <w:rFonts w:ascii="Arial" w:cs="Arial" w:eastAsia="Arial" w:hAnsi="Arial"/>
          <w:sz w:val="22"/>
          <w:szCs w:val="22"/>
          <w:color w:val="auto"/>
        </w:rPr>
        <w:t>release all or substantially all of the Collateral, in each case, except in accordance with the provisions of the Collateral Documents;</w:t>
      </w:r>
    </w:p>
    <w:p>
      <w:pPr>
        <w:spacing w:after="0" w:line="200" w:lineRule="exact"/>
        <w:rPr>
          <w:rFonts w:ascii="Arial" w:cs="Arial" w:eastAsia="Arial" w:hAnsi="Arial"/>
          <w:sz w:val="22"/>
          <w:szCs w:val="22"/>
          <w:color w:val="auto"/>
        </w:rPr>
      </w:pPr>
    </w:p>
    <w:p>
      <w:pPr>
        <w:jc w:val="both"/>
        <w:ind w:firstLine="656"/>
        <w:spacing w:after="0"/>
        <w:tabs>
          <w:tab w:leader="none" w:pos="1613" w:val="left"/>
        </w:tabs>
        <w:numPr>
          <w:ilvl w:val="0"/>
          <w:numId w:val="188"/>
        </w:numPr>
        <w:rPr>
          <w:rFonts w:ascii="Arial" w:cs="Arial" w:eastAsia="Arial" w:hAnsi="Arial"/>
          <w:sz w:val="22"/>
          <w:szCs w:val="22"/>
          <w:color w:val="auto"/>
        </w:rPr>
      </w:pPr>
      <w:r>
        <w:rPr>
          <w:rFonts w:ascii="Arial" w:cs="Arial" w:eastAsia="Arial" w:hAnsi="Arial"/>
          <w:sz w:val="22"/>
          <w:szCs w:val="22"/>
          <w:color w:val="auto"/>
        </w:rPr>
        <w:t>release any Guarantor from any of its obligations under its Note Guarantee or this Indenture if the assets or properties of that Guarantor constitute all or substantially all of the Collateral, except in accordance with the terms of this Indenture;</w:t>
      </w:r>
    </w:p>
    <w:p>
      <w:pPr>
        <w:spacing w:after="0" w:line="213" w:lineRule="exact"/>
        <w:rPr>
          <w:rFonts w:ascii="Arial" w:cs="Arial" w:eastAsia="Arial" w:hAnsi="Arial"/>
          <w:sz w:val="22"/>
          <w:szCs w:val="22"/>
          <w:color w:val="auto"/>
        </w:rPr>
      </w:pPr>
    </w:p>
    <w:p>
      <w:pPr>
        <w:ind w:left="1340" w:hanging="684"/>
        <w:spacing w:after="0"/>
        <w:tabs>
          <w:tab w:leader="none" w:pos="134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amend the provisions of Section 10.03 hereof; or</w:t>
      </w:r>
    </w:p>
    <w:p>
      <w:pPr>
        <w:spacing w:after="0" w:line="233" w:lineRule="exact"/>
        <w:rPr>
          <w:rFonts w:ascii="Arial" w:cs="Arial" w:eastAsia="Arial" w:hAnsi="Arial"/>
          <w:sz w:val="22"/>
          <w:szCs w:val="22"/>
          <w:color w:val="auto"/>
        </w:rPr>
      </w:pPr>
    </w:p>
    <w:p>
      <w:pPr>
        <w:ind w:left="1340" w:hanging="684"/>
        <w:spacing w:after="0"/>
        <w:tabs>
          <w:tab w:leader="none" w:pos="134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make any change in the foregoing amendment and waiver provisions.</w:t>
      </w:r>
    </w:p>
    <w:p>
      <w:pPr>
        <w:spacing w:after="0" w:line="233"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19"/>
          <w:szCs w:val="19"/>
          <w:i w:val="1"/>
          <w:iCs w:val="1"/>
          <w:color w:val="auto"/>
        </w:rPr>
        <w:t>Compliance with Trust Indenture Act.</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Every amendment or supplement to this Indenture or the Notes shall be set forth in a amended or supplemental Indenture that complies with the TIA as then in effect.</w:t>
      </w:r>
    </w:p>
    <w:p>
      <w:pPr>
        <w:spacing w:after="0" w:line="200"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9.04</w:t>
      </w:r>
      <w:r>
        <w:rPr>
          <w:sz w:val="20"/>
          <w:szCs w:val="20"/>
          <w:color w:val="auto"/>
        </w:rPr>
        <w:tab/>
      </w:r>
      <w:r>
        <w:rPr>
          <w:rFonts w:ascii="Arial" w:cs="Arial" w:eastAsia="Arial" w:hAnsi="Arial"/>
          <w:sz w:val="19"/>
          <w:szCs w:val="19"/>
          <w:i w:val="1"/>
          <w:iCs w:val="1"/>
          <w:color w:val="auto"/>
        </w:rPr>
        <w:t>Revocation and Effect of Consents.</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204"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9.05</w:t>
      </w:r>
      <w:r>
        <w:rPr>
          <w:sz w:val="20"/>
          <w:szCs w:val="20"/>
          <w:color w:val="auto"/>
        </w:rPr>
        <w:tab/>
      </w:r>
      <w:r>
        <w:rPr>
          <w:rFonts w:ascii="Arial" w:cs="Arial" w:eastAsia="Arial" w:hAnsi="Arial"/>
          <w:sz w:val="19"/>
          <w:szCs w:val="19"/>
          <w:i w:val="1"/>
          <w:iCs w:val="1"/>
          <w:color w:val="auto"/>
        </w:rPr>
        <w:t>Notation on or Exchange of Notes.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Trustee may place an appropriate notation about an amendment, supplement or waiver on any Note thereafter authenticated. The Issuers in exchange for all Notes may issue and the Trustee shall, upon receipt of an Authentication Order, authenticate new Notes that reflect the amendment, supplement or waiver.</w:t>
      </w:r>
    </w:p>
    <w:p>
      <w:pPr>
        <w:spacing w:after="0" w:line="21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Failure to make the appropriate notation or issue a new Note shall not affect the validity and effect of such amendment, supplement or waiver.</w:t>
      </w:r>
    </w:p>
    <w:p>
      <w:pPr>
        <w:spacing w:after="0" w:line="200"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Section 9.06</w:t>
      </w:r>
      <w:r>
        <w:rPr>
          <w:sz w:val="20"/>
          <w:szCs w:val="20"/>
          <w:color w:val="auto"/>
        </w:rPr>
        <w:tab/>
      </w:r>
      <w:r>
        <w:rPr>
          <w:rFonts w:ascii="Arial" w:cs="Arial" w:eastAsia="Arial" w:hAnsi="Arial"/>
          <w:sz w:val="18"/>
          <w:szCs w:val="18"/>
          <w:i w:val="1"/>
          <w:iCs w:val="1"/>
          <w:color w:val="auto"/>
        </w:rPr>
        <w:t>Trustee to Sign Amendments, etc.</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Trustee shall sign any amended or supplemental indenture authorized pursuant to this Article 9 if the amendment or supplement does not adversely affect the rights, duties, liabilities or immunities of the Trustee. The Issuers and the Guarantors may not sign an amendment or supplemental indenture until their respective Boards of Directors approve it. In executing any amended or supplemental indenture, the Trustee shall be entitled to receive and (subject to Section 7.01 hereof) shall be fully protected in relying upon, in addition to the documents required by Section 14.04 hereof, an Officers’ Certificate and an Opinion of Counsel stating that the execution of such amended or supplemental indenture is authorized or permitted by this Indenture.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COLLATERAL AND SECURITY</w:t>
      </w:r>
    </w:p>
    <w:p>
      <w:pPr>
        <w:spacing w:after="0" w:line="215"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i w:val="1"/>
          <w:iCs w:val="1"/>
          <w:color w:val="auto"/>
        </w:rPr>
        <w:t>Collateral Documents.</w:t>
      </w:r>
    </w:p>
    <w:p>
      <w:pPr>
        <w:spacing w:after="0" w:line="233" w:lineRule="exact"/>
        <w:rPr>
          <w:sz w:val="20"/>
          <w:szCs w:val="20"/>
          <w:color w:val="auto"/>
        </w:rPr>
      </w:pPr>
    </w:p>
    <w:p>
      <w:pPr>
        <w:jc w:val="both"/>
        <w:ind w:firstLine="656"/>
        <w:spacing w:after="0" w:line="269" w:lineRule="auto"/>
        <w:tabs>
          <w:tab w:leader="none" w:pos="1348"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The due and punctual payment of the principal of and interest and premium and Liquidated Damages, if any, on the Notes when and as the same shall be due and payable, whether on an interest payment date, at maturity, by acceleration, repurchase, redemption or otherwise, and interest on the overdue principal of and interest and premium and Liquidated Damages (to the extent permitted by law), if any, on the Notes and performance of all other obligations of the Issuers and the Guarantors to the Holders of Notes or the Trustee under this Indenture and the Notes, according to the terms hereunder or thereunder, are secured as provided in the Collateral Documents which the Issuers and the Guarantors have entered into prior to or simultaneously with the execution of this Indenture (incl uding, without limitation, the Collateral Documents listed on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hereto). Each Holder of Notes, by its acceptance thereof, consents and agrees to the terms of the Collateral Documents (including, without limitation, the provisions providing for foreclosure and release of Collateral and limitations on exercise of rights and remedies) as the same may be in effect or may be amended from time to time in accordance with the terms of this Indenture and the Collateral Documents and authorizes and directs the Trustee to enter into the Collateral Documents and to perform its obligations and exercise its rights thereunder in accordance therewith. The Issuers and Guarantors shall deliver to the Trustee copies of all documents delivered to the Collateral Agent pursuant to the Collateral Documents and the Issuers shall do or cause to be done all such acts and things as may be necessary or proper, or as may be required by the pro visions of the Collateral Documents, to assure and confirm to the Trustee the security interests in the Collateral contemplated hereby, by the Collateral Documents or any part thereof, as from time to time constituted, so as to render the same available (subject to the terms of the Intercreditor Agreement) for the security and benefit of this Indenture, the Notes and the Note Guarantees secured by the Collateral Documents, according to the intent and purposes therein expressed. Subject to the terms of the Intercreditor Agreement, the Issuers shall take, and shall cause the Restricted Subsidiaries that are party to one or more Collateral Documents to take, upon request of the Trustee, any and all actions reasonably required to cause the Collateral Documents to create and maintain, as security for the Obligations of the Issuers hereunder and of the Guarantors under the Note Guarantees, a valid and enforceable perfected Lien of the priority required by the Collateral Documents in and on all the Colla teral, in favor of the Trustee for the benefit of the Holders of Notes, superior to and prior to the rights of all third Persons, in each case, equal and ratable with the Liens securing the obligations under the Credit Agreement and subject to Permitted Liens and the terms of the Intercreditor Agreement.</w:t>
      </w:r>
    </w:p>
    <w:p>
      <w:pPr>
        <w:spacing w:after="0" w:line="200" w:lineRule="exact"/>
        <w:rPr>
          <w:rFonts w:ascii="Arial" w:cs="Arial" w:eastAsia="Arial" w:hAnsi="Arial"/>
          <w:sz w:val="19"/>
          <w:szCs w:val="19"/>
          <w:color w:val="auto"/>
        </w:rPr>
      </w:pPr>
    </w:p>
    <w:p>
      <w:pPr>
        <w:spacing w:after="0" w:line="244" w:lineRule="exact"/>
        <w:rPr>
          <w:rFonts w:ascii="Arial" w:cs="Arial" w:eastAsia="Arial" w:hAnsi="Arial"/>
          <w:sz w:val="19"/>
          <w:szCs w:val="19"/>
          <w:color w:val="auto"/>
        </w:rPr>
      </w:pPr>
    </w:p>
    <w:p>
      <w:pPr>
        <w:jc w:val="both"/>
        <w:ind w:firstLine="656"/>
        <w:spacing w:after="0" w:line="279" w:lineRule="auto"/>
        <w:tabs>
          <w:tab w:leader="none" w:pos="1552" w:val="left"/>
        </w:tabs>
        <w:numPr>
          <w:ilvl w:val="0"/>
          <w:numId w:val="189"/>
        </w:numPr>
        <w:rPr>
          <w:rFonts w:ascii="Arial" w:cs="Arial" w:eastAsia="Arial" w:hAnsi="Arial"/>
          <w:sz w:val="19"/>
          <w:szCs w:val="19"/>
          <w:color w:val="auto"/>
        </w:rPr>
      </w:pPr>
      <w:r>
        <w:rPr>
          <w:rFonts w:ascii="Arial" w:cs="Arial" w:eastAsia="Arial" w:hAnsi="Arial"/>
          <w:sz w:val="19"/>
          <w:szCs w:val="19"/>
          <w:color w:val="auto"/>
        </w:rPr>
        <w:t>Without limiting the generality of the foregoing, each Holder by accepting a Note agrees that, as described in the Deeds of Trust and the Pledge and Security Agreement, each of the Deeds of Trust and Pledge and Security Agreement and any other document or instrument pursuant to which the Issuers or any Affiliate thereof from time to time grants a Lien to the Trustee or the Holders or an agent or representative on their behalf to secure their obligations hereunder (collectively, the “Security Documents”) are “Shared Security Documents,” and that the Trustee is authorized and directed by each Holder to treat and the Trustee and each such Holder agrees that it will treat the same as “Shared Security Documents” under and as defi ned in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32" w:name="page133"/>
    <w:bookmarkEnd w:id="132"/>
    <w:p>
      <w:pPr>
        <w:jc w:val="both"/>
        <w:spacing w:after="0" w:line="269" w:lineRule="auto"/>
        <w:rPr>
          <w:sz w:val="20"/>
          <w:szCs w:val="20"/>
          <w:color w:val="auto"/>
        </w:rPr>
      </w:pPr>
      <w:r>
        <w:rPr>
          <w:rFonts w:ascii="Arial" w:cs="Arial" w:eastAsia="Arial" w:hAnsi="Arial"/>
          <w:sz w:val="19"/>
          <w:szCs w:val="19"/>
          <w:color w:val="auto"/>
        </w:rPr>
        <w:t>the Intercreditor Agreement and subject to the terms thereof for all purposes, including without limitation, for purposes of amending, modifying, varying or waiving any provision thereof, releasing any collateral thereunder, exercising any rights or remedies thereunder, directing the Collateral Agent thereunder to take any action thereunder or with respect thereto, and for purposes of sharing the proceeds of the collateral thereunder with the other First Lien Secured Parties. In furtherance of the foregoing, the Trustee shall (and is hereby authorized to) take or instruct the Collateral Agent thereunder to take such actions under the Security Documents or related thereto as requested by the Required Secured Parties from time to time, and notwithstanding any provision in this Indenture to the contrary, unless all debt secured by the Security Documents has been Discharged, the Trustee will not release or instruct the Collateral Agent thereunder to release any Collateral unless such release has been consented to by each other Project Credit Party or such Collateral has been released from the Lien securing the obligations owed to all other First Lien Secured Parties. The Holders hereby designate and direct the Trustee to designate, and the Trustee hereby designates Deutsche Bank Trust Company Americas as its collateral agent to act as specified in and under the Intercreditor Agreement, this Indenture, the Security Documents and any other such documents or instruments entered into by Deutsche Bank Trust Company Americas (and its successors) as the collateral agent for the benefit of the Trustee and the Holders. In addition, regardless of whether required by the Intercreditor Agreement, each Holder hereby agrees that to the extent that the Holders obtain a recovery under a title insurance policy that insu res the Deeds of Trust, and such recovery would result in the Holders receiving a greater percentage recovery on the Notes (relative to the outstanding principal amount of the Notes) than the corresponding percentage recovery that will be obtained by the other First Lien Secured Parties that are parties to (or whose representative is party to) the Intercreditor Agreement as of the date of this Indenture (after giving effect to Section 8 of the Intercreditor Agreement and the title insurance proceeds received by such other First Lien Secured Parties from their policies of title insurance) in connection with the exercise of remedies or other event or loss that gave rise to the recovery obtained by the Holders, then the Holders will turn over a portion of such proceeds to the Collateral Agent for distribution to such other First Lien Secured Parties in amounts necessary to ensure that each such party receives a similar percentage recovery (relative to the outstanding principal amount of First Lien Se cured Obligations then held by such party) from such proceeds. The Issuers and the Guarantors hereby consent to the foregoing provisions and confirm that the Security Documents are and shall be treated as “Shared Security Documents.” Each Project Credit Party is an express beneficiary of this Section 10.01(b) and the provisions of this Section 10.01(b) may not be amended or modified without the consent of each Project Credit Party.</w:t>
      </w:r>
    </w:p>
    <w:p>
      <w:pPr>
        <w:spacing w:after="0" w:line="200" w:lineRule="exact"/>
        <w:rPr>
          <w:sz w:val="20"/>
          <w:szCs w:val="20"/>
          <w:color w:val="auto"/>
        </w:rPr>
      </w:pPr>
    </w:p>
    <w:p>
      <w:pPr>
        <w:spacing w:after="0" w:line="241"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10.02</w:t>
      </w:r>
      <w:r>
        <w:rPr>
          <w:sz w:val="20"/>
          <w:szCs w:val="20"/>
          <w:color w:val="auto"/>
        </w:rPr>
        <w:tab/>
      </w:r>
      <w:r>
        <w:rPr>
          <w:rFonts w:ascii="Arial" w:cs="Arial" w:eastAsia="Arial" w:hAnsi="Arial"/>
          <w:sz w:val="19"/>
          <w:szCs w:val="19"/>
          <w:i w:val="1"/>
          <w:iCs w:val="1"/>
          <w:color w:val="auto"/>
        </w:rPr>
        <w:t>Recording and Opinions.</w:t>
      </w:r>
    </w:p>
    <w:p>
      <w:pPr>
        <w:spacing w:after="0" w:line="233" w:lineRule="exact"/>
        <w:rPr>
          <w:sz w:val="20"/>
          <w:szCs w:val="20"/>
          <w:color w:val="auto"/>
        </w:rPr>
      </w:pPr>
    </w:p>
    <w:p>
      <w:pPr>
        <w:ind w:firstLine="656"/>
        <w:spacing w:after="0" w:line="251" w:lineRule="auto"/>
        <w:tabs>
          <w:tab w:leader="none" w:pos="1347"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Issuers shall furnish to the Trustee simultaneously with the execution and delivery of this Indenture an Opinion of Counsel either:</w:t>
      </w:r>
    </w:p>
    <w:p>
      <w:pPr>
        <w:spacing w:after="0" w:line="200" w:lineRule="exact"/>
        <w:rPr>
          <w:rFonts w:ascii="Arial" w:cs="Arial" w:eastAsia="Arial" w:hAnsi="Arial"/>
          <w:sz w:val="22"/>
          <w:szCs w:val="22"/>
          <w:color w:val="auto"/>
        </w:rPr>
      </w:pPr>
    </w:p>
    <w:p>
      <w:pPr>
        <w:jc w:val="both"/>
        <w:ind w:left="660" w:firstLine="645"/>
        <w:spacing w:after="0" w:line="238" w:lineRule="auto"/>
        <w:tabs>
          <w:tab w:leader="none" w:pos="2462" w:val="left"/>
        </w:tabs>
        <w:numPr>
          <w:ilvl w:val="1"/>
          <w:numId w:val="190"/>
        </w:numPr>
        <w:rPr>
          <w:rFonts w:ascii="Arial" w:cs="Arial" w:eastAsia="Arial" w:hAnsi="Arial"/>
          <w:sz w:val="22"/>
          <w:szCs w:val="22"/>
          <w:color w:val="auto"/>
        </w:rPr>
      </w:pPr>
      <w:r>
        <w:rPr>
          <w:rFonts w:ascii="Arial" w:cs="Arial" w:eastAsia="Arial" w:hAnsi="Arial"/>
          <w:sz w:val="22"/>
          <w:szCs w:val="22"/>
          <w:color w:val="auto"/>
        </w:rPr>
        <w:t>stating that, in the opinion of such counsel, all action has been taken with respect to the recording, registering and filing of this Indenture, financing statements or other instruments necessary to make effective the Lien intended to be created by the Collateral Documents, and reciting with respect to the security interests in the Collateral, the details of such action;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33" w:name="page134"/>
    <w:bookmarkEnd w:id="133"/>
    <w:p>
      <w:pPr>
        <w:ind w:left="2160" w:hanging="855"/>
        <w:spacing w:after="0"/>
        <w:tabs>
          <w:tab w:leader="none" w:pos="2160" w:val="left"/>
        </w:tabs>
        <w:numPr>
          <w:ilvl w:val="1"/>
          <w:numId w:val="191"/>
        </w:numPr>
        <w:rPr>
          <w:rFonts w:ascii="Arial" w:cs="Arial" w:eastAsia="Arial" w:hAnsi="Arial"/>
          <w:sz w:val="19"/>
          <w:szCs w:val="19"/>
          <w:color w:val="auto"/>
        </w:rPr>
      </w:pPr>
      <w:r>
        <w:rPr>
          <w:rFonts w:ascii="Arial" w:cs="Arial" w:eastAsia="Arial" w:hAnsi="Arial"/>
          <w:sz w:val="19"/>
          <w:szCs w:val="19"/>
          <w:color w:val="auto"/>
        </w:rPr>
        <w:t>stating that, in the opinion of such counsel, no such action is necessary to make such Lien effective.</w:t>
      </w:r>
    </w:p>
    <w:p>
      <w:pPr>
        <w:spacing w:after="0" w:line="267" w:lineRule="exact"/>
        <w:rPr>
          <w:rFonts w:ascii="Arial" w:cs="Arial" w:eastAsia="Arial" w:hAnsi="Arial"/>
          <w:sz w:val="19"/>
          <w:szCs w:val="19"/>
          <w:color w:val="auto"/>
        </w:rPr>
      </w:pPr>
    </w:p>
    <w:p>
      <w:pPr>
        <w:ind w:firstLine="656"/>
        <w:spacing w:after="0" w:line="251" w:lineRule="auto"/>
        <w:tabs>
          <w:tab w:leader="none" w:pos="1355"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Issuers shall furnish to the Trustee within 30 days after April 30 in each year beginning with April 30, 2011, an Opinion of Counsel, dated as of such date, either:</w:t>
      </w:r>
    </w:p>
    <w:p>
      <w:pPr>
        <w:spacing w:after="0" w:line="200" w:lineRule="exact"/>
        <w:rPr>
          <w:rFonts w:ascii="Arial" w:cs="Arial" w:eastAsia="Arial" w:hAnsi="Arial"/>
          <w:sz w:val="22"/>
          <w:szCs w:val="22"/>
          <w:color w:val="auto"/>
        </w:rPr>
      </w:pPr>
    </w:p>
    <w:p>
      <w:pPr>
        <w:jc w:val="both"/>
        <w:ind w:left="660" w:firstLine="645"/>
        <w:spacing w:after="0" w:line="274" w:lineRule="auto"/>
        <w:tabs>
          <w:tab w:leader="none" w:pos="2430" w:val="left"/>
        </w:tabs>
        <w:numPr>
          <w:ilvl w:val="1"/>
          <w:numId w:val="192"/>
        </w:numPr>
        <w:rPr>
          <w:rFonts w:ascii="Arial" w:cs="Arial" w:eastAsia="Arial" w:hAnsi="Arial"/>
          <w:sz w:val="19"/>
          <w:szCs w:val="19"/>
          <w:color w:val="auto"/>
        </w:rPr>
      </w:pPr>
      <w:r>
        <w:rPr>
          <w:rFonts w:ascii="Arial" w:cs="Arial" w:eastAsia="Arial" w:hAnsi="Arial"/>
          <w:sz w:val="19"/>
          <w:szCs w:val="19"/>
          <w:color w:val="auto"/>
        </w:rPr>
        <w:t>(A) stating that, in the opinion of such counsel, action has been taken with respect to the recording, registering, filing, re-recording, re-registering and re-filing of all supplemental indentures, financing statements, continuation statements or other instruments of further assurance as is necessary to maintain the Lien of the Collateral Documents and reciting with respect to the security interests in the Collateral the details of such action or referring to prior Opinions of Counsel in which such details are given, and (B) stating that, in the opinion of such counsel, based on relevant laws as in effect on the date of such Opinion of Counsel, all financing statements and continuation statements have been executed and filed that are necessary as of such dat e and during the succeeding 12 months fully to preserve and protect, to the extent such protection and preservation are possible by filing, the rights of the Holders of Notes and the Trustee hereunder and under the Collateral Documents with respect to the security interests in the Collateral;</w:t>
      </w:r>
    </w:p>
    <w:p>
      <w:pPr>
        <w:spacing w:after="0" w:line="185" w:lineRule="exact"/>
        <w:rPr>
          <w:rFonts w:ascii="Arial" w:cs="Arial" w:eastAsia="Arial" w:hAnsi="Arial"/>
          <w:sz w:val="19"/>
          <w:szCs w:val="19"/>
          <w:color w:val="auto"/>
        </w:rPr>
      </w:pPr>
    </w:p>
    <w:p>
      <w:pPr>
        <w:ind w:left="2480" w:hanging="1175"/>
        <w:spacing w:after="0"/>
        <w:tabs>
          <w:tab w:leader="none" w:pos="2480" w:val="left"/>
        </w:tabs>
        <w:numPr>
          <w:ilvl w:val="1"/>
          <w:numId w:val="192"/>
        </w:numPr>
        <w:rPr>
          <w:rFonts w:ascii="Arial" w:cs="Arial" w:eastAsia="Arial" w:hAnsi="Arial"/>
          <w:sz w:val="19"/>
          <w:szCs w:val="19"/>
          <w:color w:val="auto"/>
        </w:rPr>
      </w:pPr>
      <w:r>
        <w:rPr>
          <w:rFonts w:ascii="Arial" w:cs="Arial" w:eastAsia="Arial" w:hAnsi="Arial"/>
          <w:sz w:val="19"/>
          <w:szCs w:val="19"/>
          <w:color w:val="auto"/>
        </w:rPr>
        <w:t>stating that, in the opinion of such counsel, no such action is necessary to maintain such Lien and</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assignment.</w:t>
      </w:r>
    </w:p>
    <w:p>
      <w:pPr>
        <w:spacing w:after="0" w:line="215" w:lineRule="exact"/>
        <w:rPr>
          <w:rFonts w:ascii="Arial" w:cs="Arial" w:eastAsia="Arial" w:hAnsi="Arial"/>
          <w:sz w:val="19"/>
          <w:szCs w:val="19"/>
          <w:color w:val="auto"/>
        </w:rPr>
      </w:pPr>
    </w:p>
    <w:p>
      <w:pPr>
        <w:ind w:left="1320" w:hanging="664"/>
        <w:spacing w:after="0"/>
        <w:tabs>
          <w:tab w:leader="none" w:pos="13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Issuers shall otherwise comply with the provisions of TIA §314(b).</w:t>
      </w:r>
    </w:p>
    <w:p>
      <w:pPr>
        <w:spacing w:after="0" w:line="233"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10.03</w:t>
      </w:r>
      <w:r>
        <w:rPr>
          <w:sz w:val="20"/>
          <w:szCs w:val="20"/>
          <w:color w:val="auto"/>
        </w:rPr>
        <w:tab/>
      </w:r>
      <w:r>
        <w:rPr>
          <w:rFonts w:ascii="Arial" w:cs="Arial" w:eastAsia="Arial" w:hAnsi="Arial"/>
          <w:sz w:val="19"/>
          <w:szCs w:val="19"/>
          <w:i w:val="1"/>
          <w:iCs w:val="1"/>
          <w:color w:val="auto"/>
        </w:rPr>
        <w:t>Release of Collateral.</w:t>
      </w:r>
    </w:p>
    <w:p>
      <w:pPr>
        <w:spacing w:after="0" w:line="233" w:lineRule="exact"/>
        <w:rPr>
          <w:sz w:val="20"/>
          <w:szCs w:val="20"/>
          <w:color w:val="auto"/>
        </w:rPr>
      </w:pPr>
    </w:p>
    <w:p>
      <w:pPr>
        <w:jc w:val="both"/>
        <w:ind w:firstLine="656"/>
        <w:spacing w:after="0" w:line="244" w:lineRule="auto"/>
        <w:tabs>
          <w:tab w:leader="none" w:pos="1403" w:val="left"/>
        </w:tabs>
        <w:numPr>
          <w:ilvl w:val="0"/>
          <w:numId w:val="193"/>
        </w:numPr>
        <w:rPr>
          <w:rFonts w:ascii="Arial" w:cs="Arial" w:eastAsia="Arial" w:hAnsi="Arial"/>
          <w:sz w:val="21"/>
          <w:szCs w:val="21"/>
          <w:color w:val="auto"/>
        </w:rPr>
      </w:pPr>
      <w:r>
        <w:rPr>
          <w:rFonts w:ascii="Arial" w:cs="Arial" w:eastAsia="Arial" w:hAnsi="Arial"/>
          <w:sz w:val="21"/>
          <w:szCs w:val="21"/>
          <w:color w:val="auto"/>
        </w:rPr>
        <w:t>Subject to Sections 9.02 and 10.01(b), the other provisions of this Section 10.03 and the terms of the Intercreditor Agreement and the other Collateral Documents,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Subject to Sections 9.02 and 10.01(b), Collateral may be released from the Liens and security interests created by the Collateral Documents at any time or from time to time in accordance with the provisions of the Collateral Documents and as provided in this Section 10.03. Subject to the pro visions of the Intercreditor Agreement and this Indenture, upon the request of the Issuers pursuant to an Officers’ Certificate certifying that all terms for release and conditions precedent under this Indenture and under any applicable Collateral Document have been met and specifying (1) the identity of the Collateral to be released and (2) the provisions of this Indenture or the applicable Collateral Document which authorize such release, the Trustee shall release the Liens in favor of the Trustee (at the sole cost and expense of the Issuers) on:</w:t>
      </w:r>
    </w:p>
    <w:p>
      <w:pPr>
        <w:spacing w:after="0" w:line="216" w:lineRule="exact"/>
        <w:rPr>
          <w:rFonts w:ascii="Arial" w:cs="Arial" w:eastAsia="Arial" w:hAnsi="Arial"/>
          <w:sz w:val="21"/>
          <w:szCs w:val="21"/>
          <w:color w:val="auto"/>
        </w:rPr>
      </w:pPr>
    </w:p>
    <w:p>
      <w:pPr>
        <w:jc w:val="both"/>
        <w:ind w:left="660" w:firstLine="645"/>
        <w:spacing w:after="0" w:line="252" w:lineRule="auto"/>
        <w:tabs>
          <w:tab w:leader="none" w:pos="2360" w:val="left"/>
        </w:tabs>
        <w:numPr>
          <w:ilvl w:val="1"/>
          <w:numId w:val="193"/>
        </w:numPr>
        <w:rPr>
          <w:rFonts w:ascii="Arial" w:cs="Arial" w:eastAsia="Arial" w:hAnsi="Arial"/>
          <w:sz w:val="21"/>
          <w:szCs w:val="21"/>
          <w:color w:val="auto"/>
        </w:rPr>
      </w:pPr>
      <w:r>
        <w:rPr>
          <w:rFonts w:ascii="Arial" w:cs="Arial" w:eastAsia="Arial" w:hAnsi="Arial"/>
          <w:sz w:val="21"/>
          <w:szCs w:val="21"/>
          <w:color w:val="auto"/>
        </w:rPr>
        <w:t>all Collateral that is contributed, sold, leased, conveyed, transferred or otherwise disposed of (a) in an Asset Sale, Permitted Dispositions, Permitted Investment or Restricted Payment in accordance with this Indenture and the Collateral Documents, (b) to an Unrestricted Subsidiary of Wynn Las Vegas in accordance with this Indenture and the Collateral Documents or (c) as expressly permitted by the Collateral Documents;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34" w:name="page135"/>
    <w:bookmarkEnd w:id="134"/>
    <w:p>
      <w:pPr>
        <w:jc w:val="both"/>
        <w:ind w:left="660" w:firstLine="645"/>
        <w:spacing w:after="0"/>
        <w:tabs>
          <w:tab w:leader="none" w:pos="2188" w:val="left"/>
        </w:tabs>
        <w:numPr>
          <w:ilvl w:val="1"/>
          <w:numId w:val="194"/>
        </w:numPr>
        <w:rPr>
          <w:rFonts w:ascii="Arial" w:cs="Arial" w:eastAsia="Arial" w:hAnsi="Arial"/>
          <w:sz w:val="22"/>
          <w:szCs w:val="22"/>
          <w:color w:val="auto"/>
        </w:rPr>
      </w:pPr>
      <w:r>
        <w:rPr>
          <w:rFonts w:ascii="Arial" w:cs="Arial" w:eastAsia="Arial" w:hAnsi="Arial"/>
          <w:sz w:val="22"/>
          <w:szCs w:val="22"/>
          <w:color w:val="auto"/>
        </w:rPr>
        <w:t>all Collateral that is condemned, seized or taken by the power of eminent domain or otherwise confiscated pursuant to an Event of Loss; provided that the Net Loss Proceeds, if any, from the Event of Loss are or shall be applied in accordance with Sections 3.10 and 4.16 hereof;</w:t>
      </w:r>
    </w:p>
    <w:p>
      <w:pPr>
        <w:spacing w:after="0" w:line="213" w:lineRule="exact"/>
        <w:rPr>
          <w:rFonts w:ascii="Arial" w:cs="Arial" w:eastAsia="Arial" w:hAnsi="Arial"/>
          <w:sz w:val="22"/>
          <w:szCs w:val="22"/>
          <w:color w:val="auto"/>
        </w:rPr>
      </w:pPr>
    </w:p>
    <w:p>
      <w:pPr>
        <w:ind w:left="660" w:firstLine="645"/>
        <w:spacing w:after="0" w:line="328" w:lineRule="auto"/>
        <w:tabs>
          <w:tab w:leader="none" w:pos="2468" w:val="left"/>
        </w:tabs>
        <w:numPr>
          <w:ilvl w:val="1"/>
          <w:numId w:val="194"/>
        </w:numPr>
        <w:rPr>
          <w:rFonts w:ascii="Arial" w:cs="Arial" w:eastAsia="Arial" w:hAnsi="Arial"/>
          <w:sz w:val="19"/>
          <w:szCs w:val="19"/>
          <w:color w:val="auto"/>
        </w:rPr>
      </w:pPr>
      <w:r>
        <w:rPr>
          <w:rFonts w:ascii="Arial" w:cs="Arial" w:eastAsia="Arial" w:hAnsi="Arial"/>
          <w:sz w:val="19"/>
          <w:szCs w:val="19"/>
          <w:color w:val="auto"/>
        </w:rPr>
        <w:t>all Collateral (except as provided in Articles 8 and 12 of this Indenture) upon Legal Defeasance as provided for in Section 8.02 hereof or satisfaction and discharge of this Indenture as provided for Section 12.01 hereof;</w:t>
      </w:r>
    </w:p>
    <w:p>
      <w:pPr>
        <w:spacing w:after="0" w:line="132" w:lineRule="exact"/>
        <w:rPr>
          <w:rFonts w:ascii="Arial" w:cs="Arial" w:eastAsia="Arial" w:hAnsi="Arial"/>
          <w:sz w:val="19"/>
          <w:szCs w:val="19"/>
          <w:color w:val="auto"/>
        </w:rPr>
      </w:pPr>
    </w:p>
    <w:p>
      <w:pPr>
        <w:ind w:left="660" w:firstLine="645"/>
        <w:spacing w:after="0" w:line="328" w:lineRule="auto"/>
        <w:tabs>
          <w:tab w:leader="none" w:pos="2335" w:val="left"/>
        </w:tabs>
        <w:numPr>
          <w:ilvl w:val="1"/>
          <w:numId w:val="194"/>
        </w:numPr>
        <w:rPr>
          <w:rFonts w:ascii="Arial" w:cs="Arial" w:eastAsia="Arial" w:hAnsi="Arial"/>
          <w:sz w:val="19"/>
          <w:szCs w:val="19"/>
          <w:color w:val="auto"/>
        </w:rPr>
      </w:pPr>
      <w:r>
        <w:rPr>
          <w:rFonts w:ascii="Arial" w:cs="Arial" w:eastAsia="Arial" w:hAnsi="Arial"/>
          <w:sz w:val="19"/>
          <w:szCs w:val="19"/>
          <w:color w:val="auto"/>
        </w:rPr>
        <w:t>all Collateral upon the payment in full in cash in immediately available funds of all Obligations of the Issuers and the Guarantors under this Indenture, the Notes, the Note Guarantees and the Collateral Documents;</w:t>
      </w:r>
    </w:p>
    <w:p>
      <w:pPr>
        <w:spacing w:after="0" w:line="132" w:lineRule="exact"/>
        <w:rPr>
          <w:rFonts w:ascii="Arial" w:cs="Arial" w:eastAsia="Arial" w:hAnsi="Arial"/>
          <w:sz w:val="19"/>
          <w:szCs w:val="19"/>
          <w:color w:val="auto"/>
        </w:rPr>
      </w:pPr>
    </w:p>
    <w:p>
      <w:pPr>
        <w:ind w:left="660" w:firstLine="645"/>
        <w:spacing w:after="0" w:line="251" w:lineRule="auto"/>
        <w:tabs>
          <w:tab w:leader="none" w:pos="238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except as otherwise provided in this Indenture or the Collateral Documents, Collateral of a Guarantor whose Note Guarantee is released or terminated pursuant to the terms of this Indenture;</w:t>
      </w:r>
    </w:p>
    <w:p>
      <w:pPr>
        <w:spacing w:after="0" w:line="200" w:lineRule="exact"/>
        <w:rPr>
          <w:rFonts w:ascii="Arial" w:cs="Arial" w:eastAsia="Arial" w:hAnsi="Arial"/>
          <w:sz w:val="22"/>
          <w:szCs w:val="22"/>
          <w:color w:val="auto"/>
        </w:rPr>
      </w:pPr>
    </w:p>
    <w:p>
      <w:pPr>
        <w:ind w:left="2160" w:hanging="855"/>
        <w:spacing w:after="0"/>
        <w:tabs>
          <w:tab w:leader="none" w:pos="216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the Released Assets;</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Government Transfers consisting of transfers of fee interests in real property;</w:t>
      </w:r>
    </w:p>
    <w:p>
      <w:pPr>
        <w:spacing w:after="0" w:line="233" w:lineRule="exact"/>
        <w:rPr>
          <w:rFonts w:ascii="Arial" w:cs="Arial" w:eastAsia="Arial" w:hAnsi="Arial"/>
          <w:sz w:val="22"/>
          <w:szCs w:val="22"/>
          <w:color w:val="auto"/>
        </w:rPr>
      </w:pPr>
    </w:p>
    <w:p>
      <w:pPr>
        <w:jc w:val="both"/>
        <w:ind w:left="660" w:firstLine="645"/>
        <w:spacing w:after="0" w:line="236" w:lineRule="auto"/>
        <w:tabs>
          <w:tab w:leader="none" w:pos="2245" w:val="left"/>
        </w:tabs>
        <w:numPr>
          <w:ilvl w:val="1"/>
          <w:numId w:val="194"/>
        </w:numPr>
        <w:rPr>
          <w:rFonts w:ascii="Arial" w:cs="Arial" w:eastAsia="Arial" w:hAnsi="Arial"/>
          <w:sz w:val="22"/>
          <w:szCs w:val="22"/>
          <w:color w:val="auto"/>
        </w:rPr>
      </w:pPr>
      <w:r>
        <w:rPr>
          <w:rFonts w:ascii="Arial" w:cs="Arial" w:eastAsia="Arial" w:hAnsi="Arial"/>
          <w:sz w:val="22"/>
          <w:szCs w:val="22"/>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214" w:lineRule="exact"/>
        <w:rPr>
          <w:rFonts w:ascii="Arial" w:cs="Arial" w:eastAsia="Arial" w:hAnsi="Arial"/>
          <w:sz w:val="22"/>
          <w:szCs w:val="22"/>
          <w:color w:val="auto"/>
        </w:rPr>
      </w:pPr>
    </w:p>
    <w:p>
      <w:pPr>
        <w:ind w:left="660" w:firstLine="645"/>
        <w:spacing w:after="0" w:line="251" w:lineRule="auto"/>
        <w:tabs>
          <w:tab w:leader="none" w:pos="2194" w:val="left"/>
        </w:tabs>
        <w:numPr>
          <w:ilvl w:val="1"/>
          <w:numId w:val="194"/>
        </w:numPr>
        <w:rPr>
          <w:rFonts w:ascii="Arial" w:cs="Arial" w:eastAsia="Arial" w:hAnsi="Arial"/>
          <w:sz w:val="22"/>
          <w:szCs w:val="22"/>
          <w:color w:val="auto"/>
        </w:rPr>
      </w:pPr>
      <w:r>
        <w:rPr>
          <w:rFonts w:ascii="Arial" w:cs="Arial" w:eastAsia="Arial" w:hAnsi="Arial"/>
          <w:sz w:val="22"/>
          <w:szCs w:val="22"/>
          <w:color w:val="auto"/>
        </w:rPr>
        <w:t>any Water Rights covered by or relating to any water permits so long as such Water Rights are covered by or related to other water permits owned by Wynn Las Vegas or any of its Restricted Subsidiaries.</w:t>
      </w:r>
    </w:p>
    <w:p>
      <w:pPr>
        <w:spacing w:after="0" w:line="200" w:lineRule="exact"/>
        <w:rPr>
          <w:rFonts w:ascii="Arial" w:cs="Arial" w:eastAsia="Arial" w:hAnsi="Arial"/>
          <w:sz w:val="22"/>
          <w:szCs w:val="22"/>
          <w:color w:val="auto"/>
        </w:rPr>
      </w:pPr>
    </w:p>
    <w:p>
      <w:pPr>
        <w:jc w:val="both"/>
        <w:ind w:firstLine="656"/>
        <w:spacing w:after="0" w:line="297" w:lineRule="auto"/>
        <w:tabs>
          <w:tab w:leader="none" w:pos="1377"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Trustee shall (i) release (at the sole cost and expense of the Issuers) the Liens granted by Wynn Las Vegas and the Restricted Subsidiaries in favor of the Trustee for the benefit of the Holders on all of the Collateral, including the Golf Course Land and (ii) permit the termination of the Golf Course Lease and the Access Easement Agreement, so long as:</w:t>
      </w:r>
    </w:p>
    <w:p>
      <w:pPr>
        <w:spacing w:after="0" w:line="161" w:lineRule="exact"/>
        <w:rPr>
          <w:rFonts w:ascii="Arial" w:cs="Arial" w:eastAsia="Arial" w:hAnsi="Arial"/>
          <w:sz w:val="19"/>
          <w:szCs w:val="19"/>
          <w:color w:val="auto"/>
        </w:rPr>
      </w:pPr>
    </w:p>
    <w:p>
      <w:pPr>
        <w:jc w:val="both"/>
        <w:ind w:left="660" w:firstLine="645"/>
        <w:spacing w:after="0" w:line="277" w:lineRule="auto"/>
        <w:tabs>
          <w:tab w:leader="none" w:pos="2298" w:val="left"/>
        </w:tabs>
        <w:numPr>
          <w:ilvl w:val="1"/>
          <w:numId w:val="195"/>
        </w:numPr>
        <w:rPr>
          <w:rFonts w:ascii="Arial" w:cs="Arial" w:eastAsia="Arial" w:hAnsi="Arial"/>
          <w:sz w:val="19"/>
          <w:szCs w:val="19"/>
          <w:color w:val="auto"/>
        </w:rPr>
      </w:pPr>
      <w:r>
        <w:rPr>
          <w:rFonts w:ascii="Arial" w:cs="Arial" w:eastAsia="Arial" w:hAnsi="Arial"/>
          <w:sz w:val="19"/>
          <w:szCs w:val="19"/>
          <w:color w:val="auto"/>
        </w:rPr>
        <w:t>the lenders under the Credit Agreement release their first Liens on all of the Collateral (provided that it shall not be deemed to be a release of the first priority Lien requiring the automatic release of the Trustee’s Liens (for the benefit of the Holders) if the release of the first priority Liens securing the Credit Agreement is the result of an extension, refinancing, renewal, replacement, amendment and restatement, restatement, defeasance or refunding (collectively, a “</w:t>
      </w:r>
      <w:r>
        <w:rPr>
          <w:rFonts w:ascii="Arial" w:cs="Arial" w:eastAsia="Arial" w:hAnsi="Arial"/>
          <w:sz w:val="19"/>
          <w:szCs w:val="19"/>
          <w:i w:val="1"/>
          <w:iCs w:val="1"/>
          <w:u w:val="single" w:color="auto"/>
          <w:color w:val="auto"/>
        </w:rPr>
        <w:t>Refinancing</w:t>
      </w:r>
      <w:r>
        <w:rPr>
          <w:rFonts w:ascii="Arial" w:cs="Arial" w:eastAsia="Arial" w:hAnsi="Arial"/>
          <w:sz w:val="19"/>
          <w:szCs w:val="19"/>
          <w:color w:val="auto"/>
        </w:rPr>
        <w:t>”) of the Credit Agreement and as a result of which the first priority Liens in favor of the administrative agent (for the benefit of the lenders under the Credit Agreement) a re terminated and/ or replaced with Liens in favor of the lenders or holders of such refinancing Indebtedness (or any agent on their behalf));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35" w:name="page136"/>
    <w:bookmarkEnd w:id="135"/>
    <w:p>
      <w:pPr>
        <w:ind w:left="2160" w:hanging="855"/>
        <w:spacing w:after="0"/>
        <w:tabs>
          <w:tab w:leader="none" w:pos="216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w:t>
      </w:r>
    </w:p>
    <w:p>
      <w:pPr>
        <w:spacing w:after="0" w:line="233" w:lineRule="exact"/>
        <w:rPr>
          <w:rFonts w:ascii="Arial" w:cs="Arial" w:eastAsia="Arial" w:hAnsi="Arial"/>
          <w:sz w:val="22"/>
          <w:szCs w:val="22"/>
          <w:color w:val="auto"/>
        </w:rPr>
      </w:pPr>
    </w:p>
    <w:p>
      <w:pPr>
        <w:jc w:val="both"/>
        <w:ind w:left="660" w:firstLine="645"/>
        <w:spacing w:after="0"/>
        <w:tabs>
          <w:tab w:leader="none" w:pos="2192"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lenders under all other outstanding secured Indebtedness (other than Indebtedness incurred pursuant to clause (7) of the definition of Permitted Debt) that is secured by any Collateral release their security interest in such Collateral; and</w:t>
      </w:r>
    </w:p>
    <w:p>
      <w:pPr>
        <w:spacing w:after="0" w:line="213" w:lineRule="exact"/>
        <w:rPr>
          <w:rFonts w:ascii="Arial" w:cs="Arial" w:eastAsia="Arial" w:hAnsi="Arial"/>
          <w:sz w:val="22"/>
          <w:szCs w:val="22"/>
          <w:color w:val="auto"/>
        </w:rPr>
      </w:pPr>
    </w:p>
    <w:p>
      <w:pPr>
        <w:ind w:left="2240" w:hanging="935"/>
        <w:spacing w:after="0"/>
        <w:tabs>
          <w:tab w:leader="none" w:pos="224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Wynn Las Vegas delivers an Officers’ Certificate to the Trustee confirming that the conditions in clauses</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(1), (2) and (3) of this Section 10.03(b) have been satisfied.</w:t>
      </w:r>
    </w:p>
    <w:p>
      <w:pPr>
        <w:spacing w:after="0" w:line="215" w:lineRule="exact"/>
        <w:rPr>
          <w:sz w:val="20"/>
          <w:szCs w:val="20"/>
          <w:color w:val="auto"/>
        </w:rPr>
      </w:pPr>
    </w:p>
    <w:p>
      <w:pPr>
        <w:jc w:val="both"/>
        <w:ind w:left="660" w:firstLine="648"/>
        <w:spacing w:after="0"/>
        <w:rPr>
          <w:sz w:val="20"/>
          <w:szCs w:val="20"/>
          <w:color w:val="auto"/>
        </w:rPr>
      </w:pPr>
      <w:r>
        <w:rPr>
          <w:rFonts w:ascii="Arial" w:cs="Arial" w:eastAsia="Arial" w:hAnsi="Arial"/>
          <w:sz w:val="22"/>
          <w:szCs w:val="22"/>
          <w:color w:val="auto"/>
        </w:rPr>
        <w:t>In addition, subject to the terms of the Intercreditor Agreement and Section 10.01(b) hereof, the Holders’ security interest in all or substantially all of the Collateral may be released at any time with the consent of the Holders of 95% of the aggregate principal amount of the Notes then outstanding.</w:t>
      </w:r>
    </w:p>
    <w:p>
      <w:pPr>
        <w:spacing w:after="0" w:line="213" w:lineRule="exact"/>
        <w:rPr>
          <w:sz w:val="20"/>
          <w:szCs w:val="20"/>
          <w:color w:val="auto"/>
        </w:rPr>
      </w:pPr>
    </w:p>
    <w:p>
      <w:pPr>
        <w:jc w:val="both"/>
        <w:ind w:left="660" w:firstLine="648"/>
        <w:spacing w:after="0" w:line="251" w:lineRule="auto"/>
        <w:rPr>
          <w:sz w:val="20"/>
          <w:szCs w:val="20"/>
          <w:color w:val="auto"/>
        </w:rPr>
      </w:pPr>
      <w:r>
        <w:rPr>
          <w:rFonts w:ascii="Arial" w:cs="Arial" w:eastAsia="Arial" w:hAnsi="Arial"/>
          <w:sz w:val="22"/>
          <w:szCs w:val="22"/>
          <w:color w:val="auto"/>
        </w:rPr>
        <w:t>Upon any such release of those security interests, the disposition or transfer of such assets shall no longer be subject to any of the restrictive covenants in this Indenture.</w:t>
      </w:r>
    </w:p>
    <w:p>
      <w:pPr>
        <w:spacing w:after="0" w:line="200"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9"/>
          <w:szCs w:val="19"/>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after the Holders’ security interests in all of the Collateral has been released as set forth in this Section 10.03(b), the Issuers or the Guarantors, as the case may be, shall be required to grant security interests on the same assets to secure the Issuers’ obligations under the Notes and the Guarantors’ obligations under the Note Guarantees on an equal and ratable basis with such other Indebtedness, so long as such other Indebtedness is so secured.</w:t>
      </w:r>
    </w:p>
    <w:p>
      <w:pPr>
        <w:spacing w:after="0" w:line="178" w:lineRule="exact"/>
        <w:rPr>
          <w:sz w:val="20"/>
          <w:szCs w:val="20"/>
          <w:color w:val="auto"/>
        </w:rPr>
      </w:pPr>
    </w:p>
    <w:p>
      <w:pPr>
        <w:jc w:val="both"/>
        <w:ind w:firstLine="656"/>
        <w:spacing w:after="0" w:line="297" w:lineRule="auto"/>
        <w:tabs>
          <w:tab w:leader="none" w:pos="1369"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The Trustee shall (i) release (at the sole cost and expense of the Issuers) the Liens granted by Wynn Las Vegas and the Restricted Subsidiaries in favor of the Trustee for the benefit of the Holders on all of the Golf Course Land (and the related Water Rights) and (ii) permit the termination of the Golf Course Lease and the Access Easement Agreement, so long as:</w:t>
      </w:r>
    </w:p>
    <w:p>
      <w:pPr>
        <w:spacing w:after="0" w:line="161" w:lineRule="exact"/>
        <w:rPr>
          <w:rFonts w:ascii="Arial" w:cs="Arial" w:eastAsia="Arial" w:hAnsi="Arial"/>
          <w:sz w:val="19"/>
          <w:szCs w:val="19"/>
          <w:color w:val="auto"/>
        </w:rPr>
      </w:pPr>
    </w:p>
    <w:p>
      <w:pPr>
        <w:ind w:left="2280" w:hanging="975"/>
        <w:spacing w:after="0"/>
        <w:tabs>
          <w:tab w:leader="none" w:pos="2280" w:val="left"/>
        </w:tabs>
        <w:numPr>
          <w:ilvl w:val="1"/>
          <w:numId w:val="197"/>
        </w:numPr>
        <w:rPr>
          <w:rFonts w:ascii="Arial" w:cs="Arial" w:eastAsia="Arial" w:hAnsi="Arial"/>
          <w:sz w:val="19"/>
          <w:szCs w:val="19"/>
          <w:color w:val="auto"/>
        </w:rPr>
      </w:pPr>
      <w:r>
        <w:rPr>
          <w:rFonts w:ascii="Arial" w:cs="Arial" w:eastAsia="Arial" w:hAnsi="Arial"/>
          <w:sz w:val="19"/>
          <w:szCs w:val="19"/>
          <w:color w:val="auto"/>
        </w:rPr>
        <w:t>no Default or Event of Default exists or is continuing immediately prior to or after giving effect to such</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release,</w:t>
      </w:r>
    </w:p>
    <w:p>
      <w:pPr>
        <w:spacing w:after="0" w:line="215" w:lineRule="exact"/>
        <w:rPr>
          <w:rFonts w:ascii="Arial" w:cs="Arial" w:eastAsia="Arial" w:hAnsi="Arial"/>
          <w:sz w:val="19"/>
          <w:szCs w:val="19"/>
          <w:color w:val="auto"/>
        </w:rPr>
      </w:pPr>
    </w:p>
    <w:p>
      <w:pPr>
        <w:jc w:val="both"/>
        <w:ind w:left="660" w:firstLine="645"/>
        <w:spacing w:after="0" w:line="279" w:lineRule="auto"/>
        <w:tabs>
          <w:tab w:leader="none" w:pos="2263" w:val="left"/>
        </w:tabs>
        <w:numPr>
          <w:ilvl w:val="1"/>
          <w:numId w:val="197"/>
        </w:numPr>
        <w:rPr>
          <w:rFonts w:ascii="Arial" w:cs="Arial" w:eastAsia="Arial" w:hAnsi="Arial"/>
          <w:sz w:val="19"/>
          <w:szCs w:val="19"/>
          <w:color w:val="auto"/>
        </w:rPr>
      </w:pPr>
      <w:r>
        <w:rPr>
          <w:rFonts w:ascii="Arial" w:cs="Arial" w:eastAsia="Arial" w:hAnsi="Arial"/>
          <w:sz w:val="19"/>
          <w:szCs w:val="19"/>
          <w:color w:val="auto"/>
        </w:rPr>
        <w:t>the lenders under the Credit Agreement concurrently release their first priority Liens on the Golf Course Land (provided that it shall not be deemed to be a release of the first priority Liens requiring the automatic release of the Trustee’s Liens (for the benefit of the 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 or replaced with Liens in favor of the lenders or holders of such refinancing Indebtedness (or any agent on their behalf)),</w:t>
      </w:r>
    </w:p>
    <w:p>
      <w:pPr>
        <w:spacing w:after="0" w:line="177" w:lineRule="exact"/>
        <w:rPr>
          <w:rFonts w:ascii="Arial" w:cs="Arial" w:eastAsia="Arial" w:hAnsi="Arial"/>
          <w:sz w:val="19"/>
          <w:szCs w:val="19"/>
          <w:color w:val="auto"/>
        </w:rPr>
      </w:pPr>
    </w:p>
    <w:p>
      <w:pPr>
        <w:ind w:left="660" w:firstLine="645"/>
        <w:spacing w:after="0" w:line="251" w:lineRule="auto"/>
        <w:tabs>
          <w:tab w:leader="none" w:pos="2245" w:val="left"/>
        </w:tabs>
        <w:numPr>
          <w:ilvl w:val="1"/>
          <w:numId w:val="197"/>
        </w:numPr>
        <w:rPr>
          <w:rFonts w:ascii="Arial" w:cs="Arial" w:eastAsia="Arial" w:hAnsi="Arial"/>
          <w:sz w:val="22"/>
          <w:szCs w:val="22"/>
          <w:color w:val="auto"/>
        </w:rPr>
      </w:pPr>
      <w:r>
        <w:rPr>
          <w:rFonts w:ascii="Arial" w:cs="Arial" w:eastAsia="Arial" w:hAnsi="Arial"/>
          <w:sz w:val="22"/>
          <w:szCs w:val="22"/>
          <w:color w:val="auto"/>
        </w:rPr>
        <w:t>immediately prior to the release of the security interest, and after giving pro forma effect to such release, Wynn Las Vegas’ and its Restricted Subsidiaries’ total</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36" w:name="page137"/>
    <w:bookmarkEnd w:id="136"/>
    <w:p>
      <w:pPr>
        <w:ind w:left="660"/>
        <w:spacing w:after="0" w:line="251" w:lineRule="auto"/>
        <w:rPr>
          <w:sz w:val="20"/>
          <w:szCs w:val="20"/>
          <w:color w:val="auto"/>
        </w:rPr>
      </w:pPr>
      <w:r>
        <w:rPr>
          <w:rFonts w:ascii="Arial" w:cs="Arial" w:eastAsia="Arial" w:hAnsi="Arial"/>
          <w:sz w:val="22"/>
          <w:szCs w:val="22"/>
          <w:color w:val="auto"/>
        </w:rPr>
        <w:t>debt does not exceed 6.5 times Consolidated EBITDA for the four full fiscal quarters immediately preceding such release; and</w:t>
      </w:r>
    </w:p>
    <w:p>
      <w:pPr>
        <w:spacing w:after="0" w:line="200" w:lineRule="exact"/>
        <w:rPr>
          <w:sz w:val="20"/>
          <w:szCs w:val="20"/>
          <w:color w:val="auto"/>
        </w:rPr>
      </w:pPr>
    </w:p>
    <w:p>
      <w:pPr>
        <w:ind w:left="660" w:firstLine="645"/>
        <w:spacing w:after="0" w:line="328" w:lineRule="auto"/>
        <w:tabs>
          <w:tab w:leader="none" w:pos="225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Wynn Las Vegas delivers an Officers’ Certificate (including supporting calculations in reasonable detail) to the Trustee confirming that the conditions in clauses (1), (2) and (3) of this Section 10.03(c) have been satisfied.</w:t>
      </w:r>
    </w:p>
    <w:p>
      <w:pPr>
        <w:spacing w:after="0" w:line="132" w:lineRule="exact"/>
        <w:rPr>
          <w:sz w:val="20"/>
          <w:szCs w:val="20"/>
          <w:color w:val="auto"/>
        </w:rPr>
      </w:pPr>
    </w:p>
    <w:p>
      <w:pPr>
        <w:jc w:val="both"/>
        <w:ind w:left="660" w:firstLine="648"/>
        <w:spacing w:after="0" w:line="238" w:lineRule="auto"/>
        <w:rPr>
          <w:sz w:val="20"/>
          <w:szCs w:val="20"/>
          <w:color w:val="auto"/>
        </w:rPr>
      </w:pPr>
      <w:r>
        <w:rPr>
          <w:rFonts w:ascii="Arial" w:cs="Arial" w:eastAsia="Arial" w:hAnsi="Arial"/>
          <w:sz w:val="22"/>
          <w:szCs w:val="22"/>
          <w:color w:val="auto"/>
        </w:rPr>
        <w:t>Notwithstanding the foregoing, if Wynn Las Vegas incurs debt to finance the project costs related to the building of a project on the Golf Course Land (the “</w:t>
      </w:r>
      <w:r>
        <w:rPr>
          <w:rFonts w:ascii="Arial" w:cs="Arial" w:eastAsia="Arial" w:hAnsi="Arial"/>
          <w:sz w:val="22"/>
          <w:szCs w:val="22"/>
          <w:i w:val="1"/>
          <w:iCs w:val="1"/>
          <w:u w:val="single" w:color="auto"/>
          <w:color w:val="auto"/>
        </w:rPr>
        <w:t>Phase III Project</w:t>
      </w:r>
      <w:r>
        <w:rPr>
          <w:rFonts w:ascii="Arial" w:cs="Arial" w:eastAsia="Arial" w:hAnsi="Arial"/>
          <w:sz w:val="22"/>
          <w:szCs w:val="22"/>
          <w:color w:val="auto"/>
        </w:rPr>
        <w:t>”) pursuant to clause (8) of Section 4.09(b) hereof, then the security interest in the Golf Course Land may not be released without first obtaining the consent of 90% of the Holders of the Notes.</w:t>
      </w:r>
    </w:p>
    <w:p>
      <w:pPr>
        <w:spacing w:after="0" w:line="212" w:lineRule="exact"/>
        <w:rPr>
          <w:sz w:val="20"/>
          <w:szCs w:val="20"/>
          <w:color w:val="auto"/>
        </w:rPr>
      </w:pPr>
    </w:p>
    <w:p>
      <w:pPr>
        <w:jc w:val="both"/>
        <w:ind w:left="660" w:firstLine="648"/>
        <w:spacing w:after="0" w:line="251" w:lineRule="auto"/>
        <w:rPr>
          <w:sz w:val="20"/>
          <w:szCs w:val="20"/>
          <w:color w:val="auto"/>
        </w:rPr>
      </w:pPr>
      <w:r>
        <w:rPr>
          <w:rFonts w:ascii="Arial" w:cs="Arial" w:eastAsia="Arial" w:hAnsi="Arial"/>
          <w:sz w:val="22"/>
          <w:szCs w:val="22"/>
          <w:color w:val="auto"/>
        </w:rPr>
        <w:t>Upon any such release of those security interests, the disposition or transfer of such assets shall no longer be subject to any of the restrictive covenants in this Indenture.</w:t>
      </w:r>
    </w:p>
    <w:p>
      <w:pPr>
        <w:spacing w:after="0" w:line="200" w:lineRule="exact"/>
        <w:rPr>
          <w:sz w:val="20"/>
          <w:szCs w:val="20"/>
          <w:color w:val="auto"/>
        </w:rPr>
      </w:pPr>
    </w:p>
    <w:p>
      <w:pPr>
        <w:jc w:val="both"/>
        <w:ind w:firstLine="656"/>
        <w:spacing w:after="0" w:line="243" w:lineRule="auto"/>
        <w:tabs>
          <w:tab w:leader="none" w:pos="1377" w:val="left"/>
        </w:tabs>
        <w:numPr>
          <w:ilvl w:val="0"/>
          <w:numId w:val="199"/>
        </w:numPr>
        <w:rPr>
          <w:rFonts w:ascii="Arial" w:cs="Arial" w:eastAsia="Arial" w:hAnsi="Arial"/>
          <w:sz w:val="21"/>
          <w:szCs w:val="21"/>
          <w:color w:val="auto"/>
        </w:rPr>
      </w:pPr>
      <w:r>
        <w:rPr>
          <w:rFonts w:ascii="Arial" w:cs="Arial" w:eastAsia="Arial" w:hAnsi="Arial"/>
          <w:sz w:val="21"/>
          <w:szCs w:val="21"/>
          <w:color w:val="auto"/>
        </w:rPr>
        <w:t>The Trustee shall (i) release (at the sole cost and expense of the Issuers) the Liens granted by Wynn Las Vegas and the Restricted Subsidiaries in favor of the Trustee for the benefit of the Holders in the Home Site Land and (ii) permit the amendment of the Golf Course Lease and the Access Easement Agreement to contemplate the release of the Home Site Land, if the lenders under the Credit Agreement concurrently release their first priority Liens on the Home Site Land, so long as no Default or Event of Default exists or is continuing immediately prior to or after giving effect to such release; provided that it shall not be deemed to be a release of such first priority Liens requiring the release by the Trustee of its Liens (for the benefit of the Holders) on the Home Site Land i f the release of such first priority Liens is as a result of a Refinancing of the Credit Agreement, as a result of which the first priority Liens in favor of the administrative agent (for the benefit of the lenders under the Credit Agreement) are terminated and/ or replaced with Liens in favor of the lenders or holders of such refinancing Indebtedness (or any agent on their behalf). In the event that, following the automatic release of the Trustee’s Liens (for the benefit of the Holders) in the Home Site Land, Wynn Las Vegas or any of the Restricted Subsidiaries grants a Lien on any or all of the Home Site Land to secure other Indebtedness or any Guarantee thereof, such Person shall concurrently grant a Lien on such portions of the Home Site Land in favor of the Trustee for the benefit of the Holders to secure the Notes (or, if such Person is a Guarantor, its Note Guarantee); provided that the Lien in favor of the Trustee for the benefit of the Holders shall be a first priority Lien pari pas su with the Liens securing in favor of the lenders under the Credit Agreement, subject only to other Permitted Liens and the terms of the Intercreditor Agreement).</w:t>
      </w:r>
    </w:p>
    <w:p>
      <w:pPr>
        <w:spacing w:after="0" w:line="220" w:lineRule="exact"/>
        <w:rPr>
          <w:rFonts w:ascii="Arial" w:cs="Arial" w:eastAsia="Arial" w:hAnsi="Arial"/>
          <w:sz w:val="21"/>
          <w:szCs w:val="21"/>
          <w:color w:val="auto"/>
        </w:rPr>
      </w:pPr>
    </w:p>
    <w:p>
      <w:pPr>
        <w:jc w:val="both"/>
        <w:ind w:firstLine="656"/>
        <w:spacing w:after="0" w:line="287" w:lineRule="auto"/>
        <w:tabs>
          <w:tab w:leader="none" w:pos="1312"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Trustee shall (i) release (at the sole cost and expense of the Issuers) the Liens granted by Wynn Las Vegas and the Restricted Subsidiaries in favor of the Trustee for the benefit of the Holders in two acres of the Golf Course Land in order to permit the construction of a personal residence for Stephen A. Wynn and (ii) permit the amendment of the Golf Course Lease and the Access Easement Agreement to contemplate the release of the Wynn Home Site Land, so long as:</w:t>
      </w:r>
    </w:p>
    <w:p>
      <w:pPr>
        <w:spacing w:after="0" w:line="170" w:lineRule="exact"/>
        <w:rPr>
          <w:rFonts w:ascii="Arial" w:cs="Arial" w:eastAsia="Arial" w:hAnsi="Arial"/>
          <w:sz w:val="19"/>
          <w:szCs w:val="19"/>
          <w:color w:val="auto"/>
        </w:rPr>
      </w:pPr>
    </w:p>
    <w:p>
      <w:pPr>
        <w:ind w:left="2300" w:hanging="995"/>
        <w:spacing w:after="0"/>
        <w:tabs>
          <w:tab w:leader="none" w:pos="2300" w:val="left"/>
        </w:tabs>
        <w:numPr>
          <w:ilvl w:val="1"/>
          <w:numId w:val="199"/>
        </w:numPr>
        <w:rPr>
          <w:rFonts w:ascii="Arial" w:cs="Arial" w:eastAsia="Arial" w:hAnsi="Arial"/>
          <w:sz w:val="19"/>
          <w:szCs w:val="19"/>
          <w:color w:val="auto"/>
        </w:rPr>
      </w:pPr>
      <w:r>
        <w:rPr>
          <w:rFonts w:ascii="Arial" w:cs="Arial" w:eastAsia="Arial" w:hAnsi="Arial"/>
          <w:sz w:val="19"/>
          <w:szCs w:val="19"/>
          <w:color w:val="auto"/>
        </w:rPr>
        <w:t>no Default or Event of Default exists or is continuing immediately prior to or after giving effect to that</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release,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37" w:name="page138"/>
    <w:bookmarkEnd w:id="137"/>
    <w:p>
      <w:pPr>
        <w:ind w:left="660" w:firstLine="645"/>
        <w:spacing w:after="0" w:line="328" w:lineRule="auto"/>
        <w:tabs>
          <w:tab w:leader="none" w:pos="2186" w:val="left"/>
        </w:tabs>
        <w:numPr>
          <w:ilvl w:val="1"/>
          <w:numId w:val="200"/>
        </w:numPr>
        <w:rPr>
          <w:rFonts w:ascii="Arial" w:cs="Arial" w:eastAsia="Arial" w:hAnsi="Arial"/>
          <w:sz w:val="19"/>
          <w:szCs w:val="19"/>
          <w:color w:val="auto"/>
        </w:rPr>
      </w:pPr>
      <w:r>
        <w:rPr>
          <w:rFonts w:ascii="Arial" w:cs="Arial" w:eastAsia="Arial" w:hAnsi="Arial"/>
          <w:sz w:val="19"/>
          <w:szCs w:val="19"/>
          <w:color w:val="auto"/>
        </w:rPr>
        <w:t>the cash purchase price paid by Stephen A. Wynn in immediately available funds for the Wynn Home Site Land prior to the release of such Liens shall not be less than the then Fair Market Value of the Wynn Home Site Land,</w:t>
      </w:r>
    </w:p>
    <w:p>
      <w:pPr>
        <w:spacing w:after="0" w:line="132" w:lineRule="exact"/>
        <w:rPr>
          <w:rFonts w:ascii="Arial" w:cs="Arial" w:eastAsia="Arial" w:hAnsi="Arial"/>
          <w:sz w:val="19"/>
          <w:szCs w:val="19"/>
          <w:color w:val="auto"/>
        </w:rPr>
      </w:pPr>
    </w:p>
    <w:p>
      <w:pPr>
        <w:ind w:left="2160" w:hanging="855"/>
        <w:spacing w:after="0"/>
        <w:tabs>
          <w:tab w:leader="none" w:pos="216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the purchase price is paid directly to Wynn Golf,</w:t>
      </w:r>
    </w:p>
    <w:p>
      <w:pPr>
        <w:spacing w:after="0" w:line="233" w:lineRule="exact"/>
        <w:rPr>
          <w:rFonts w:ascii="Arial" w:cs="Arial" w:eastAsia="Arial" w:hAnsi="Arial"/>
          <w:sz w:val="22"/>
          <w:szCs w:val="22"/>
          <w:color w:val="auto"/>
        </w:rPr>
      </w:pPr>
    </w:p>
    <w:p>
      <w:pPr>
        <w:jc w:val="both"/>
        <w:ind w:left="660" w:firstLine="645"/>
        <w:spacing w:after="0"/>
        <w:tabs>
          <w:tab w:leader="none" w:pos="2297" w:val="left"/>
        </w:tabs>
        <w:numPr>
          <w:ilvl w:val="1"/>
          <w:numId w:val="200"/>
        </w:numPr>
        <w:rPr>
          <w:rFonts w:ascii="Arial" w:cs="Arial" w:eastAsia="Arial" w:hAnsi="Arial"/>
          <w:sz w:val="22"/>
          <w:szCs w:val="22"/>
          <w:color w:val="auto"/>
        </w:rPr>
      </w:pPr>
      <w:r>
        <w:rPr>
          <w:rFonts w:ascii="Arial" w:cs="Arial" w:eastAsia="Arial" w:hAnsi="Arial"/>
          <w:sz w:val="22"/>
          <w:szCs w:val="22"/>
          <w:color w:val="auto"/>
        </w:rPr>
        <w:t>the construction of Stephen A. Wynn’s personal residence shall not materially interfere with the design, construction, operation or use of the remainder of the Golf Course Land and otherwise could not reasonably be expected to materially impair the overall value of the Projects,</w:t>
      </w:r>
    </w:p>
    <w:p>
      <w:pPr>
        <w:spacing w:after="0" w:line="213" w:lineRule="exact"/>
        <w:rPr>
          <w:rFonts w:ascii="Arial" w:cs="Arial" w:eastAsia="Arial" w:hAnsi="Arial"/>
          <w:sz w:val="22"/>
          <w:szCs w:val="22"/>
          <w:color w:val="auto"/>
        </w:rPr>
      </w:pPr>
    </w:p>
    <w:p>
      <w:pPr>
        <w:ind w:left="2160" w:hanging="855"/>
        <w:spacing w:after="0"/>
        <w:tabs>
          <w:tab w:leader="none" w:pos="2160" w:val="left"/>
        </w:tabs>
        <w:numPr>
          <w:ilvl w:val="1"/>
          <w:numId w:val="200"/>
        </w:numPr>
        <w:rPr>
          <w:rFonts w:ascii="Arial" w:cs="Arial" w:eastAsia="Arial" w:hAnsi="Arial"/>
          <w:sz w:val="19"/>
          <w:szCs w:val="19"/>
          <w:color w:val="auto"/>
        </w:rPr>
      </w:pPr>
      <w:r>
        <w:rPr>
          <w:rFonts w:ascii="Arial" w:cs="Arial" w:eastAsia="Arial" w:hAnsi="Arial"/>
          <w:sz w:val="19"/>
          <w:szCs w:val="19"/>
          <w:color w:val="auto"/>
        </w:rPr>
        <w:t>the lenders under the Credit Agreement concurrently release their Liens on the Wynn Home Site Land,</w:t>
      </w:r>
    </w:p>
    <w:p>
      <w:pPr>
        <w:spacing w:after="0" w:line="267" w:lineRule="exact"/>
        <w:rPr>
          <w:rFonts w:ascii="Arial" w:cs="Arial" w:eastAsia="Arial" w:hAnsi="Arial"/>
          <w:sz w:val="19"/>
          <w:szCs w:val="19"/>
          <w:color w:val="auto"/>
        </w:rPr>
      </w:pPr>
    </w:p>
    <w:p>
      <w:pPr>
        <w:jc w:val="both"/>
        <w:ind w:left="660" w:firstLine="645"/>
        <w:spacing w:after="0" w:line="275" w:lineRule="auto"/>
        <w:tabs>
          <w:tab w:leader="none" w:pos="2214" w:val="left"/>
        </w:tabs>
        <w:numPr>
          <w:ilvl w:val="1"/>
          <w:numId w:val="200"/>
        </w:numPr>
        <w:rPr>
          <w:rFonts w:ascii="Arial" w:cs="Arial" w:eastAsia="Arial" w:hAnsi="Arial"/>
          <w:sz w:val="19"/>
          <w:szCs w:val="19"/>
          <w:color w:val="auto"/>
        </w:rPr>
      </w:pPr>
      <w:r>
        <w:rPr>
          <w:rFonts w:ascii="Arial" w:cs="Arial" w:eastAsia="Arial" w:hAnsi="Arial"/>
          <w:sz w:val="19"/>
          <w:szCs w:val="19"/>
          <w:color w:val="auto"/>
        </w:rPr>
        <w:t>no Points of Diversion with respect to any water permits held by Wynn Las Vegas or any of its Restricted Subsidiaries or otherwise utilized or expected to utilized with respect to the Projects, wells associated therewith or rights-of-way necessary for the transportation to the Golf Course Land or the Wynn Las Vegas hotel and casino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 (A) access such Points of Diversion, (B) own and operate such wells and (C) transport such water to the water features of the Project and/or the Golf Course,</w:t>
      </w:r>
    </w:p>
    <w:p>
      <w:pPr>
        <w:spacing w:after="0" w:line="185" w:lineRule="exact"/>
        <w:rPr>
          <w:rFonts w:ascii="Arial" w:cs="Arial" w:eastAsia="Arial" w:hAnsi="Arial"/>
          <w:sz w:val="19"/>
          <w:szCs w:val="19"/>
          <w:color w:val="auto"/>
        </w:rPr>
      </w:pPr>
    </w:p>
    <w:p>
      <w:pPr>
        <w:ind w:left="660" w:firstLine="645"/>
        <w:spacing w:after="0" w:line="274" w:lineRule="auto"/>
        <w:tabs>
          <w:tab w:leader="none" w:pos="2335" w:val="left"/>
        </w:tabs>
        <w:numPr>
          <w:ilvl w:val="1"/>
          <w:numId w:val="200"/>
        </w:numPr>
        <w:rPr>
          <w:rFonts w:ascii="Arial" w:cs="Arial" w:eastAsia="Arial" w:hAnsi="Arial"/>
          <w:sz w:val="21"/>
          <w:szCs w:val="21"/>
          <w:color w:val="auto"/>
        </w:rPr>
      </w:pPr>
      <w:r>
        <w:rPr>
          <w:rFonts w:ascii="Arial" w:cs="Arial" w:eastAsia="Arial" w:hAnsi="Arial"/>
          <w:sz w:val="21"/>
          <w:szCs w:val="21"/>
          <w:color w:val="auto"/>
        </w:rPr>
        <w:t>Wynn Las Vegas and Wynn Golf, as the case may be, shall have taken all actions required pursuant to Section 4.25 hereof with respect to any assets or property acquired pursuant to clause (6) above, and</w:t>
      </w:r>
    </w:p>
    <w:p>
      <w:pPr>
        <w:spacing w:after="0" w:line="177" w:lineRule="exact"/>
        <w:rPr>
          <w:rFonts w:ascii="Arial" w:cs="Arial" w:eastAsia="Arial" w:hAnsi="Arial"/>
          <w:sz w:val="21"/>
          <w:szCs w:val="21"/>
          <w:color w:val="auto"/>
        </w:rPr>
      </w:pPr>
    </w:p>
    <w:p>
      <w:pPr>
        <w:ind w:left="660" w:firstLine="645"/>
        <w:spacing w:after="0" w:line="251" w:lineRule="auto"/>
        <w:tabs>
          <w:tab w:leader="none" w:pos="2345" w:val="left"/>
        </w:tabs>
        <w:numPr>
          <w:ilvl w:val="1"/>
          <w:numId w:val="200"/>
        </w:numPr>
        <w:rPr>
          <w:rFonts w:ascii="Arial" w:cs="Arial" w:eastAsia="Arial" w:hAnsi="Arial"/>
          <w:sz w:val="22"/>
          <w:szCs w:val="22"/>
          <w:color w:val="auto"/>
        </w:rPr>
      </w:pPr>
      <w:r>
        <w:rPr>
          <w:rFonts w:ascii="Arial" w:cs="Arial" w:eastAsia="Arial" w:hAnsi="Arial"/>
          <w:sz w:val="22"/>
          <w:szCs w:val="22"/>
          <w:color w:val="auto"/>
        </w:rPr>
        <w:t>Wynn Las Vegas and/or Wynn Golf delivers an Officers’ Certificate to the Trustee confirming that the conditions in clauses (1), (2), (3), (4), (5), (6) and (7) of this Section 10.03(e) have been satisfied.</w:t>
      </w:r>
    </w:p>
    <w:p>
      <w:pPr>
        <w:spacing w:after="0" w:line="200" w:lineRule="exact"/>
        <w:rPr>
          <w:rFonts w:ascii="Arial" w:cs="Arial" w:eastAsia="Arial" w:hAnsi="Arial"/>
          <w:sz w:val="22"/>
          <w:szCs w:val="22"/>
          <w:color w:val="auto"/>
        </w:rPr>
      </w:pPr>
    </w:p>
    <w:p>
      <w:pPr>
        <w:jc w:val="both"/>
        <w:ind w:firstLine="656"/>
        <w:spacing w:after="0" w:line="238" w:lineRule="auto"/>
        <w:tabs>
          <w:tab w:leader="none" w:pos="1511" w:val="left"/>
        </w:tabs>
        <w:numPr>
          <w:ilvl w:val="0"/>
          <w:numId w:val="201"/>
        </w:numPr>
        <w:rPr>
          <w:rFonts w:ascii="Arial" w:cs="Arial" w:eastAsia="Arial" w:hAnsi="Arial"/>
          <w:sz w:val="22"/>
          <w:szCs w:val="22"/>
          <w:color w:val="auto"/>
        </w:rPr>
      </w:pPr>
      <w:r>
        <w:rPr>
          <w:rFonts w:ascii="Arial" w:cs="Arial" w:eastAsia="Arial" w:hAnsi="Arial"/>
          <w:sz w:val="22"/>
          <w:szCs w:val="22"/>
          <w:color w:val="auto"/>
        </w:rPr>
        <w:t>Upon receipt by the Trustee of the applicable Officers’ Certificate required to be delivered pursuant to Sections 10.03(a), (b), (c), (d) or (e), as the case may be, the Trustee shall execute, deliver or acknowledge any necessary or proper instruments of termination, satisfaction or release to evidence the release of any Collateral permitted to be released pursuant to this Section 10.03.</w:t>
      </w:r>
    </w:p>
    <w:p>
      <w:pPr>
        <w:spacing w:after="0" w:line="212" w:lineRule="exact"/>
        <w:rPr>
          <w:rFonts w:ascii="Arial" w:cs="Arial" w:eastAsia="Arial" w:hAnsi="Arial"/>
          <w:sz w:val="22"/>
          <w:szCs w:val="22"/>
          <w:color w:val="auto"/>
        </w:rPr>
      </w:pPr>
    </w:p>
    <w:p>
      <w:pPr>
        <w:jc w:val="both"/>
        <w:ind w:firstLine="656"/>
        <w:spacing w:after="0" w:line="279" w:lineRule="auto"/>
        <w:tabs>
          <w:tab w:leader="none" w:pos="1373"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The release of any Collateral from the terms of this Indenture and the Collateral Documents shall not be deemed to impair the security under this Indenture in contravention of the provisions hereof if and to the extent the Collateral is released pursuant to the terms of the Collateral Documents or this Indenture. To the extent applicable, the Issuers shall cause TIA § 313(b), relating to reports, and TIA § 314(d), relating to the release of property or securities from the Lien and security interest of the Collateral Documents and this Indenture and relating to the substitution therefor of any property or securities to be subjected to the Lien and security interest of the Collateral Documents and this Indenture, to be complied with. Any certificat e or opinion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38" w:name="page139"/>
    <w:bookmarkEnd w:id="138"/>
    <w:p>
      <w:pPr>
        <w:jc w:val="both"/>
        <w:spacing w:after="0"/>
        <w:rPr>
          <w:sz w:val="20"/>
          <w:szCs w:val="20"/>
          <w:color w:val="auto"/>
        </w:rPr>
      </w:pPr>
      <w:r>
        <w:rPr>
          <w:rFonts w:ascii="Arial" w:cs="Arial" w:eastAsia="Arial" w:hAnsi="Arial"/>
          <w:sz w:val="22"/>
          <w:szCs w:val="22"/>
          <w:color w:val="auto"/>
        </w:rPr>
        <w:t>required by TIA § 314(d) may be made by an Officer of Wynn Las Vegas except in cases where TIA § 314(d) requires that such certificate or opinion be made by an independent Person, which Person shall be an independent engineer, appraiser or other expert selected or approved by the Trustee in the exercise of reasonable care.</w:t>
      </w:r>
    </w:p>
    <w:p>
      <w:pPr>
        <w:spacing w:after="0" w:line="213" w:lineRule="exact"/>
        <w:rPr>
          <w:sz w:val="20"/>
          <w:szCs w:val="20"/>
          <w:color w:val="auto"/>
        </w:rPr>
      </w:pPr>
    </w:p>
    <w:p>
      <w:pPr>
        <w:jc w:val="both"/>
        <w:ind w:firstLine="656"/>
        <w:spacing w:after="0" w:line="238" w:lineRule="auto"/>
        <w:tabs>
          <w:tab w:leader="none" w:pos="1549" w:val="left"/>
        </w:tabs>
        <w:numPr>
          <w:ilvl w:val="0"/>
          <w:numId w:val="202"/>
        </w:numPr>
        <w:rPr>
          <w:rFonts w:ascii="Arial" w:cs="Arial" w:eastAsia="Arial" w:hAnsi="Arial"/>
          <w:sz w:val="22"/>
          <w:szCs w:val="22"/>
          <w:color w:val="auto"/>
        </w:rPr>
      </w:pPr>
      <w:r>
        <w:rPr>
          <w:rFonts w:ascii="Arial" w:cs="Arial" w:eastAsia="Arial" w:hAnsi="Arial"/>
          <w:sz w:val="22"/>
          <w:szCs w:val="22"/>
          <w:color w:val="auto"/>
        </w:rPr>
        <w:t>Notwithstanding anything to the contrary in this Indenture or the Collateral Documents, no Collateral may be released from the Lien and security interests created by the Collateral Documents unless the Officers’ Certificate required by this Section 10.03 has been delivered to the Trustee and any applicable provisions of the Intercreditor Agreement have been complied with.</w:t>
      </w:r>
    </w:p>
    <w:p>
      <w:pPr>
        <w:spacing w:after="0" w:line="212" w:lineRule="exact"/>
        <w:rPr>
          <w:rFonts w:ascii="Arial" w:cs="Arial" w:eastAsia="Arial" w:hAnsi="Arial"/>
          <w:sz w:val="22"/>
          <w:szCs w:val="22"/>
          <w:color w:val="auto"/>
        </w:rPr>
      </w:pPr>
    </w:p>
    <w:p>
      <w:pPr>
        <w:jc w:val="both"/>
        <w:ind w:firstLine="656"/>
        <w:spacing w:after="0"/>
        <w:tabs>
          <w:tab w:leader="none" w:pos="1436" w:val="left"/>
        </w:tabs>
        <w:numPr>
          <w:ilvl w:val="0"/>
          <w:numId w:val="202"/>
        </w:numPr>
        <w:rPr>
          <w:rFonts w:ascii="Arial" w:cs="Arial" w:eastAsia="Arial" w:hAnsi="Arial"/>
          <w:sz w:val="22"/>
          <w:szCs w:val="22"/>
          <w:color w:val="auto"/>
        </w:rPr>
      </w:pPr>
      <w:r>
        <w:rPr>
          <w:rFonts w:ascii="Arial" w:cs="Arial" w:eastAsia="Arial" w:hAnsi="Arial"/>
          <w:sz w:val="22"/>
          <w:szCs w:val="22"/>
          <w:color w:val="auto"/>
        </w:rPr>
        <w:t>At any time when a Default or Event of Default has occurred and is continuing and the maturity of the Notes has been accelerated (whether by declaration or otherwise), no release of Collateral pursuant to the provisions of this Section 10.03 or the Collateral Documents shall be effective as against the Holders of Notes.</w:t>
      </w:r>
    </w:p>
    <w:p>
      <w:pPr>
        <w:spacing w:after="0" w:line="213"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10.04</w:t>
      </w:r>
      <w:r>
        <w:rPr>
          <w:sz w:val="20"/>
          <w:szCs w:val="20"/>
          <w:color w:val="auto"/>
        </w:rPr>
        <w:tab/>
      </w:r>
      <w:r>
        <w:rPr>
          <w:rFonts w:ascii="Arial" w:cs="Arial" w:eastAsia="Arial" w:hAnsi="Arial"/>
          <w:sz w:val="19"/>
          <w:szCs w:val="19"/>
          <w:i w:val="1"/>
          <w:iCs w:val="1"/>
          <w:color w:val="auto"/>
        </w:rPr>
        <w:t>Certificates of the Issuers.</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In addition to the requirements under Section 10.03, the Issuers shall furnish to the Trustee and the Collateral Agent, prior to each proposed release of Collateral pursuant to the Collateral Documents:</w:t>
      </w:r>
    </w:p>
    <w:p>
      <w:pPr>
        <w:spacing w:after="0" w:line="200" w:lineRule="exact"/>
        <w:rPr>
          <w:sz w:val="20"/>
          <w:szCs w:val="20"/>
          <w:color w:val="auto"/>
        </w:rPr>
      </w:pPr>
    </w:p>
    <w:p>
      <w:pPr>
        <w:ind w:left="1320" w:hanging="664"/>
        <w:spacing w:after="0"/>
        <w:tabs>
          <w:tab w:leader="none" w:pos="132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all documents required by TIA §314(d) and the Collateral Documents; and</w:t>
      </w:r>
    </w:p>
    <w:p>
      <w:pPr>
        <w:spacing w:after="0" w:line="233" w:lineRule="exact"/>
        <w:rPr>
          <w:rFonts w:ascii="Arial" w:cs="Arial" w:eastAsia="Arial" w:hAnsi="Arial"/>
          <w:sz w:val="22"/>
          <w:szCs w:val="22"/>
          <w:color w:val="auto"/>
        </w:rPr>
      </w:pPr>
    </w:p>
    <w:p>
      <w:pPr>
        <w:ind w:firstLine="656"/>
        <w:spacing w:after="0" w:line="251" w:lineRule="auto"/>
        <w:tabs>
          <w:tab w:leader="none" w:pos="1677" w:val="left"/>
        </w:tabs>
        <w:numPr>
          <w:ilvl w:val="0"/>
          <w:numId w:val="203"/>
        </w:numPr>
        <w:rPr>
          <w:rFonts w:ascii="Arial" w:cs="Arial" w:eastAsia="Arial" w:hAnsi="Arial"/>
          <w:sz w:val="22"/>
          <w:szCs w:val="22"/>
          <w:color w:val="auto"/>
        </w:rPr>
      </w:pPr>
      <w:r>
        <w:rPr>
          <w:rFonts w:ascii="Arial" w:cs="Arial" w:eastAsia="Arial" w:hAnsi="Arial"/>
          <w:sz w:val="22"/>
          <w:szCs w:val="22"/>
          <w:color w:val="auto"/>
        </w:rPr>
        <w:t>an Opinion of Counsel, which may be rendered by internal counsel to the Issuers, to the effect that such accompanying documents constitute all documents required by TIA §314(d).</w:t>
      </w:r>
    </w:p>
    <w:p>
      <w:pPr>
        <w:spacing w:after="0" w:line="20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 Trustee may, to the extent permitted by Sections 7.01 and 7.02 hereof, accept as conclusive evidence of compliance with the foregoing provisions the appropriate statements contained in such documents and such Opinion of Counsel.</w:t>
      </w:r>
    </w:p>
    <w:p>
      <w:pPr>
        <w:spacing w:after="0" w:line="132"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10.05</w:t>
      </w:r>
      <w:r>
        <w:rPr>
          <w:sz w:val="20"/>
          <w:szCs w:val="20"/>
          <w:color w:val="auto"/>
        </w:rPr>
        <w:tab/>
      </w:r>
      <w:r>
        <w:rPr>
          <w:rFonts w:ascii="Arial" w:cs="Arial" w:eastAsia="Arial" w:hAnsi="Arial"/>
          <w:sz w:val="19"/>
          <w:szCs w:val="19"/>
          <w:i w:val="1"/>
          <w:iCs w:val="1"/>
          <w:color w:val="auto"/>
        </w:rPr>
        <w:t>Certificates of the Trustee.</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 the event that the Issuers wish to release Collateral in accordance with the Collateral Documents and have delivered the certificates and documents required by the Collateral Documents and Sections 10.03 and 10.04 hereof, the Trustee shall determine whether it has received all documentation required by TIA § 314(d) in connection with such release and, based on such determination and the Opinion of Counsel delivered pursuant to Section 10.04(2) hereof, shall deliver a certificate to the Collateral Agent setting forth such determination.</w:t>
      </w:r>
    </w:p>
    <w:p>
      <w:pPr>
        <w:spacing w:after="0" w:line="215"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10.06</w:t>
      </w:r>
      <w:r>
        <w:rPr>
          <w:sz w:val="20"/>
          <w:szCs w:val="20"/>
          <w:color w:val="auto"/>
        </w:rPr>
        <w:tab/>
      </w:r>
      <w:r>
        <w:rPr>
          <w:rFonts w:ascii="Arial" w:cs="Arial" w:eastAsia="Arial" w:hAnsi="Arial"/>
          <w:sz w:val="19"/>
          <w:szCs w:val="19"/>
          <w:i w:val="1"/>
          <w:iCs w:val="1"/>
          <w:color w:val="auto"/>
        </w:rPr>
        <w:t>Authorization of Actions to Be Taken by the Trustee Under the Collateral Documents.</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Subject to the provisions of Sections 7.01, 7.02 and 10.01(b) hereof, the Intercreditor Agreement and the Collateral Documents, the Trustee may, in its sole discretion and without the consent of the Holders of Notes, direct, on behalf of the Holders of Notes, the Collateral Agent to, take all actions it deems necessary or appropriate in order to:</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39" w:name="page140"/>
    <w:bookmarkEnd w:id="139"/>
    <w:p>
      <w:pPr>
        <w:ind w:left="1320" w:hanging="664"/>
        <w:spacing w:after="0"/>
        <w:tabs>
          <w:tab w:leader="none" w:pos="132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enforce any of the terms of the Collateral Documents; and</w:t>
      </w:r>
    </w:p>
    <w:p>
      <w:pPr>
        <w:spacing w:after="0" w:line="233" w:lineRule="exact"/>
        <w:rPr>
          <w:rFonts w:ascii="Arial" w:cs="Arial" w:eastAsia="Arial" w:hAnsi="Arial"/>
          <w:sz w:val="22"/>
          <w:szCs w:val="22"/>
          <w:color w:val="auto"/>
        </w:rPr>
      </w:pPr>
    </w:p>
    <w:p>
      <w:pPr>
        <w:ind w:right="20" w:firstLine="656"/>
        <w:spacing w:after="0" w:line="251" w:lineRule="auto"/>
        <w:tabs>
          <w:tab w:leader="none" w:pos="1494" w:val="left"/>
        </w:tabs>
        <w:numPr>
          <w:ilvl w:val="0"/>
          <w:numId w:val="204"/>
        </w:numPr>
        <w:rPr>
          <w:rFonts w:ascii="Arial" w:cs="Arial" w:eastAsia="Arial" w:hAnsi="Arial"/>
          <w:sz w:val="22"/>
          <w:szCs w:val="22"/>
          <w:color w:val="auto"/>
        </w:rPr>
      </w:pPr>
      <w:r>
        <w:rPr>
          <w:rFonts w:ascii="Arial" w:cs="Arial" w:eastAsia="Arial" w:hAnsi="Arial"/>
          <w:sz w:val="22"/>
          <w:szCs w:val="22"/>
          <w:color w:val="auto"/>
        </w:rPr>
        <w:t>collect and receive any and all amounts payable in respect of the Obligations of the Issuers and the Guarantors hereunder and under the Collateral Documents.</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The Trustee shall have power to institute and maintain such suits and proceedings as it may deem expedient to prevent any impairment of the Collateral by any acts that may be unlawful or in violation of the Collateral Documents or this Indenture, and such suits and proceedings as the Trustee may deem expedient to preserve or protect its interests and the interests of the Holders of Notes in the Collateral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hereunder or be prejudicial to the interests of the Holders of Notes or of the Trustee).</w:t>
      </w:r>
    </w:p>
    <w:p>
      <w:pPr>
        <w:spacing w:after="0" w:line="205"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10.07</w:t>
      </w:r>
      <w:r>
        <w:rPr>
          <w:sz w:val="20"/>
          <w:szCs w:val="20"/>
          <w:color w:val="auto"/>
        </w:rPr>
        <w:tab/>
      </w:r>
      <w:r>
        <w:rPr>
          <w:rFonts w:ascii="Arial" w:cs="Arial" w:eastAsia="Arial" w:hAnsi="Arial"/>
          <w:sz w:val="19"/>
          <w:szCs w:val="19"/>
          <w:i w:val="1"/>
          <w:iCs w:val="1"/>
          <w:color w:val="auto"/>
        </w:rPr>
        <w:t>Authorization of Receipt of Funds by the Trustee Under the Collateral Documents.</w:t>
      </w:r>
    </w:p>
    <w:p>
      <w:pPr>
        <w:spacing w:after="0" w:line="233"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The Trustee is authorized to receive any funds for the benefit of the Holders of Notes distributed under the Collateral Documents, and to make further distributions of such funds to the Holders of Notes according to the provisions of this Indenture.</w:t>
      </w:r>
    </w:p>
    <w:p>
      <w:pPr>
        <w:spacing w:after="0" w:line="132"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10.08</w:t>
      </w:r>
      <w:r>
        <w:rPr>
          <w:sz w:val="20"/>
          <w:szCs w:val="20"/>
          <w:color w:val="auto"/>
        </w:rPr>
        <w:tab/>
      </w:r>
      <w:r>
        <w:rPr>
          <w:rFonts w:ascii="Arial" w:cs="Arial" w:eastAsia="Arial" w:hAnsi="Arial"/>
          <w:sz w:val="19"/>
          <w:szCs w:val="19"/>
          <w:i w:val="1"/>
          <w:iCs w:val="1"/>
          <w:color w:val="auto"/>
        </w:rPr>
        <w:t>Rights in the Pledged Collateral.</w:t>
      </w:r>
    </w:p>
    <w:p>
      <w:pPr>
        <w:spacing w:after="0" w:line="233" w:lineRule="exact"/>
        <w:rPr>
          <w:sz w:val="20"/>
          <w:szCs w:val="20"/>
          <w:color w:val="auto"/>
        </w:rPr>
      </w:pPr>
    </w:p>
    <w:p>
      <w:pPr>
        <w:jc w:val="both"/>
        <w:ind w:firstLine="656"/>
        <w:spacing w:after="0" w:line="247" w:lineRule="auto"/>
        <w:tabs>
          <w:tab w:leader="none" w:pos="1588" w:val="left"/>
        </w:tabs>
        <w:numPr>
          <w:ilvl w:val="0"/>
          <w:numId w:val="205"/>
        </w:numPr>
        <w:rPr>
          <w:rFonts w:ascii="Arial" w:cs="Arial" w:eastAsia="Arial" w:hAnsi="Arial"/>
          <w:sz w:val="21"/>
          <w:szCs w:val="21"/>
          <w:color w:val="auto"/>
        </w:rPr>
      </w:pPr>
      <w:r>
        <w:rPr>
          <w:rFonts w:ascii="Arial" w:cs="Arial" w:eastAsia="Arial" w:hAnsi="Arial"/>
          <w:sz w:val="21"/>
          <w:szCs w:val="21"/>
          <w:color w:val="auto"/>
        </w:rPr>
        <w:t>So long as no Event of Default shall have occurred and be continuing, and subject to the provisions of this Indenture, the Intercreditor Agreement and the other Collateral Documents, Wynn Las Vegas and each Guarantor shall be entitled to receive the benefit of all cash dividends, interest and other payments made upon or with respect to the Collateral pledged by such Person and to exercise any voting and other consensual rights pertaining to the Collateral pledged by such Person. Upon the occurrence and during the continuance of an Event of Default and, subject to the terms of the Collateral Documents, this Indenture and the limitations in the Intercreditor Agreement and the exercise by the Trustee of its rights under the Collateral Documents and subject to applicable Gaming Laws:</w:t>
      </w:r>
    </w:p>
    <w:p>
      <w:pPr>
        <w:spacing w:after="0" w:line="205" w:lineRule="exact"/>
        <w:rPr>
          <w:rFonts w:ascii="Arial" w:cs="Arial" w:eastAsia="Arial" w:hAnsi="Arial"/>
          <w:sz w:val="21"/>
          <w:szCs w:val="21"/>
          <w:color w:val="auto"/>
        </w:rPr>
      </w:pPr>
    </w:p>
    <w:p>
      <w:pPr>
        <w:jc w:val="both"/>
        <w:ind w:left="660" w:firstLine="645"/>
        <w:spacing w:after="0"/>
        <w:tabs>
          <w:tab w:leader="none" w:pos="2390" w:val="left"/>
        </w:tabs>
        <w:numPr>
          <w:ilvl w:val="1"/>
          <w:numId w:val="205"/>
        </w:numPr>
        <w:rPr>
          <w:rFonts w:ascii="Arial" w:cs="Arial" w:eastAsia="Arial" w:hAnsi="Arial"/>
          <w:sz w:val="22"/>
          <w:szCs w:val="22"/>
          <w:color w:val="auto"/>
        </w:rPr>
      </w:pPr>
      <w:r>
        <w:rPr>
          <w:rFonts w:ascii="Arial" w:cs="Arial" w:eastAsia="Arial" w:hAnsi="Arial"/>
          <w:sz w:val="22"/>
          <w:szCs w:val="22"/>
          <w:color w:val="auto"/>
        </w:rPr>
        <w:t>upon receipt by the affected Person of notice from the Trustee so stating, all rights of such Person to exercise such voting or other consensual rights shall cease, and all such rights shall become vested in the Trustee which, to the extent permitted by law, shall have the sole right to exercise such rights;</w:t>
      </w:r>
    </w:p>
    <w:p>
      <w:pPr>
        <w:spacing w:after="0" w:line="213" w:lineRule="exact"/>
        <w:rPr>
          <w:rFonts w:ascii="Arial" w:cs="Arial" w:eastAsia="Arial" w:hAnsi="Arial"/>
          <w:sz w:val="22"/>
          <w:szCs w:val="22"/>
          <w:color w:val="auto"/>
        </w:rPr>
      </w:pPr>
    </w:p>
    <w:p>
      <w:pPr>
        <w:ind w:left="660" w:firstLine="645"/>
        <w:spacing w:after="0" w:line="328" w:lineRule="auto"/>
        <w:tabs>
          <w:tab w:leader="none" w:pos="2330" w:val="left"/>
        </w:tabs>
        <w:numPr>
          <w:ilvl w:val="1"/>
          <w:numId w:val="205"/>
        </w:numPr>
        <w:rPr>
          <w:rFonts w:ascii="Arial" w:cs="Arial" w:eastAsia="Arial" w:hAnsi="Arial"/>
          <w:sz w:val="19"/>
          <w:szCs w:val="19"/>
          <w:color w:val="auto"/>
        </w:rPr>
      </w:pPr>
      <w:r>
        <w:rPr>
          <w:rFonts w:ascii="Arial" w:cs="Arial" w:eastAsia="Arial" w:hAnsi="Arial"/>
          <w:sz w:val="19"/>
          <w:szCs w:val="19"/>
          <w:color w:val="auto"/>
        </w:rPr>
        <w:t>all rights of such Person to receive all cash dividends, interest and other payments made upon, or with respect to, the Collateral shall cease and such cash dividends, interest and other payments shall be paid to the Trustee; and</w:t>
      </w:r>
    </w:p>
    <w:p>
      <w:pPr>
        <w:spacing w:after="0" w:line="132" w:lineRule="exact"/>
        <w:rPr>
          <w:rFonts w:ascii="Arial" w:cs="Arial" w:eastAsia="Arial" w:hAnsi="Arial"/>
          <w:sz w:val="19"/>
          <w:szCs w:val="19"/>
          <w:color w:val="auto"/>
        </w:rPr>
      </w:pPr>
    </w:p>
    <w:p>
      <w:pPr>
        <w:jc w:val="both"/>
        <w:ind w:left="660" w:firstLine="645"/>
        <w:spacing w:after="0"/>
        <w:tabs>
          <w:tab w:leader="none" w:pos="2514" w:val="left"/>
        </w:tabs>
        <w:numPr>
          <w:ilvl w:val="1"/>
          <w:numId w:val="205"/>
        </w:numPr>
        <w:rPr>
          <w:rFonts w:ascii="Arial" w:cs="Arial" w:eastAsia="Arial" w:hAnsi="Arial"/>
          <w:sz w:val="22"/>
          <w:szCs w:val="22"/>
          <w:color w:val="auto"/>
        </w:rPr>
      </w:pPr>
      <w:r>
        <w:rPr>
          <w:rFonts w:ascii="Arial" w:cs="Arial" w:eastAsia="Arial" w:hAnsi="Arial"/>
          <w:sz w:val="22"/>
          <w:szCs w:val="22"/>
          <w:color w:val="auto"/>
        </w:rPr>
        <w:t>subject to applicable law, including procedural restraints imposed on sales of collateral by secured creditors generally, the Trustee may sell the Collateral or any part thereof in accordance with the terms of this Indenture, the Intercreditor Agreement and the other Collateral Documents.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0" w:name="page141"/>
    <w:bookmarkEnd w:id="140"/>
    <w:p>
      <w:pPr>
        <w:ind w:firstLine="656"/>
        <w:spacing w:after="0" w:line="274" w:lineRule="auto"/>
        <w:tabs>
          <w:tab w:leader="none" w:pos="1508" w:val="left"/>
        </w:tabs>
        <w:numPr>
          <w:ilvl w:val="0"/>
          <w:numId w:val="206"/>
        </w:numPr>
        <w:rPr>
          <w:rFonts w:ascii="Arial" w:cs="Arial" w:eastAsia="Arial" w:hAnsi="Arial"/>
          <w:sz w:val="21"/>
          <w:szCs w:val="21"/>
          <w:color w:val="auto"/>
        </w:rPr>
      </w:pPr>
      <w:r>
        <w:rPr>
          <w:rFonts w:ascii="Arial" w:cs="Arial" w:eastAsia="Arial" w:hAnsi="Arial"/>
          <w:sz w:val="21"/>
          <w:szCs w:val="21"/>
          <w:color w:val="auto"/>
        </w:rPr>
        <w:t>Nothing contained in this Section 10.08 shall be deemed to restrict the ability of Wynn Las Vegas to make the Restricted Payments permitted to be made during the occurrence of an Event of Default under Section 4.07(b) hereof.</w:t>
      </w:r>
    </w:p>
    <w:p>
      <w:pPr>
        <w:spacing w:after="0" w:line="178"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10.09</w:t>
      </w:r>
      <w:r>
        <w:rPr>
          <w:sz w:val="20"/>
          <w:szCs w:val="20"/>
          <w:color w:val="auto"/>
        </w:rPr>
        <w:tab/>
      </w:r>
      <w:r>
        <w:rPr>
          <w:rFonts w:ascii="Arial" w:cs="Arial" w:eastAsia="Arial" w:hAnsi="Arial"/>
          <w:sz w:val="19"/>
          <w:szCs w:val="19"/>
          <w:i w:val="1"/>
          <w:iCs w:val="1"/>
          <w:color w:val="auto"/>
        </w:rPr>
        <w:t>Termination of Security Interest.</w:t>
      </w:r>
    </w:p>
    <w:p>
      <w:pPr>
        <w:spacing w:after="0" w:line="2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Upon the payment in full in immediately available funds of all Obligations of the Issuers under this Indenture and the Notes, or upon Legal Defeasance, the Trustee shall, at the written request of the Issuers, deliver a certificate to the Collateral Agent stating that such Obligations have been paid in full, and instruct the Collateral Agent to release the Liens on the Collateral pursuant to this Indenture and the Collateral Documents and to take such actions at the Issuers’ sole cost and expense as the Issuers may reasonably request to evidence such release, including, without limitation, the return of assets pledged as Collateral and the execution and delivery of related instruments of transfer, lien, releases, reconveyances, termination statements and any similar documents and instruments.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 GUARANTEES</w:t>
      </w:r>
    </w:p>
    <w:p>
      <w:pPr>
        <w:spacing w:after="0" w:line="215"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11.01</w:t>
      </w:r>
      <w:r>
        <w:rPr>
          <w:sz w:val="20"/>
          <w:szCs w:val="20"/>
          <w:color w:val="auto"/>
        </w:rPr>
        <w:tab/>
      </w:r>
      <w:r>
        <w:rPr>
          <w:rFonts w:ascii="Arial" w:cs="Arial" w:eastAsia="Arial" w:hAnsi="Arial"/>
          <w:sz w:val="19"/>
          <w:szCs w:val="19"/>
          <w:i w:val="1"/>
          <w:iCs w:val="1"/>
          <w:color w:val="auto"/>
        </w:rPr>
        <w:t>Note Guarantee.</w:t>
      </w:r>
    </w:p>
    <w:p>
      <w:pPr>
        <w:spacing w:after="0" w:line="233" w:lineRule="exact"/>
        <w:rPr>
          <w:sz w:val="20"/>
          <w:szCs w:val="20"/>
          <w:color w:val="auto"/>
        </w:rPr>
      </w:pPr>
    </w:p>
    <w:p>
      <w:pPr>
        <w:jc w:val="both"/>
        <w:ind w:firstLine="656"/>
        <w:spacing w:after="0" w:line="238" w:lineRule="auto"/>
        <w:tabs>
          <w:tab w:leader="none" w:pos="1406" w:val="left"/>
        </w:tabs>
        <w:numPr>
          <w:ilvl w:val="0"/>
          <w:numId w:val="207"/>
        </w:numPr>
        <w:rPr>
          <w:rFonts w:ascii="Arial" w:cs="Arial" w:eastAsia="Arial" w:hAnsi="Arial"/>
          <w:sz w:val="22"/>
          <w:szCs w:val="22"/>
          <w:color w:val="auto"/>
        </w:rPr>
      </w:pPr>
      <w:r>
        <w:rPr>
          <w:rFonts w:ascii="Arial" w:cs="Arial" w:eastAsia="Arial" w:hAnsi="Arial"/>
          <w:sz w:val="22"/>
          <w:szCs w:val="22"/>
          <w:color w:val="auto"/>
        </w:rPr>
        <w:t>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the Collateral Documents or the obligations of the Issuers hereunder or thereunder, that:</w:t>
      </w:r>
    </w:p>
    <w:p>
      <w:pPr>
        <w:spacing w:after="0" w:line="212" w:lineRule="exact"/>
        <w:rPr>
          <w:rFonts w:ascii="Arial" w:cs="Arial" w:eastAsia="Arial" w:hAnsi="Arial"/>
          <w:sz w:val="22"/>
          <w:szCs w:val="22"/>
          <w:color w:val="auto"/>
        </w:rPr>
      </w:pPr>
    </w:p>
    <w:p>
      <w:pPr>
        <w:jc w:val="both"/>
        <w:ind w:left="660" w:firstLine="645"/>
        <w:spacing w:after="0" w:line="287" w:lineRule="auto"/>
        <w:tabs>
          <w:tab w:leader="none" w:pos="2155" w:val="left"/>
        </w:tabs>
        <w:numPr>
          <w:ilvl w:val="1"/>
          <w:numId w:val="207"/>
        </w:numPr>
        <w:rPr>
          <w:rFonts w:ascii="Arial" w:cs="Arial" w:eastAsia="Arial" w:hAnsi="Arial"/>
          <w:sz w:val="19"/>
          <w:szCs w:val="19"/>
          <w:color w:val="auto"/>
        </w:rPr>
      </w:pPr>
      <w:r>
        <w:rPr>
          <w:rFonts w:ascii="Arial" w:cs="Arial" w:eastAsia="Arial" w:hAnsi="Arial"/>
          <w:sz w:val="19"/>
          <w:szCs w:val="19"/>
          <w:color w:val="auto"/>
        </w:rPr>
        <w:t>the principal of, premium and Liquidated Damages,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170" w:lineRule="exact"/>
        <w:rPr>
          <w:rFonts w:ascii="Arial" w:cs="Arial" w:eastAsia="Arial" w:hAnsi="Arial"/>
          <w:sz w:val="19"/>
          <w:szCs w:val="19"/>
          <w:color w:val="auto"/>
        </w:rPr>
      </w:pPr>
    </w:p>
    <w:p>
      <w:pPr>
        <w:jc w:val="both"/>
        <w:ind w:left="660" w:firstLine="645"/>
        <w:spacing w:after="0"/>
        <w:tabs>
          <w:tab w:leader="none" w:pos="2198" w:val="left"/>
        </w:tabs>
        <w:numPr>
          <w:ilvl w:val="1"/>
          <w:numId w:val="207"/>
        </w:numPr>
        <w:rPr>
          <w:rFonts w:ascii="Arial" w:cs="Arial" w:eastAsia="Arial" w:hAnsi="Arial"/>
          <w:sz w:val="22"/>
          <w:szCs w:val="22"/>
          <w:color w:val="auto"/>
        </w:rPr>
      </w:pPr>
      <w:r>
        <w:rPr>
          <w:rFonts w:ascii="Arial" w:cs="Arial" w:eastAsia="Arial" w:hAnsi="Arial"/>
          <w:sz w:val="22"/>
          <w:szCs w:val="22"/>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Failing payment when due of any amount so guaranteed or any performance so guaranteed for whatever reason, the Guarantors shall be jointly and severally obligated to pay the same immediately. Each Guarantor agrees that this is a guarantee of payment and performance and not a guarantee of collection.</w:t>
      </w:r>
    </w:p>
    <w:p>
      <w:pPr>
        <w:spacing w:after="0" w:line="213" w:lineRule="exact"/>
        <w:rPr>
          <w:sz w:val="20"/>
          <w:szCs w:val="20"/>
          <w:color w:val="auto"/>
        </w:rPr>
      </w:pPr>
    </w:p>
    <w:p>
      <w:pPr>
        <w:jc w:val="both"/>
        <w:ind w:firstLine="656"/>
        <w:spacing w:after="0" w:line="297" w:lineRule="auto"/>
        <w:tabs>
          <w:tab w:leader="none" w:pos="1642" w:val="left"/>
        </w:tabs>
        <w:numPr>
          <w:ilvl w:val="0"/>
          <w:numId w:val="208"/>
        </w:numPr>
        <w:rPr>
          <w:rFonts w:ascii="Arial" w:cs="Arial" w:eastAsia="Arial" w:hAnsi="Arial"/>
          <w:sz w:val="19"/>
          <w:szCs w:val="19"/>
          <w:color w:val="auto"/>
        </w:rPr>
      </w:pPr>
      <w:r>
        <w:rPr>
          <w:rFonts w:ascii="Arial" w:cs="Arial" w:eastAsia="Arial" w:hAnsi="Arial"/>
          <w:sz w:val="19"/>
          <w:szCs w:val="19"/>
          <w:color w:val="auto"/>
        </w:rPr>
        <w:t>The Guarantors hereby agree that their obligations hereunder are unconditional, irrespective of the validity, regularity or enforceability of the Notes, this Indenture or the Collateral Documents, the absence of any action to enforce the same, any waiver or consent by any Holder of the Notes with respect to any provisions hereof or thereof, the recovery of 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1" w:name="page142"/>
    <w:bookmarkEnd w:id="141"/>
    <w:p>
      <w:pPr>
        <w:jc w:val="both"/>
        <w:spacing w:after="0" w:line="275" w:lineRule="auto"/>
        <w:rPr>
          <w:sz w:val="20"/>
          <w:szCs w:val="20"/>
          <w:color w:val="auto"/>
        </w:rPr>
      </w:pPr>
      <w:r>
        <w:rPr>
          <w:rFonts w:ascii="Arial" w:cs="Arial" w:eastAsia="Arial" w:hAnsi="Arial"/>
          <w:sz w:val="19"/>
          <w:szCs w:val="19"/>
          <w:color w:val="auto"/>
        </w:rPr>
        <w:t>judgment against the Issuers, any action to enforce the same or any other circumstance which might otherwise constitute a legal or equitable discharge or defense of a Guarantor. Each of the Guarantors hereby waives diligence, presentment, demand of payment, filing of claims with a court in the event of insolvency or bankruptcy of either Issuer, any right to require a proceeding first against the Issuers, protest, notice and all demands whatsoever and covenant that this Note Guarantee shall not be discharged except by complete performance of the obligations contained in the Notes and this Indenture. Each Guarantor waives any right or claims of right to cause a marshalling of the Issuers’ or any Guarantor’s assets or to proceed against any Guarantor, any Issuer or any other guarantor of any Obliga tions that are Guaranteed in any particular order, including, but not limited to, any right arising out of Nevada Revised Statutes 40.430, to the fullest extent permitted by Nevada Revised Statutes 40.495(2).</w:t>
      </w:r>
    </w:p>
    <w:p>
      <w:pPr>
        <w:spacing w:after="0" w:line="185" w:lineRule="exact"/>
        <w:rPr>
          <w:sz w:val="20"/>
          <w:szCs w:val="20"/>
          <w:color w:val="auto"/>
        </w:rPr>
      </w:pPr>
    </w:p>
    <w:p>
      <w:pPr>
        <w:jc w:val="both"/>
        <w:ind w:firstLine="656"/>
        <w:spacing w:after="0" w:line="297" w:lineRule="auto"/>
        <w:tabs>
          <w:tab w:leader="none" w:pos="1451" w:val="left"/>
        </w:tabs>
        <w:numPr>
          <w:ilvl w:val="0"/>
          <w:numId w:val="209"/>
        </w:numPr>
        <w:rPr>
          <w:rFonts w:ascii="Arial" w:cs="Arial" w:eastAsia="Arial" w:hAnsi="Arial"/>
          <w:sz w:val="19"/>
          <w:szCs w:val="19"/>
          <w:color w:val="auto"/>
        </w:rPr>
      </w:pPr>
      <w:r>
        <w:rPr>
          <w:rFonts w:ascii="Arial" w:cs="Arial" w:eastAsia="Arial" w:hAnsi="Arial"/>
          <w:sz w:val="19"/>
          <w:szCs w:val="19"/>
          <w:color w:val="auto"/>
        </w:rPr>
        <w:t>If any Holder or the Trustee is required by any court or otherwise to return to the Issuers, the Guarantors or any custodian, trustee, liquidator or other similar official acting in relation to either Issuer or any Guarantor, any amount paid by either to the Trustee or such Holder, this Note Guarantee, to the extent theretofore discharged, shall be reinstated in full force and effect.</w:t>
      </w:r>
    </w:p>
    <w:p>
      <w:pPr>
        <w:spacing w:after="0" w:line="161" w:lineRule="exact"/>
        <w:rPr>
          <w:rFonts w:ascii="Arial" w:cs="Arial" w:eastAsia="Arial" w:hAnsi="Arial"/>
          <w:sz w:val="19"/>
          <w:szCs w:val="19"/>
          <w:color w:val="auto"/>
        </w:rPr>
      </w:pPr>
    </w:p>
    <w:p>
      <w:pPr>
        <w:jc w:val="both"/>
        <w:ind w:firstLine="656"/>
        <w:spacing w:after="0" w:line="274" w:lineRule="auto"/>
        <w:tabs>
          <w:tab w:leader="none" w:pos="1433" w:val="left"/>
        </w:tabs>
        <w:numPr>
          <w:ilvl w:val="0"/>
          <w:numId w:val="209"/>
        </w:numPr>
        <w:rPr>
          <w:rFonts w:ascii="Arial" w:cs="Arial" w:eastAsia="Arial" w:hAnsi="Arial"/>
          <w:sz w:val="19"/>
          <w:szCs w:val="19"/>
          <w:color w:val="auto"/>
        </w:rPr>
      </w:pPr>
      <w:r>
        <w:rPr>
          <w:rFonts w:ascii="Arial" w:cs="Arial" w:eastAsia="Arial" w:hAnsi="Arial"/>
          <w:sz w:val="19"/>
          <w:szCs w:val="19"/>
          <w:color w:val="auto"/>
        </w:rPr>
        <w:t>Each of the Guarantors agrees that it shall not be entitled to any right of subrogation in relation to the Holders in respect of any obligations guaranteed hereby until payment in full of all obligations guaranteed hereby. Each of the Guarantors further agrees that, as between the 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 er or not due and payable) shall forthwith become due and payable by the Guarantors for the purpose of this Note Guarantee. The Guarantors shall have the right to seek contribution from any non-paying Guarantor, as the case may be, so long as the exercise of such right does not impair the rights of the Holders under the Note Guarantee.</w:t>
      </w:r>
    </w:p>
    <w:p>
      <w:pPr>
        <w:spacing w:after="0" w:line="186"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11.02</w:t>
      </w:r>
      <w:r>
        <w:rPr>
          <w:sz w:val="20"/>
          <w:szCs w:val="20"/>
          <w:color w:val="auto"/>
        </w:rPr>
        <w:tab/>
      </w:r>
      <w:r>
        <w:rPr>
          <w:rFonts w:ascii="Arial" w:cs="Arial" w:eastAsia="Arial" w:hAnsi="Arial"/>
          <w:sz w:val="19"/>
          <w:szCs w:val="19"/>
          <w:i w:val="1"/>
          <w:iCs w:val="1"/>
          <w:color w:val="auto"/>
        </w:rPr>
        <w:t>Limitation on Guarantor Liability.</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such Guarantor shall be limited to the maximum amount that shall, after giving effect to such maximum amount and all other contingent and fixed liabilities of such Guarantor, as the case may be,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Note Guarantee not constituting a fraudulent transfer or conveyance.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2" w:name="page143"/>
    <w:bookmarkEnd w:id="142"/>
    <w:p>
      <w:pPr>
        <w:spacing w:after="0"/>
        <w:tabs>
          <w:tab w:leader="none" w:pos="2580" w:val="left"/>
        </w:tabs>
        <w:rPr>
          <w:sz w:val="20"/>
          <w:szCs w:val="20"/>
          <w:color w:val="auto"/>
        </w:rPr>
      </w:pPr>
      <w:r>
        <w:rPr>
          <w:rFonts w:ascii="Arial" w:cs="Arial" w:eastAsia="Arial" w:hAnsi="Arial"/>
          <w:sz w:val="22"/>
          <w:szCs w:val="22"/>
          <w:color w:val="auto"/>
        </w:rPr>
        <w:t>Section 11.03</w:t>
      </w:r>
      <w:r>
        <w:rPr>
          <w:sz w:val="20"/>
          <w:szCs w:val="20"/>
          <w:color w:val="auto"/>
        </w:rPr>
        <w:tab/>
      </w:r>
      <w:r>
        <w:rPr>
          <w:rFonts w:ascii="Arial" w:cs="Arial" w:eastAsia="Arial" w:hAnsi="Arial"/>
          <w:sz w:val="19"/>
          <w:szCs w:val="19"/>
          <w:i w:val="1"/>
          <w:iCs w:val="1"/>
          <w:color w:val="auto"/>
        </w:rPr>
        <w:t>Execution and Delivery of Note Guarantee.</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To evidence its Note Guarantee set forth in Section 11.01, each of the Guarantors hereby agrees that a notation of such Note Guarantee substantially in the form attached as Exhibit E hereto shall be endorsed by an Officer of such Guarantor on each Note authenticated and delivered by the Trustee and that this Indenture shall be executed on behalf of such Guarantor by one of its Officers.</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Each of the Guarantors hereby agrees that its Note Guarantee set forth in Section 11.01 shall remain in full force and effect notwithstanding any failure to endorse on each Note a notation of such Note Guarantee.</w:t>
      </w:r>
    </w:p>
    <w:p>
      <w:pPr>
        <w:spacing w:after="0" w:line="20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If an Officer whose signature is on this Indenture or on the Note Guarantee no longer holds that office at the time the Trustee authenticates the Note on which a Note Guarantee is endorsed, the Note Guarantee shall be valid nevertheless.</w:t>
      </w:r>
    </w:p>
    <w:p>
      <w:pPr>
        <w:spacing w:after="0" w:line="13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delivery of any Note by the Trustee, after the authentication thereof hereunder, shall constitute due delivery of the Note Guarantee set forth in this Indenture on behalf of the Guarantors.</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the event that the Issuers create or acquire any Subsidiary after the date of this Indenture, if required by Sections 4.21 and 4.25 hereof, the Issuers shall cause such Subsidiary to comply with the provisions of Sections 4.21 and 4.25 hereof and this Article 11, to the extent applicable.</w:t>
      </w:r>
    </w:p>
    <w:p>
      <w:pPr>
        <w:spacing w:after="0" w:line="213"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11.04</w:t>
      </w:r>
      <w:r>
        <w:rPr>
          <w:sz w:val="20"/>
          <w:szCs w:val="20"/>
          <w:color w:val="auto"/>
        </w:rPr>
        <w:tab/>
      </w:r>
      <w:r>
        <w:rPr>
          <w:rFonts w:ascii="Arial" w:cs="Arial" w:eastAsia="Arial" w:hAnsi="Arial"/>
          <w:sz w:val="19"/>
          <w:szCs w:val="19"/>
          <w:i w:val="1"/>
          <w:iCs w:val="1"/>
          <w:color w:val="auto"/>
        </w:rPr>
        <w:t>Guarantors May Consolidate, etc., on Certain Terms.</w:t>
      </w:r>
    </w:p>
    <w:p>
      <w:pPr>
        <w:spacing w:after="0" w:line="233" w:lineRule="exact"/>
        <w:rPr>
          <w:sz w:val="20"/>
          <w:szCs w:val="20"/>
          <w:color w:val="auto"/>
        </w:rPr>
      </w:pPr>
    </w:p>
    <w:p>
      <w:pPr>
        <w:jc w:val="both"/>
        <w:ind w:firstLine="656"/>
        <w:spacing w:after="0"/>
        <w:tabs>
          <w:tab w:leader="none" w:pos="1323" w:val="left"/>
        </w:tabs>
        <w:numPr>
          <w:ilvl w:val="0"/>
          <w:numId w:val="210"/>
        </w:numPr>
        <w:rPr>
          <w:rFonts w:ascii="Arial" w:cs="Arial" w:eastAsia="Arial" w:hAnsi="Arial"/>
          <w:sz w:val="22"/>
          <w:szCs w:val="22"/>
          <w:color w:val="auto"/>
        </w:rPr>
      </w:pPr>
      <w:r>
        <w:rPr>
          <w:rFonts w:ascii="Arial" w:cs="Arial" w:eastAsia="Arial" w:hAnsi="Arial"/>
          <w:sz w:val="22"/>
          <w:szCs w:val="22"/>
          <w:color w:val="auto"/>
        </w:rPr>
        <w:t>A Guarantor may not sell or otherwise dispose of all or substantially all of its assets to, or consolidate with or merge with or into (whether or not such Guarantor is the surviving Person) another Person, other than either of the Issuers or another Guarantor, unless:</w:t>
      </w:r>
    </w:p>
    <w:p>
      <w:pPr>
        <w:spacing w:after="0" w:line="213" w:lineRule="exact"/>
        <w:rPr>
          <w:rFonts w:ascii="Arial" w:cs="Arial" w:eastAsia="Arial" w:hAnsi="Arial"/>
          <w:sz w:val="22"/>
          <w:szCs w:val="22"/>
          <w:color w:val="auto"/>
        </w:rPr>
      </w:pPr>
    </w:p>
    <w:p>
      <w:pPr>
        <w:ind w:left="2160" w:hanging="855"/>
        <w:spacing w:after="0"/>
        <w:tabs>
          <w:tab w:leader="none" w:pos="216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immediately after giving effect to that transaction, no Default or Event of Default exists; and</w:t>
      </w:r>
    </w:p>
    <w:p>
      <w:pPr>
        <w:spacing w:after="0" w:line="233" w:lineRule="exact"/>
        <w:rPr>
          <w:rFonts w:ascii="Arial" w:cs="Arial" w:eastAsia="Arial" w:hAnsi="Arial"/>
          <w:sz w:val="22"/>
          <w:szCs w:val="22"/>
          <w:color w:val="auto"/>
        </w:rPr>
      </w:pPr>
    </w:p>
    <w:p>
      <w:pPr>
        <w:ind w:left="2160" w:hanging="855"/>
        <w:spacing w:after="0"/>
        <w:tabs>
          <w:tab w:leader="none" w:pos="216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either:</w:t>
      </w:r>
    </w:p>
    <w:p>
      <w:pPr>
        <w:spacing w:after="0" w:line="233" w:lineRule="exact"/>
        <w:rPr>
          <w:rFonts w:ascii="Arial" w:cs="Arial" w:eastAsia="Arial" w:hAnsi="Arial"/>
          <w:sz w:val="22"/>
          <w:szCs w:val="22"/>
          <w:color w:val="auto"/>
        </w:rPr>
      </w:pPr>
    </w:p>
    <w:p>
      <w:pPr>
        <w:jc w:val="both"/>
        <w:ind w:firstLine="2098"/>
        <w:spacing w:after="0" w:line="238" w:lineRule="auto"/>
        <w:tabs>
          <w:tab w:leader="none" w:pos="3189" w:val="left"/>
        </w:tabs>
        <w:numPr>
          <w:ilvl w:val="3"/>
          <w:numId w:val="210"/>
        </w:numPr>
        <w:rPr>
          <w:rFonts w:ascii="Arial" w:cs="Arial" w:eastAsia="Arial" w:hAnsi="Arial"/>
          <w:sz w:val="22"/>
          <w:szCs w:val="22"/>
          <w:color w:val="auto"/>
        </w:rPr>
      </w:pPr>
      <w:r>
        <w:rPr>
          <w:rFonts w:ascii="Arial" w:cs="Arial" w:eastAsia="Arial" w:hAnsi="Arial"/>
          <w:sz w:val="22"/>
          <w:szCs w:val="22"/>
          <w:color w:val="auto"/>
        </w:rPr>
        <w:t>the Person acquiring the property in any such sale or disposition or the Person formed by or surviving any such consolidation or merger assumes all the obligations of that Guarantor under this Indenture, its Note Guarantee and the Registration Rights Agreement pursuant to a supplemental indenture and other appropriate documents satisfactory to the Trustee; or</w:t>
      </w:r>
    </w:p>
    <w:p>
      <w:pPr>
        <w:spacing w:after="0" w:line="212" w:lineRule="exact"/>
        <w:rPr>
          <w:rFonts w:ascii="Arial" w:cs="Arial" w:eastAsia="Arial" w:hAnsi="Arial"/>
          <w:sz w:val="22"/>
          <w:szCs w:val="22"/>
          <w:color w:val="auto"/>
        </w:rPr>
      </w:pPr>
    </w:p>
    <w:p>
      <w:pPr>
        <w:ind w:left="3120" w:hanging="1033"/>
        <w:spacing w:after="0"/>
        <w:tabs>
          <w:tab w:leader="none" w:pos="3120" w:val="left"/>
        </w:tabs>
        <w:numPr>
          <w:ilvl w:val="2"/>
          <w:numId w:val="210"/>
        </w:numPr>
        <w:rPr>
          <w:rFonts w:ascii="Arial" w:cs="Arial" w:eastAsia="Arial" w:hAnsi="Arial"/>
          <w:sz w:val="19"/>
          <w:szCs w:val="19"/>
          <w:color w:val="auto"/>
        </w:rPr>
      </w:pPr>
      <w:r>
        <w:rPr>
          <w:rFonts w:ascii="Arial" w:cs="Arial" w:eastAsia="Arial" w:hAnsi="Arial"/>
          <w:sz w:val="19"/>
          <w:szCs w:val="19"/>
          <w:color w:val="auto"/>
        </w:rPr>
        <w:t>the Net Proceeds of such sale or other disposition are applied in accordance with Section 4.10</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15" w:lineRule="exact"/>
        <w:rPr>
          <w:rFonts w:ascii="Arial" w:cs="Arial" w:eastAsia="Arial" w:hAnsi="Arial"/>
          <w:sz w:val="19"/>
          <w:szCs w:val="19"/>
          <w:color w:val="auto"/>
        </w:rPr>
      </w:pPr>
    </w:p>
    <w:p>
      <w:pPr>
        <w:jc w:val="both"/>
        <w:ind w:firstLine="656"/>
        <w:spacing w:after="0"/>
        <w:tabs>
          <w:tab w:leader="none" w:pos="1527" w:val="left"/>
        </w:tabs>
        <w:numPr>
          <w:ilvl w:val="0"/>
          <w:numId w:val="210"/>
        </w:numPr>
        <w:rPr>
          <w:rFonts w:ascii="Arial" w:cs="Arial" w:eastAsia="Arial" w:hAnsi="Arial"/>
          <w:sz w:val="22"/>
          <w:szCs w:val="22"/>
          <w:color w:val="auto"/>
        </w:rPr>
      </w:pPr>
      <w:r>
        <w:rPr>
          <w:rFonts w:ascii="Arial" w:cs="Arial" w:eastAsia="Arial" w:hAnsi="Arial"/>
          <w:sz w:val="22"/>
          <w:szCs w:val="22"/>
          <w:color w:val="auto"/>
        </w:rPr>
        <w:t>In case of any consolidation, merger, sale or conveyance of or involving a Guarantor under this Section 11.04 hereof, and upon the assumption by the successor Person, by supplemental indenture, executed and delivered to the Trustee and satisfactory in form to the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3" w:name="page144"/>
    <w:bookmarkEnd w:id="143"/>
    <w:p>
      <w:pPr>
        <w:jc w:val="both"/>
        <w:spacing w:after="0" w:line="277" w:lineRule="auto"/>
        <w:rPr>
          <w:sz w:val="20"/>
          <w:szCs w:val="20"/>
          <w:color w:val="auto"/>
        </w:rPr>
      </w:pPr>
      <w:r>
        <w:rPr>
          <w:rFonts w:ascii="Arial" w:cs="Arial" w:eastAsia="Arial" w:hAnsi="Arial"/>
          <w:sz w:val="19"/>
          <w:szCs w:val="19"/>
          <w:color w:val="auto"/>
        </w:rPr>
        <w:t>Trustee, of the Note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Note Guarantees to be endorsed upon all of the Notes issuable hereunder which theretofore shall not have been signed by the Issuers and delivered to the Trustee. All the Note Guarantees so issued shall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80" w:lineRule="exact"/>
        <w:rPr>
          <w:sz w:val="20"/>
          <w:szCs w:val="20"/>
          <w:color w:val="auto"/>
        </w:rPr>
      </w:pPr>
    </w:p>
    <w:p>
      <w:pPr>
        <w:jc w:val="both"/>
        <w:ind w:firstLine="656"/>
        <w:spacing w:after="0" w:line="297" w:lineRule="auto"/>
        <w:tabs>
          <w:tab w:leader="none" w:pos="1668" w:val="left"/>
        </w:tabs>
        <w:numPr>
          <w:ilvl w:val="0"/>
          <w:numId w:val="211"/>
        </w:numPr>
        <w:rPr>
          <w:rFonts w:ascii="Arial" w:cs="Arial" w:eastAsia="Arial" w:hAnsi="Arial"/>
          <w:sz w:val="19"/>
          <w:szCs w:val="19"/>
          <w:color w:val="auto"/>
        </w:rPr>
      </w:pPr>
      <w:r>
        <w:rPr>
          <w:rFonts w:ascii="Arial" w:cs="Arial" w:eastAsia="Arial" w:hAnsi="Arial"/>
          <w:sz w:val="19"/>
          <w:szCs w:val="19"/>
          <w:color w:val="auto"/>
        </w:rPr>
        <w:t>Except as set forth in Articles 4 and 5 hereof, nothing contained in this Indenture or in any of the Notes shall prevent any consolidation or merger of a Guarantor with or into the Issuers or another Guarantor, or shall prevent any sale or conveyance of the property of a Guarantor as an entirety or substantially as an entirety to the Issuers or another Guarantor.</w:t>
      </w:r>
    </w:p>
    <w:p>
      <w:pPr>
        <w:spacing w:after="0" w:line="161" w:lineRule="exact"/>
        <w:rPr>
          <w:rFonts w:ascii="Arial" w:cs="Arial" w:eastAsia="Arial" w:hAnsi="Arial"/>
          <w:sz w:val="19"/>
          <w:szCs w:val="19"/>
          <w:color w:val="auto"/>
        </w:rPr>
      </w:pPr>
    </w:p>
    <w:p>
      <w:pPr>
        <w:ind w:firstLine="656"/>
        <w:spacing w:after="0" w:line="251" w:lineRule="auto"/>
        <w:tabs>
          <w:tab w:leader="none" w:pos="1523" w:val="left"/>
        </w:tabs>
        <w:numPr>
          <w:ilvl w:val="0"/>
          <w:numId w:val="211"/>
        </w:numPr>
        <w:rPr>
          <w:rFonts w:ascii="Arial" w:cs="Arial" w:eastAsia="Arial" w:hAnsi="Arial"/>
          <w:sz w:val="22"/>
          <w:szCs w:val="22"/>
          <w:color w:val="auto"/>
        </w:rPr>
      </w:pPr>
      <w:r>
        <w:rPr>
          <w:rFonts w:ascii="Arial" w:cs="Arial" w:eastAsia="Arial" w:hAnsi="Arial"/>
          <w:sz w:val="22"/>
          <w:szCs w:val="22"/>
          <w:color w:val="auto"/>
        </w:rPr>
        <w:t>Notwithstanding the foregoing, each Guarantor is permitted to reorganize as a corporation pursuant to a Permitted C-Corp. Conversion.</w:t>
      </w:r>
    </w:p>
    <w:p>
      <w:pPr>
        <w:spacing w:after="0" w:line="200"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11.05</w:t>
      </w:r>
      <w:r>
        <w:rPr>
          <w:sz w:val="20"/>
          <w:szCs w:val="20"/>
          <w:color w:val="auto"/>
        </w:rPr>
        <w:tab/>
      </w:r>
      <w:r>
        <w:rPr>
          <w:rFonts w:ascii="Arial" w:cs="Arial" w:eastAsia="Arial" w:hAnsi="Arial"/>
          <w:sz w:val="19"/>
          <w:szCs w:val="19"/>
          <w:i w:val="1"/>
          <w:iCs w:val="1"/>
          <w:color w:val="auto"/>
        </w:rPr>
        <w:t>Releases Following Sale of Assets.</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Subject to compliance with Section 11.04 hereof, the Note Guarantee of a Guarantor and the security interests granted by that Guarantor to secure its Note Guarantee shall be released: (1) in connection with any sale or other disposition of all or substantially all of the assets of that Guarantor (including by way of merger or consolidation) to a Person that is not (either before or after giving effect to such transaction) Wynn Las Vegas or one of its Restricted Subsidiaries, if the sale or other disposition complies with the applicable provisions of this Indenture, including, without limitation, Section 4.10 hereof; or (2) in connection with any sale of all of the Capital Stock of a Guarantor to a Person that is not (either before or after giving effect to such transaction) Wynn Las Vegas or one of its Restricted Subsidiaries, if the sale complies with the applicable provisions of this Indenture, including, without limitation, Section 4.10 hereof. Upon delivery by Wynn Las Vegas to the Trustee of an Officers’ Certificate and an Opinion of Counsel to the effect that such sale or other disposition was made by the Issuers in accordance with the provisions of this Indenture, including, without limitation, Section 4.10 hereof, the Trustee shall execute any documents reasonably required in order to evidence the release of any Guarantor from its obligations under its Note Guarantee.</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Any Guarantor not released from its obligations under its Note Guarantee shall remain liable for the full amount of principal of and interest and premium, if any, on the Notes and for the other obligations of any Guarantor under this Indenture as provided in this Article 11.</w:t>
      </w:r>
    </w:p>
    <w:p>
      <w:pPr>
        <w:spacing w:after="0" w:line="213"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11.06</w:t>
      </w:r>
      <w:r>
        <w:rPr>
          <w:sz w:val="20"/>
          <w:szCs w:val="20"/>
          <w:color w:val="auto"/>
        </w:rPr>
        <w:tab/>
      </w:r>
      <w:r>
        <w:rPr>
          <w:rFonts w:ascii="Arial" w:cs="Arial" w:eastAsia="Arial" w:hAnsi="Arial"/>
          <w:sz w:val="19"/>
          <w:szCs w:val="19"/>
          <w:i w:val="1"/>
          <w:iCs w:val="1"/>
          <w:color w:val="auto"/>
        </w:rPr>
        <w:t>Release of Guarantees.</w:t>
      </w:r>
    </w:p>
    <w:p>
      <w:pPr>
        <w:spacing w:after="0" w:line="23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Subject to compliance with the provisions described above under this Article 11, the Note Guarantee of a Guarantor and the security interests granted by that Guarantor to secure its Note Guarantee will be released: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4" w:name="page145"/>
    <w:bookmarkEnd w:id="144"/>
    <w:p>
      <w:pPr>
        <w:jc w:val="both"/>
        <w:ind w:firstLine="656"/>
        <w:spacing w:after="0" w:line="248" w:lineRule="auto"/>
        <w:tabs>
          <w:tab w:leader="none" w:pos="1460" w:val="left"/>
        </w:tabs>
        <w:numPr>
          <w:ilvl w:val="0"/>
          <w:numId w:val="212"/>
        </w:numPr>
        <w:rPr>
          <w:rFonts w:ascii="Arial" w:cs="Arial" w:eastAsia="Arial" w:hAnsi="Arial"/>
          <w:sz w:val="21"/>
          <w:szCs w:val="21"/>
          <w:color w:val="auto"/>
        </w:rPr>
      </w:pPr>
      <w:r>
        <w:rPr>
          <w:rFonts w:ascii="Arial" w:cs="Arial" w:eastAsia="Arial" w:hAnsi="Arial"/>
          <w:sz w:val="21"/>
          <w:szCs w:val="21"/>
          <w:color w:val="auto"/>
        </w:rPr>
        <w:t>if the lenders under the Credit Agreement release the guarantees by such Guarantor under the Credit Agreement (provided that it will not be deemed to be a release of the first priority security interest requiring the automatic release of the Trustee’s Liens (for the benefit of the 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 or replaced with liens in favor of the lenders or holders of such refinancing Indebtedness (or any agent on their behalf);</w:t>
      </w:r>
    </w:p>
    <w:p>
      <w:pPr>
        <w:spacing w:after="0" w:line="204" w:lineRule="exact"/>
        <w:rPr>
          <w:rFonts w:ascii="Arial" w:cs="Arial" w:eastAsia="Arial" w:hAnsi="Arial"/>
          <w:sz w:val="21"/>
          <w:szCs w:val="21"/>
          <w:color w:val="auto"/>
        </w:rPr>
      </w:pPr>
    </w:p>
    <w:p>
      <w:pPr>
        <w:jc w:val="both"/>
        <w:ind w:firstLine="656"/>
        <w:spacing w:after="0" w:line="252" w:lineRule="auto"/>
        <w:tabs>
          <w:tab w:leader="none" w:pos="1400" w:val="left"/>
        </w:tabs>
        <w:numPr>
          <w:ilvl w:val="0"/>
          <w:numId w:val="212"/>
        </w:numPr>
        <w:rPr>
          <w:rFonts w:ascii="Arial" w:cs="Arial" w:eastAsia="Arial" w:hAnsi="Arial"/>
          <w:sz w:val="21"/>
          <w:szCs w:val="21"/>
          <w:color w:val="auto"/>
        </w:rPr>
      </w:pPr>
      <w:r>
        <w:rPr>
          <w:rFonts w:ascii="Arial" w:cs="Arial" w:eastAsia="Arial" w:hAnsi="Arial"/>
          <w:sz w:val="21"/>
          <w:szCs w:val="21"/>
          <w:color w:val="auto"/>
        </w:rPr>
        <w:t>in connection with any sale or other disposition of all or substantially all of the assets of that Guarantor (including by way of merger or consolidation) to a Person that is not (either before or after giving effect to such transaction) an Issuer or a Restricted Subsidiary of Wynn Las Vegas, if the sale or other disposition is made in compliance with Section 4.10 hereof, and if, after giving effect to such sale or other disposition, such Guarantor is an Immaterial Subsidiary;</w:t>
      </w:r>
    </w:p>
    <w:p>
      <w:pPr>
        <w:spacing w:after="0" w:line="201" w:lineRule="exact"/>
        <w:rPr>
          <w:rFonts w:ascii="Arial" w:cs="Arial" w:eastAsia="Arial" w:hAnsi="Arial"/>
          <w:sz w:val="21"/>
          <w:szCs w:val="21"/>
          <w:color w:val="auto"/>
        </w:rPr>
      </w:pPr>
    </w:p>
    <w:p>
      <w:pPr>
        <w:jc w:val="both"/>
        <w:ind w:firstLine="656"/>
        <w:spacing w:after="0"/>
        <w:tabs>
          <w:tab w:leader="none" w:pos="1385" w:val="left"/>
        </w:tabs>
        <w:numPr>
          <w:ilvl w:val="0"/>
          <w:numId w:val="212"/>
        </w:numPr>
        <w:rPr>
          <w:rFonts w:ascii="Arial" w:cs="Arial" w:eastAsia="Arial" w:hAnsi="Arial"/>
          <w:sz w:val="22"/>
          <w:szCs w:val="22"/>
          <w:color w:val="auto"/>
        </w:rPr>
      </w:pPr>
      <w:r>
        <w:rPr>
          <w:rFonts w:ascii="Arial" w:cs="Arial" w:eastAsia="Arial" w:hAnsi="Arial"/>
          <w:sz w:val="22"/>
          <w:szCs w:val="22"/>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Section 4.10 hereof;</w:t>
      </w:r>
    </w:p>
    <w:p>
      <w:pPr>
        <w:spacing w:after="0" w:line="213" w:lineRule="exact"/>
        <w:rPr>
          <w:rFonts w:ascii="Arial" w:cs="Arial" w:eastAsia="Arial" w:hAnsi="Arial"/>
          <w:sz w:val="22"/>
          <w:szCs w:val="22"/>
          <w:color w:val="auto"/>
        </w:rPr>
      </w:pPr>
    </w:p>
    <w:p>
      <w:pPr>
        <w:ind w:firstLine="656"/>
        <w:spacing w:after="0" w:line="251" w:lineRule="auto"/>
        <w:tabs>
          <w:tab w:leader="none" w:pos="1571" w:val="left"/>
        </w:tabs>
        <w:numPr>
          <w:ilvl w:val="0"/>
          <w:numId w:val="212"/>
        </w:numPr>
        <w:rPr>
          <w:rFonts w:ascii="Arial" w:cs="Arial" w:eastAsia="Arial" w:hAnsi="Arial"/>
          <w:sz w:val="22"/>
          <w:szCs w:val="22"/>
          <w:color w:val="auto"/>
        </w:rPr>
      </w:pPr>
      <w:r>
        <w:rPr>
          <w:rFonts w:ascii="Arial" w:cs="Arial" w:eastAsia="Arial" w:hAnsi="Arial"/>
          <w:sz w:val="22"/>
          <w:szCs w:val="22"/>
          <w:color w:val="auto"/>
        </w:rPr>
        <w:t>if Wynn Las Vegas designates such Guarantor, if a Restricted Subsidiary, to be an Unrestricted Subsidiary in accordance with Section 4.17 hereof; or</w:t>
      </w:r>
    </w:p>
    <w:p>
      <w:pPr>
        <w:spacing w:after="0" w:line="200" w:lineRule="exact"/>
        <w:rPr>
          <w:rFonts w:ascii="Arial" w:cs="Arial" w:eastAsia="Arial" w:hAnsi="Arial"/>
          <w:sz w:val="22"/>
          <w:szCs w:val="22"/>
          <w:color w:val="auto"/>
        </w:rPr>
      </w:pPr>
    </w:p>
    <w:p>
      <w:pPr>
        <w:ind w:firstLine="656"/>
        <w:spacing w:after="0" w:line="251" w:lineRule="auto"/>
        <w:tabs>
          <w:tab w:leader="none" w:pos="148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upon Legal Defeasance as provided for in Section 8.02 hereof or satisfaction and discharge of this Indenture as provided for in Section 12.01 hereof.</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addition to the release of any Note Guarantee by the applicable Guarantor as described in this Section 11.06, the obligations of the Guarantors under the Note Guarantees will be released if all of the Collateral is released as provided for in Section 10.03(b) hereof.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SATISFACTION AND DISCHARGE</w:t>
      </w:r>
    </w:p>
    <w:p>
      <w:pPr>
        <w:spacing w:after="0" w:line="215"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12.01</w:t>
      </w:r>
      <w:r>
        <w:rPr>
          <w:sz w:val="20"/>
          <w:szCs w:val="20"/>
          <w:color w:val="auto"/>
        </w:rPr>
        <w:tab/>
      </w:r>
      <w:r>
        <w:rPr>
          <w:rFonts w:ascii="Arial" w:cs="Arial" w:eastAsia="Arial" w:hAnsi="Arial"/>
          <w:sz w:val="19"/>
          <w:szCs w:val="19"/>
          <w:i w:val="1"/>
          <w:iCs w:val="1"/>
          <w:color w:val="auto"/>
        </w:rPr>
        <w:t>Satisfaction and Discharge.</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This Indenture and the Collateral Documents shall be discharged and shall cease to be of further effect as to all Notes issued hereunder, when:</w:t>
      </w:r>
    </w:p>
    <w:p>
      <w:pPr>
        <w:spacing w:after="0" w:line="200" w:lineRule="exact"/>
        <w:rPr>
          <w:sz w:val="20"/>
          <w:szCs w:val="20"/>
          <w:color w:val="auto"/>
        </w:rPr>
      </w:pPr>
    </w:p>
    <w:p>
      <w:pPr>
        <w:ind w:left="1320" w:hanging="664"/>
        <w:spacing w:after="0"/>
        <w:tabs>
          <w:tab w:leader="none" w:pos="132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either:</w:t>
      </w:r>
    </w:p>
    <w:p>
      <w:pPr>
        <w:spacing w:after="0" w:line="233" w:lineRule="exact"/>
        <w:rPr>
          <w:rFonts w:ascii="Arial" w:cs="Arial" w:eastAsia="Arial" w:hAnsi="Arial"/>
          <w:sz w:val="22"/>
          <w:szCs w:val="22"/>
          <w:color w:val="auto"/>
        </w:rPr>
      </w:pPr>
    </w:p>
    <w:p>
      <w:pPr>
        <w:jc w:val="both"/>
        <w:ind w:left="660" w:firstLine="645"/>
        <w:spacing w:after="0"/>
        <w:tabs>
          <w:tab w:leader="none" w:pos="2281" w:val="left"/>
        </w:tabs>
        <w:numPr>
          <w:ilvl w:val="1"/>
          <w:numId w:val="213"/>
        </w:numPr>
        <w:rPr>
          <w:rFonts w:ascii="Arial" w:cs="Arial" w:eastAsia="Arial" w:hAnsi="Arial"/>
          <w:sz w:val="22"/>
          <w:szCs w:val="22"/>
          <w:color w:val="auto"/>
        </w:rPr>
      </w:pPr>
      <w:r>
        <w:rPr>
          <w:rFonts w:ascii="Arial" w:cs="Arial" w:eastAsia="Arial" w:hAnsi="Arial"/>
          <w:sz w:val="22"/>
          <w:szCs w:val="22"/>
          <w:color w:val="auto"/>
        </w:rPr>
        <w:t>all Notes that have been authenticated, except lost, stolen or destroyed Notes that have been replaced or paid and Notes for whose payment money has theretofore been deposited in trust and thereafter repaid to the Issuers, have been delivered to the Trustee for cancellation; or</w:t>
      </w:r>
    </w:p>
    <w:p>
      <w:pPr>
        <w:spacing w:after="0" w:line="213" w:lineRule="exact"/>
        <w:rPr>
          <w:rFonts w:ascii="Arial" w:cs="Arial" w:eastAsia="Arial" w:hAnsi="Arial"/>
          <w:sz w:val="22"/>
          <w:szCs w:val="22"/>
          <w:color w:val="auto"/>
        </w:rPr>
      </w:pPr>
    </w:p>
    <w:p>
      <w:pPr>
        <w:ind w:left="660" w:firstLine="645"/>
        <w:spacing w:after="0" w:line="251" w:lineRule="auto"/>
        <w:tabs>
          <w:tab w:leader="none" w:pos="2356" w:val="left"/>
        </w:tabs>
        <w:numPr>
          <w:ilvl w:val="1"/>
          <w:numId w:val="213"/>
        </w:numPr>
        <w:rPr>
          <w:rFonts w:ascii="Arial" w:cs="Arial" w:eastAsia="Arial" w:hAnsi="Arial"/>
          <w:sz w:val="22"/>
          <w:szCs w:val="22"/>
          <w:color w:val="auto"/>
        </w:rPr>
      </w:pPr>
      <w:r>
        <w:rPr>
          <w:rFonts w:ascii="Arial" w:cs="Arial" w:eastAsia="Arial" w:hAnsi="Arial"/>
          <w:sz w:val="22"/>
          <w:szCs w:val="22"/>
          <w:color w:val="auto"/>
        </w:rPr>
        <w:t>all Notes that have not been delivered to the Trustee for cancellation will become due and payable by reason of the mailing of a notice of redemption or otherwise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5" w:name="page146"/>
    <w:bookmarkEnd w:id="145"/>
    <w:p>
      <w:pPr>
        <w:jc w:val="both"/>
        <w:ind w:left="660"/>
        <w:spacing w:after="0" w:line="235" w:lineRule="auto"/>
        <w:rPr>
          <w:sz w:val="20"/>
          <w:szCs w:val="20"/>
          <w:color w:val="auto"/>
        </w:rPr>
      </w:pPr>
      <w:r>
        <w:rPr>
          <w:rFonts w:ascii="Arial" w:cs="Arial" w:eastAsia="Arial" w:hAnsi="Arial"/>
          <w:sz w:val="22"/>
          <w:szCs w:val="22"/>
          <w:color w:val="auto"/>
        </w:rPr>
        <w:t>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thereof, in such amounts as shall be sufficient without consideration of any reinvestment of interest, to pay and discharge the entire Indebtedness on the Notes not delivered to the Trustee for cancellation for principal, premium and Liquidated Damages, if any, and accrued interest to the date of maturity or redemption;</w:t>
      </w:r>
    </w:p>
    <w:p>
      <w:pPr>
        <w:spacing w:after="0" w:line="215" w:lineRule="exact"/>
        <w:rPr>
          <w:sz w:val="20"/>
          <w:szCs w:val="20"/>
          <w:color w:val="auto"/>
        </w:rPr>
      </w:pPr>
    </w:p>
    <w:p>
      <w:pPr>
        <w:jc w:val="both"/>
        <w:ind w:firstLine="656"/>
        <w:spacing w:after="0" w:line="238" w:lineRule="auto"/>
        <w:tabs>
          <w:tab w:leader="none" w:pos="139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on the date of such deposit or shall occur as a result of the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212" w:lineRule="exact"/>
        <w:rPr>
          <w:rFonts w:ascii="Arial" w:cs="Arial" w:eastAsia="Arial" w:hAnsi="Arial"/>
          <w:sz w:val="22"/>
          <w:szCs w:val="22"/>
          <w:color w:val="auto"/>
        </w:rPr>
      </w:pPr>
    </w:p>
    <w:p>
      <w:pPr>
        <w:ind w:left="1320" w:hanging="664"/>
        <w:spacing w:after="0"/>
        <w:tabs>
          <w:tab w:leader="none" w:pos="132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the Issuers or any Guarantor have paid or caused to be paid all sums payable by the Issuers under this Indenture; and</w:t>
      </w:r>
    </w:p>
    <w:p>
      <w:pPr>
        <w:spacing w:after="0" w:line="267" w:lineRule="exact"/>
        <w:rPr>
          <w:rFonts w:ascii="Arial" w:cs="Arial" w:eastAsia="Arial" w:hAnsi="Arial"/>
          <w:sz w:val="19"/>
          <w:szCs w:val="19"/>
          <w:color w:val="auto"/>
        </w:rPr>
      </w:pPr>
    </w:p>
    <w:p>
      <w:pPr>
        <w:ind w:firstLine="656"/>
        <w:spacing w:after="0" w:line="251" w:lineRule="auto"/>
        <w:tabs>
          <w:tab w:leader="none" w:pos="1373"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the Issuers have delivered irrevocable instructions to the Trustee under this Indenture to apply the deposited money toward the payment of the Notes at maturity or the redemption date, as the case may be.</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addition, the Issuers must deliver an Officers’ Certificate and an Opinion of Counsel to the Trustee stating that all conditions precedent to satisfaction and discharge have been satisfied.</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Notwithstanding the satisfaction and discharge of this Indenture , if money has been deposited with the Trustee pursuant to subclause (2) of clause (a) of this Section, the provisions of Section 12.02 and Section 8.06 shall survive. In addition, nothing in this Section 12.01 shall be deemed to discharge those provisions of Section 7.07 hereof, that, by their terms, survive the satisfaction and discharge of this Indenture.</w:t>
      </w:r>
    </w:p>
    <w:p>
      <w:pPr>
        <w:spacing w:after="0" w:line="212"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12.02</w:t>
      </w:r>
      <w:r>
        <w:rPr>
          <w:sz w:val="20"/>
          <w:szCs w:val="20"/>
          <w:color w:val="auto"/>
        </w:rPr>
        <w:tab/>
      </w:r>
      <w:r>
        <w:rPr>
          <w:rFonts w:ascii="Arial" w:cs="Arial" w:eastAsia="Arial" w:hAnsi="Arial"/>
          <w:sz w:val="19"/>
          <w:szCs w:val="19"/>
          <w:i w:val="1"/>
          <w:iCs w:val="1"/>
          <w:color w:val="auto"/>
        </w:rPr>
        <w:t>Application of Trust Money.</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Subject to the provisions of Section 8.06, all money deposited with the Trustee pursuant to Section 12.01 shall be held in trust and applied by it, in accordance with the provisions of the Notes and this Indenture, to the payment, either directly or through any Paying Agent (including the Issuers acting as their own Paying Agent) as the Trustee may determine, to the Persons entitled thereto, of the principal (and premium and Liquidated Damages, if any) and interest for whose payment such money has been deposited with the Trustee; but such money need not be segregated from other funds except to the extent required by law.</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If the Trustee or Paying Agent is unable to apply any money or Government Securities in accordance with Section 12.01 by reason of any legal proceeding or by reason of any order or judgment of any court or governmental authority enjoining, restraining or otherwise prohibiting such application, the Issuers’ and any Guarantor’s obligations under this Indenture, the Notes, the Note Guarantees and the Collateral Documents shall be revived and reinstated as though no deposit had occurred pursuant to Section 12.01; provided that if the Issuers have made any payment of principal of, premium or Liquidated Damages, if any, or interest on any Notes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6" w:name="page147"/>
    <w:bookmarkEnd w:id="146"/>
    <w:p>
      <w:pPr>
        <w:spacing w:after="0" w:line="251" w:lineRule="auto"/>
        <w:rPr>
          <w:sz w:val="20"/>
          <w:szCs w:val="20"/>
          <w:color w:val="auto"/>
        </w:rPr>
      </w:pPr>
      <w:r>
        <w:rPr>
          <w:rFonts w:ascii="Arial" w:cs="Arial" w:eastAsia="Arial" w:hAnsi="Arial"/>
          <w:sz w:val="22"/>
          <w:szCs w:val="22"/>
          <w:color w:val="auto"/>
        </w:rPr>
        <w:t>because of the reinstatement of its obligations, the Issuers shall be subrogated to the rights of the Holders of such Notes to receive such payment from the money or Government Securities held by the Trustee or Paying Agent.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AND SEVERAL LIABILITY</w:t>
      </w:r>
    </w:p>
    <w:p>
      <w:pPr>
        <w:spacing w:after="0" w:line="215"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13.01</w:t>
      </w:r>
      <w:r>
        <w:rPr>
          <w:sz w:val="20"/>
          <w:szCs w:val="20"/>
          <w:color w:val="auto"/>
        </w:rPr>
        <w:tab/>
      </w:r>
      <w:r>
        <w:rPr>
          <w:rFonts w:ascii="Arial" w:cs="Arial" w:eastAsia="Arial" w:hAnsi="Arial"/>
          <w:sz w:val="19"/>
          <w:szCs w:val="19"/>
          <w:i w:val="1"/>
          <w:iCs w:val="1"/>
          <w:color w:val="auto"/>
        </w:rPr>
        <w:t>Joint and Several Liability.</w:t>
      </w:r>
    </w:p>
    <w:p>
      <w:pPr>
        <w:spacing w:after="0" w:line="233" w:lineRule="exact"/>
        <w:rPr>
          <w:sz w:val="20"/>
          <w:szCs w:val="20"/>
          <w:color w:val="auto"/>
        </w:rPr>
      </w:pPr>
    </w:p>
    <w:p>
      <w:pPr>
        <w:jc w:val="both"/>
        <w:ind w:firstLine="656"/>
        <w:spacing w:after="0" w:line="248" w:lineRule="auto"/>
        <w:tabs>
          <w:tab w:leader="none" w:pos="1497" w:val="left"/>
        </w:tabs>
        <w:numPr>
          <w:ilvl w:val="0"/>
          <w:numId w:val="215"/>
        </w:numPr>
        <w:rPr>
          <w:rFonts w:ascii="Arial" w:cs="Arial" w:eastAsia="Arial" w:hAnsi="Arial"/>
          <w:sz w:val="21"/>
          <w:szCs w:val="21"/>
          <w:color w:val="auto"/>
        </w:rPr>
      </w:pPr>
      <w:r>
        <w:rPr>
          <w:rFonts w:ascii="Arial" w:cs="Arial" w:eastAsia="Arial" w:hAnsi="Arial"/>
          <w:sz w:val="21"/>
          <w:szCs w:val="21"/>
          <w:color w:val="auto"/>
        </w:rPr>
        <w:t>Notwithstanding any contrary provision contained in this Indenture, the Notes and the Collateral Documents to which both of the Issuers are a party, the covenants, agreements and obligations of the Issuers, and either of them, shall be deemed joint and several obligations of the Issuers. Any waiver including, without limitation, any suretyship waiver, made by either Issuer in this Indenture, the Notes or any Collateral Document to which both of the Issuers are a party shall be deemed to be made also by the other Issuer and references in any such waiver to either Issuer shall be deemed to include the other Issuer and each of them to the fullest extent permitted by applicable law.</w:t>
      </w:r>
    </w:p>
    <w:p>
      <w:pPr>
        <w:spacing w:after="0" w:line="204" w:lineRule="exact"/>
        <w:rPr>
          <w:rFonts w:ascii="Arial" w:cs="Arial" w:eastAsia="Arial" w:hAnsi="Arial"/>
          <w:sz w:val="21"/>
          <w:szCs w:val="21"/>
          <w:color w:val="auto"/>
        </w:rPr>
      </w:pPr>
    </w:p>
    <w:p>
      <w:pPr>
        <w:jc w:val="both"/>
        <w:ind w:firstLine="656"/>
        <w:spacing w:after="0"/>
        <w:tabs>
          <w:tab w:leader="none" w:pos="1356" w:val="left"/>
        </w:tabs>
        <w:numPr>
          <w:ilvl w:val="0"/>
          <w:numId w:val="215"/>
        </w:numPr>
        <w:rPr>
          <w:rFonts w:ascii="Arial" w:cs="Arial" w:eastAsia="Arial" w:hAnsi="Arial"/>
          <w:sz w:val="22"/>
          <w:szCs w:val="22"/>
          <w:color w:val="auto"/>
        </w:rPr>
      </w:pPr>
      <w:r>
        <w:rPr>
          <w:rFonts w:ascii="Arial" w:cs="Arial" w:eastAsia="Arial" w:hAnsi="Arial"/>
          <w:sz w:val="22"/>
          <w:szCs w:val="22"/>
          <w:color w:val="auto"/>
        </w:rPr>
        <w:t>Notwithstanding any contrary provision contained in this Indenture, the Notes or any Collateral Document to which both of the Issuers are a party, each such document to which both Issuers are party shall be deemed to include, without limitation, the following waivers:</w:t>
      </w:r>
    </w:p>
    <w:p>
      <w:pPr>
        <w:spacing w:after="0" w:line="2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Each of the Issuers hereby waives and relinquishes all rights and remedies accorded by applicable law to sureties or guarantors and agrees not to assert or take advantage of any such rights or remedies, including, without limitation, (i) any right to require the Trustee or any of the Holders (each a “</w:t>
      </w:r>
      <w:r>
        <w:rPr>
          <w:rFonts w:ascii="Arial" w:cs="Arial" w:eastAsia="Arial" w:hAnsi="Arial"/>
          <w:sz w:val="19"/>
          <w:szCs w:val="19"/>
          <w:i w:val="1"/>
          <w:iCs w:val="1"/>
          <w:u w:val="single" w:color="auto"/>
          <w:color w:val="auto"/>
        </w:rPr>
        <w:t>Beneficiary</w:t>
      </w:r>
      <w:r>
        <w:rPr>
          <w:rFonts w:ascii="Arial" w:cs="Arial" w:eastAsia="Arial" w:hAnsi="Arial"/>
          <w:sz w:val="19"/>
          <w:szCs w:val="19"/>
          <w:color w:val="auto"/>
        </w:rPr>
        <w:t>”) to proceed against either of the Issuers or any other Person or to proceed against or exhaust any security held by a Beneficiary at any time or to pursue any other remedy in the power of a Beneficiary before proceeding against such Issuer or other Person, (ii) the defense of the statute of limitations in any action hereunder or in any action for the collection or performance of the Obligations under the Indenture, the Note s and any of the Collateral Documents (collectively, the “</w:t>
      </w:r>
      <w:r>
        <w:rPr>
          <w:rFonts w:ascii="Arial" w:cs="Arial" w:eastAsia="Arial" w:hAnsi="Arial"/>
          <w:sz w:val="19"/>
          <w:szCs w:val="19"/>
          <w:i w:val="1"/>
          <w:iCs w:val="1"/>
          <w:u w:val="single" w:color="auto"/>
          <w:color w:val="auto"/>
        </w:rPr>
        <w:t>Note Obligations</w:t>
      </w:r>
      <w:r>
        <w:rPr>
          <w:rFonts w:ascii="Arial" w:cs="Arial" w:eastAsia="Arial" w:hAnsi="Arial"/>
          <w:sz w:val="19"/>
          <w:szCs w:val="19"/>
          <w:color w:val="auto"/>
        </w:rPr>
        <w:t>”), (iii) any defense that may arise by reason of the incapacity, lack of authority, death or disability of any Person or the failure of a Beneficiary to file or enforce a claim against the estate (in administration, bankruptcy or any other proceeding) of any Person, (iv) appraisal, valuation, stay, extension, marshaling of assets, redemption, exemption, demand, presentment, protest and notice of any kind, including, without limitation, notice of the existence, creation or incurring of any new or additional indebtedness or obligation or of any action or non action on the part of a Beneficiary, any Issuer, any endorser, guarantor or creditor of either Issuer or on the part of any other Person under this or any other instrument or document in connection with any Obligation or evidence of Indebtedness held by a Beneficiary as collateral or in connection with the Note Obligations, (v) any defense based upon an election of remedies by a Beneficiary, including, without limitation, an election to proceed by non judicial rather than judicial foreclosure, which destroys or otherwise impairs the subrogation rights of either Issuer, the right of either Issuer to proceed against the other Issuer or any other Person for reimbursement, or both, (vi) any defense based upon any statute or rule of law which provides that the obligation of a surety must be neither larger in amount nor in other respects more burdensome than that of the principal, (vii) any duty on the part of a Beneficiary to disclose to either Issuer any facts a Beneficiary may now or hereafter know about either of the Issuers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7" w:name="page148"/>
    <w:bookmarkEnd w:id="147"/>
    <w:p>
      <w:pPr>
        <w:jc w:val="both"/>
        <w:spacing w:after="0" w:line="269" w:lineRule="auto"/>
        <w:rPr>
          <w:sz w:val="20"/>
          <w:szCs w:val="20"/>
          <w:color w:val="auto"/>
        </w:rPr>
      </w:pPr>
      <w:r>
        <w:rPr>
          <w:rFonts w:ascii="Arial" w:cs="Arial" w:eastAsia="Arial" w:hAnsi="Arial"/>
          <w:sz w:val="19"/>
          <w:szCs w:val="19"/>
          <w:color w:val="auto"/>
        </w:rPr>
        <w:t>any other Person, regardless of whether a Beneficiary has reason to believe that any such facts materially increase the risk beyond that which such Issuer intends to assume, or has reason to believe that such facts are unknown to such Issuer, or has a reasonable opportunity to communicate such facts to the either Issuer, because each Issuer acknowledges that each Issuer is fully responsible for being and keeping informed of the financial condition of each of the Issuers or any other Person and of all circumstances bearing on the risk of non payment of any Note Obligations, (viii) any defense arising because of the election of a Beneficiary, in any proceeding instituted under the Bankruptcy Law, of the application of Section 1111(b)(2) of the Bankruptcy Law, (ix) any defense based upon any borrowing or grant of a security interes t under Section 364 of the Bankruptcy Law, (x) any claim or other rights which it may now or hereafter acquire against the other Issuer or any other Person that arises from the existence of performance of each Issuer of its obligations under this Indenture, the Notes or any Collateral Document, including, without limitation, any right of subrogation, reimbursement, exoneration, contribution, indemnification, any right to participate in any claim or remedy by a Beneficiary against the other Issuer or any collateral which a Beneficiary now has or hereafter acquires, whether or not such claim, remedy or right arises in equity or under contract, statute or common law, by any payment made hereunder or otherwise, including, without limitation, the right to take or receive from either of the Issuers or any other Person, directly or indirectly, in cash or other property or by set off or in any other manner, payment or security on account of such claim or other rights, (xi) any rights which it may acquire by way of c ontribution under this Indenture, the Notes or any Collateral Document, by any payment made hereunder or otherwise, including, without limitation, the right to take or receive from any other Person, directly or indirectly, in cash or other property or by set off or in any other manner, payment or security on account of such contribution rights, and (xii) any defense based on one action laws and any other anti deficiency protections granted to guarantors by applicable law. No failure or delay on the Trustee’s part in exercising any power, right or privilege under this Indenture shall impair or waive one such power, right or privilege. Each of the Issuers acknowledges and agrees that any nonrecourse or exculpation provided for in this Indenture, the Notes or any Collateral Document, or any other provision of this Indenture, the Notes or any Collateral Document, limiting the Beneficiaries’ recourse to specific collateral, or limiting the Beneficiaries’ right to enforce a deficiency judgment against the Issuers, shall have absolutely no application to the Issuers’ liability under this Indenture, the Notes or any Collateral Documents.</w:t>
      </w:r>
    </w:p>
    <w:p>
      <w:pPr>
        <w:spacing w:after="0" w:line="200" w:lineRule="exact"/>
        <w:rPr>
          <w:sz w:val="20"/>
          <w:szCs w:val="20"/>
          <w:color w:val="auto"/>
        </w:rPr>
      </w:pPr>
    </w:p>
    <w:p>
      <w:pPr>
        <w:spacing w:after="0" w:line="245" w:lineRule="exact"/>
        <w:rPr>
          <w:sz w:val="20"/>
          <w:szCs w:val="20"/>
          <w:color w:val="auto"/>
        </w:rPr>
      </w:pPr>
    </w:p>
    <w:p>
      <w:pPr>
        <w:jc w:val="both"/>
        <w:ind w:firstLine="656"/>
        <w:spacing w:after="0"/>
        <w:tabs>
          <w:tab w:leader="none" w:pos="1362" w:val="left"/>
        </w:tabs>
        <w:numPr>
          <w:ilvl w:val="0"/>
          <w:numId w:val="216"/>
        </w:numPr>
        <w:rPr>
          <w:rFonts w:ascii="Arial" w:cs="Arial" w:eastAsia="Arial" w:hAnsi="Arial"/>
          <w:sz w:val="22"/>
          <w:szCs w:val="22"/>
          <w:color w:val="auto"/>
        </w:rPr>
      </w:pPr>
      <w:r>
        <w:rPr>
          <w:rFonts w:ascii="Arial" w:cs="Arial" w:eastAsia="Arial" w:hAnsi="Arial"/>
          <w:sz w:val="22"/>
          <w:szCs w:val="22"/>
          <w:color w:val="auto"/>
        </w:rPr>
        <w:t>In the event of any inconsistency between the provisions of this Article 13 and the corresponding provisions of this Indenture, the Notes or any Collateral Document to which both of the Issuers are a party, the provisions of this Indenture shall govern.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14.01</w:t>
      </w:r>
      <w:r>
        <w:rPr>
          <w:sz w:val="20"/>
          <w:szCs w:val="20"/>
          <w:color w:val="auto"/>
        </w:rPr>
        <w:tab/>
      </w:r>
      <w:r>
        <w:rPr>
          <w:rFonts w:ascii="Arial" w:cs="Arial" w:eastAsia="Arial" w:hAnsi="Arial"/>
          <w:sz w:val="19"/>
          <w:szCs w:val="19"/>
          <w:i w:val="1"/>
          <w:iCs w:val="1"/>
          <w:color w:val="auto"/>
        </w:rPr>
        <w:t>Trust Indenture Act Controls.</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If any provision of this Indenture limits, qualifies or conflicts with the duties imposed by TIA §318(c), the imposed duties shall control.</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8" w:name="page149"/>
    <w:bookmarkEnd w:id="148"/>
    <w:p>
      <w:pPr>
        <w:spacing w:after="0"/>
        <w:tabs>
          <w:tab w:leader="none" w:pos="2580" w:val="left"/>
        </w:tabs>
        <w:rPr>
          <w:sz w:val="20"/>
          <w:szCs w:val="20"/>
          <w:color w:val="auto"/>
        </w:rPr>
      </w:pPr>
      <w:r>
        <w:rPr>
          <w:rFonts w:ascii="Arial" w:cs="Arial" w:eastAsia="Arial" w:hAnsi="Arial"/>
          <w:sz w:val="22"/>
          <w:szCs w:val="22"/>
          <w:color w:val="auto"/>
        </w:rPr>
        <w:t>Section 14.02</w:t>
      </w:r>
      <w:r>
        <w:rPr>
          <w:sz w:val="20"/>
          <w:szCs w:val="20"/>
          <w:color w:val="auto"/>
        </w:rPr>
        <w:tab/>
      </w:r>
      <w:r>
        <w:rPr>
          <w:rFonts w:ascii="Arial" w:cs="Arial" w:eastAsia="Arial" w:hAnsi="Arial"/>
          <w:sz w:val="19"/>
          <w:szCs w:val="19"/>
          <w:i w:val="1"/>
          <w:iCs w:val="1"/>
          <w:color w:val="auto"/>
        </w:rPr>
        <w:t>Notices.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Any notice or communication by the Issuers, any Guarantor or the Trustee to the others is duly given if in writing and delivered in Person or mailed by first class mail (registered or certified, return receipt requested), telex, telecopier or overnight air courier guaranteeing next day delivery, to the others’ address: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Issuers and/or any Guarantor: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Las Vegas, LLC</w:t>
      </w:r>
    </w:p>
    <w:p>
      <w:pPr>
        <w:ind w:left="660"/>
        <w:spacing w:after="0" w:line="238" w:lineRule="auto"/>
        <w:rPr>
          <w:sz w:val="20"/>
          <w:szCs w:val="20"/>
          <w:color w:val="auto"/>
        </w:rPr>
      </w:pPr>
      <w:r>
        <w:rPr>
          <w:rFonts w:ascii="Arial" w:cs="Arial" w:eastAsia="Arial" w:hAnsi="Arial"/>
          <w:sz w:val="22"/>
          <w:szCs w:val="22"/>
          <w:color w:val="auto"/>
        </w:rPr>
        <w:t>3131 Las Vegas Boulevard</w:t>
      </w:r>
    </w:p>
    <w:p>
      <w:pPr>
        <w:ind w:left="660"/>
        <w:spacing w:after="0" w:line="230" w:lineRule="auto"/>
        <w:rPr>
          <w:sz w:val="20"/>
          <w:szCs w:val="20"/>
          <w:color w:val="auto"/>
        </w:rPr>
      </w:pPr>
      <w:r>
        <w:rPr>
          <w:rFonts w:ascii="Arial" w:cs="Arial" w:eastAsia="Arial" w:hAnsi="Arial"/>
          <w:sz w:val="22"/>
          <w:szCs w:val="22"/>
          <w:color w:val="auto"/>
        </w:rPr>
        <w:t>South Las Vegas, NV 89109</w:t>
      </w:r>
    </w:p>
    <w:p>
      <w:pPr>
        <w:ind w:left="660"/>
        <w:spacing w:after="0" w:line="231" w:lineRule="auto"/>
        <w:rPr>
          <w:sz w:val="20"/>
          <w:szCs w:val="20"/>
          <w:color w:val="auto"/>
        </w:rPr>
      </w:pPr>
      <w:r>
        <w:rPr>
          <w:rFonts w:ascii="Arial" w:cs="Arial" w:eastAsia="Arial" w:hAnsi="Arial"/>
          <w:sz w:val="22"/>
          <w:szCs w:val="22"/>
          <w:color w:val="auto"/>
        </w:rPr>
        <w:t>Telecopier No.: (702) 770-1104</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President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Las Vegas, LLC</w:t>
      </w:r>
    </w:p>
    <w:p>
      <w:pPr>
        <w:ind w:left="660"/>
        <w:spacing w:after="0" w:line="238" w:lineRule="auto"/>
        <w:rPr>
          <w:sz w:val="20"/>
          <w:szCs w:val="20"/>
          <w:color w:val="auto"/>
        </w:rPr>
      </w:pPr>
      <w:r>
        <w:rPr>
          <w:rFonts w:ascii="Arial" w:cs="Arial" w:eastAsia="Arial" w:hAnsi="Arial"/>
          <w:sz w:val="22"/>
          <w:szCs w:val="22"/>
          <w:color w:val="auto"/>
        </w:rPr>
        <w:t>3131 Las Vegas Boulevard</w:t>
      </w:r>
    </w:p>
    <w:p>
      <w:pPr>
        <w:ind w:left="660"/>
        <w:spacing w:after="0" w:line="230" w:lineRule="auto"/>
        <w:rPr>
          <w:sz w:val="20"/>
          <w:szCs w:val="20"/>
          <w:color w:val="auto"/>
        </w:rPr>
      </w:pPr>
      <w:r>
        <w:rPr>
          <w:rFonts w:ascii="Arial" w:cs="Arial" w:eastAsia="Arial" w:hAnsi="Arial"/>
          <w:sz w:val="22"/>
          <w:szCs w:val="22"/>
          <w:color w:val="auto"/>
        </w:rPr>
        <w:t>South Las Vegas, NV 89109</w:t>
      </w:r>
    </w:p>
    <w:p>
      <w:pPr>
        <w:ind w:left="660"/>
        <w:spacing w:after="0" w:line="231" w:lineRule="auto"/>
        <w:rPr>
          <w:sz w:val="20"/>
          <w:szCs w:val="20"/>
          <w:color w:val="auto"/>
        </w:rPr>
      </w:pPr>
      <w:r>
        <w:rPr>
          <w:rFonts w:ascii="Arial" w:cs="Arial" w:eastAsia="Arial" w:hAnsi="Arial"/>
          <w:sz w:val="22"/>
          <w:szCs w:val="22"/>
          <w:color w:val="auto"/>
        </w:rPr>
        <w:t>Telecopier No.: (702) 770-1503</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further copy 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Skadden, Arps, Slate, Meagher &amp; Flom LLP</w:t>
      </w:r>
    </w:p>
    <w:p>
      <w:pPr>
        <w:ind w:left="660"/>
        <w:spacing w:after="0" w:line="238" w:lineRule="auto"/>
        <w:rPr>
          <w:sz w:val="20"/>
          <w:szCs w:val="20"/>
          <w:color w:val="auto"/>
        </w:rPr>
      </w:pPr>
      <w:r>
        <w:rPr>
          <w:rFonts w:ascii="Arial" w:cs="Arial" w:eastAsia="Arial" w:hAnsi="Arial"/>
          <w:sz w:val="22"/>
          <w:szCs w:val="22"/>
          <w:color w:val="auto"/>
        </w:rPr>
        <w:t>300 South Grand Avenue, Suite 3400</w:t>
      </w:r>
    </w:p>
    <w:p>
      <w:pPr>
        <w:ind w:left="660"/>
        <w:spacing w:after="0" w:line="230" w:lineRule="auto"/>
        <w:rPr>
          <w:sz w:val="20"/>
          <w:szCs w:val="20"/>
          <w:color w:val="auto"/>
        </w:rPr>
      </w:pPr>
      <w:r>
        <w:rPr>
          <w:rFonts w:ascii="Arial" w:cs="Arial" w:eastAsia="Arial" w:hAnsi="Arial"/>
          <w:sz w:val="22"/>
          <w:szCs w:val="22"/>
          <w:color w:val="auto"/>
        </w:rPr>
        <w:t>Los Angeles, CA 90071-3144</w:t>
      </w:r>
    </w:p>
    <w:p>
      <w:pPr>
        <w:ind w:left="660"/>
        <w:spacing w:after="0" w:line="231" w:lineRule="auto"/>
        <w:rPr>
          <w:sz w:val="20"/>
          <w:szCs w:val="20"/>
          <w:color w:val="auto"/>
        </w:rPr>
      </w:pPr>
      <w:r>
        <w:rPr>
          <w:rFonts w:ascii="Arial" w:cs="Arial" w:eastAsia="Arial" w:hAnsi="Arial"/>
          <w:sz w:val="22"/>
          <w:szCs w:val="22"/>
          <w:color w:val="auto"/>
        </w:rPr>
        <w:t>Telecopier No.: (213) 621-5010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Jerome Coben, Esq. and Casey Fleck, Esq.</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Trustee: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 Bank National Association</w:t>
      </w:r>
    </w:p>
    <w:p>
      <w:pPr>
        <w:ind w:left="660"/>
        <w:spacing w:after="0" w:line="238" w:lineRule="auto"/>
        <w:rPr>
          <w:sz w:val="20"/>
          <w:szCs w:val="20"/>
          <w:color w:val="auto"/>
        </w:rPr>
      </w:pPr>
      <w:r>
        <w:rPr>
          <w:rFonts w:ascii="Arial" w:cs="Arial" w:eastAsia="Arial" w:hAnsi="Arial"/>
          <w:sz w:val="22"/>
          <w:szCs w:val="22"/>
          <w:color w:val="auto"/>
        </w:rPr>
        <w:t>EP-MN-WS3C</w:t>
      </w:r>
    </w:p>
    <w:p>
      <w:pPr>
        <w:ind w:left="660"/>
        <w:spacing w:after="0" w:line="230" w:lineRule="auto"/>
        <w:rPr>
          <w:sz w:val="20"/>
          <w:szCs w:val="20"/>
          <w:color w:val="auto"/>
        </w:rPr>
      </w:pPr>
      <w:r>
        <w:rPr>
          <w:rFonts w:ascii="Arial" w:cs="Arial" w:eastAsia="Arial" w:hAnsi="Arial"/>
          <w:sz w:val="22"/>
          <w:szCs w:val="22"/>
          <w:color w:val="auto"/>
        </w:rPr>
        <w:t>60 Livingston Avenue</w:t>
      </w:r>
    </w:p>
    <w:p>
      <w:pPr>
        <w:ind w:left="660"/>
        <w:spacing w:after="0" w:line="231" w:lineRule="auto"/>
        <w:rPr>
          <w:sz w:val="20"/>
          <w:szCs w:val="20"/>
          <w:color w:val="auto"/>
        </w:rPr>
      </w:pPr>
      <w:r>
        <w:rPr>
          <w:rFonts w:ascii="Arial" w:cs="Arial" w:eastAsia="Arial" w:hAnsi="Arial"/>
          <w:sz w:val="22"/>
          <w:szCs w:val="22"/>
          <w:color w:val="auto"/>
        </w:rPr>
        <w:t>St. Paul, MN 55107-2292</w:t>
      </w:r>
    </w:p>
    <w:p>
      <w:pPr>
        <w:ind w:left="660"/>
        <w:spacing w:after="0" w:line="231" w:lineRule="auto"/>
        <w:rPr>
          <w:sz w:val="20"/>
          <w:szCs w:val="20"/>
          <w:color w:val="auto"/>
        </w:rPr>
      </w:pPr>
      <w:r>
        <w:rPr>
          <w:rFonts w:ascii="Arial" w:cs="Arial" w:eastAsia="Arial" w:hAnsi="Arial"/>
          <w:sz w:val="22"/>
          <w:szCs w:val="22"/>
          <w:color w:val="auto"/>
        </w:rPr>
        <w:t>Telecopier No.: (651) 495-8097</w:t>
      </w:r>
    </w:p>
    <w:p>
      <w:pPr>
        <w:ind w:left="660"/>
        <w:spacing w:after="0"/>
        <w:rPr>
          <w:sz w:val="20"/>
          <w:szCs w:val="20"/>
          <w:color w:val="auto"/>
        </w:rPr>
      </w:pPr>
      <w:r>
        <w:rPr>
          <w:rFonts w:ascii="Arial" w:cs="Arial" w:eastAsia="Arial" w:hAnsi="Arial"/>
          <w:sz w:val="22"/>
          <w:szCs w:val="22"/>
          <w:color w:val="auto"/>
        </w:rPr>
        <w:t>Attention: Corporate Trust Department</w:t>
      </w:r>
    </w:p>
    <w:p>
      <w:pPr>
        <w:spacing w:after="0" w:line="2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Issuers, any Guarantor or the Trustee, by notice to the others may designate additional or different addresses for subsequent notices or communications.</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All notices and communications (other than those sent to Holders) shall be deemed to have been duly given: at the time delivered by hand, if personally delivered; five Business Days after being deposited in the mail, postage prepaid, if mailed; when answered back, if telexed; when receipt acknowledged, if telecopied; and the next Business Day after timely delivery to the courier, if sent by overnight air courier guaranteeing next day delivery.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49" w:name="page150"/>
    <w:bookmarkEnd w:id="149"/>
    <w:p>
      <w:pPr>
        <w:jc w:val="both"/>
        <w:ind w:firstLine="648"/>
        <w:spacing w:after="0" w:line="287" w:lineRule="auto"/>
        <w:rPr>
          <w:sz w:val="20"/>
          <w:szCs w:val="20"/>
          <w:color w:val="auto"/>
        </w:rPr>
      </w:pPr>
      <w:r>
        <w:rPr>
          <w:rFonts w:ascii="Arial" w:cs="Arial" w:eastAsia="Arial" w:hAnsi="Arial"/>
          <w:sz w:val="19"/>
          <w:szCs w:val="19"/>
          <w:color w:val="auto"/>
        </w:rPr>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 313(c), to the extent required by the TIA. Failure to mail a notice or communication to a Holder or any defect in it shall not affect its sufficiency with respect to other Holders.</w:t>
      </w:r>
    </w:p>
    <w:p>
      <w:pPr>
        <w:spacing w:after="0" w:line="1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If a notice or communication is mailed in the manner provided above within the time prescribed, it is duly given, whether or not the addressee receives it.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the Issuers mail a notice or communication to Holders, they shall mail a copy to the Trustee and each Agent at the same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15"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14.03</w:t>
      </w:r>
      <w:r>
        <w:rPr>
          <w:sz w:val="20"/>
          <w:szCs w:val="20"/>
          <w:color w:val="auto"/>
        </w:rPr>
        <w:tab/>
      </w:r>
      <w:r>
        <w:rPr>
          <w:rFonts w:ascii="Arial" w:cs="Arial" w:eastAsia="Arial" w:hAnsi="Arial"/>
          <w:sz w:val="19"/>
          <w:szCs w:val="19"/>
          <w:i w:val="1"/>
          <w:iCs w:val="1"/>
          <w:color w:val="auto"/>
        </w:rPr>
        <w:t>Communication by Holders of Notes with Other Holders of Notes.</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Holders may communicate pursuant to TIA § 312(b) with other Holders with respect to their rights under this Indenture or the Notes. The Issuers, the Guarantors, the Trustee, the Registrar and anyone else shall have the protection of TIA § 312(c).</w:t>
      </w:r>
    </w:p>
    <w:p>
      <w:pPr>
        <w:spacing w:after="0" w:line="132"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14.04</w:t>
      </w:r>
      <w:r>
        <w:rPr>
          <w:sz w:val="20"/>
          <w:szCs w:val="20"/>
          <w:color w:val="auto"/>
        </w:rPr>
        <w:tab/>
      </w:r>
      <w:r>
        <w:rPr>
          <w:rFonts w:ascii="Arial" w:cs="Arial" w:eastAsia="Arial" w:hAnsi="Arial"/>
          <w:sz w:val="19"/>
          <w:szCs w:val="19"/>
          <w:i w:val="1"/>
          <w:iCs w:val="1"/>
          <w:color w:val="auto"/>
        </w:rPr>
        <w:t>Certificate and Opinion as to Conditions Precedent.</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Upon any request or application by the Issuers to the Trustee to take any action under this Indenture, the Issuers shall furnish to the Trustee:</w:t>
      </w:r>
    </w:p>
    <w:p>
      <w:pPr>
        <w:spacing w:after="0" w:line="200" w:lineRule="exact"/>
        <w:rPr>
          <w:sz w:val="20"/>
          <w:szCs w:val="20"/>
          <w:color w:val="auto"/>
        </w:rPr>
      </w:pPr>
    </w:p>
    <w:p>
      <w:pPr>
        <w:jc w:val="both"/>
        <w:ind w:firstLine="656"/>
        <w:spacing w:after="0" w:line="258" w:lineRule="auto"/>
        <w:tabs>
          <w:tab w:leader="none" w:pos="1569" w:val="left"/>
        </w:tabs>
        <w:numPr>
          <w:ilvl w:val="0"/>
          <w:numId w:val="217"/>
        </w:numPr>
        <w:rPr>
          <w:rFonts w:ascii="Arial" w:cs="Arial" w:eastAsia="Arial" w:hAnsi="Arial"/>
          <w:sz w:val="21"/>
          <w:szCs w:val="21"/>
          <w:color w:val="auto"/>
        </w:rPr>
      </w:pPr>
      <w:r>
        <w:rPr>
          <w:rFonts w:ascii="Arial" w:cs="Arial" w:eastAsia="Arial" w:hAnsi="Arial"/>
          <w:sz w:val="21"/>
          <w:szCs w:val="21"/>
          <w:color w:val="auto"/>
        </w:rPr>
        <w:t>an Officers’ Certificate in form and substance reasonably satisfactory to the Trustee (which must include the statements set forth in Section 14.05 hereof) stating that, in the opinion of the signers, all conditions precedent and covenants, if any, provided for in this Indenture relating to the proposed action have been satisfied; and</w:t>
      </w:r>
    </w:p>
    <w:p>
      <w:pPr>
        <w:spacing w:after="0" w:line="193" w:lineRule="exact"/>
        <w:rPr>
          <w:rFonts w:ascii="Arial" w:cs="Arial" w:eastAsia="Arial" w:hAnsi="Arial"/>
          <w:sz w:val="21"/>
          <w:szCs w:val="21"/>
          <w:color w:val="auto"/>
        </w:rPr>
      </w:pPr>
    </w:p>
    <w:p>
      <w:pPr>
        <w:jc w:val="both"/>
        <w:ind w:firstLine="656"/>
        <w:spacing w:after="0"/>
        <w:tabs>
          <w:tab w:leader="none" w:pos="15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an Opinion of Counsel in form and substance reasonably satisfactory to the Trustee (which must include the statements set forth in Section 14.05 hereof) stating that, in the opinion of such counsel, all such conditions precedent and covenants have been satisfied.</w:t>
      </w:r>
    </w:p>
    <w:p>
      <w:pPr>
        <w:spacing w:after="0" w:line="213"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14.05</w:t>
      </w:r>
      <w:r>
        <w:rPr>
          <w:sz w:val="20"/>
          <w:szCs w:val="20"/>
          <w:color w:val="auto"/>
        </w:rPr>
        <w:tab/>
      </w:r>
      <w:r>
        <w:rPr>
          <w:rFonts w:ascii="Arial" w:cs="Arial" w:eastAsia="Arial" w:hAnsi="Arial"/>
          <w:sz w:val="19"/>
          <w:szCs w:val="19"/>
          <w:i w:val="1"/>
          <w:iCs w:val="1"/>
          <w:color w:val="auto"/>
        </w:rPr>
        <w:t>Statements Required in Certificate or Opinion.</w:t>
      </w:r>
    </w:p>
    <w:p>
      <w:pPr>
        <w:spacing w:after="0" w:line="233"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Each certificate or opinion with respect to compliance with a condition or covenant provided for in this Indenture (other than a certificate provided pursuant to TIA § 314(a)(4)) must comply with the provisions of TIA § 314(e) and must include:</w:t>
      </w:r>
    </w:p>
    <w:p>
      <w:pPr>
        <w:spacing w:after="0" w:line="132" w:lineRule="exact"/>
        <w:rPr>
          <w:sz w:val="20"/>
          <w:szCs w:val="20"/>
          <w:color w:val="auto"/>
        </w:rPr>
      </w:pPr>
    </w:p>
    <w:p>
      <w:pPr>
        <w:ind w:left="1320" w:hanging="664"/>
        <w:spacing w:after="0"/>
        <w:tabs>
          <w:tab w:leader="none" w:pos="132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 statement that the Person making such certificate or opinion has read such covenant or condition;</w:t>
      </w:r>
    </w:p>
    <w:p>
      <w:pPr>
        <w:spacing w:after="0" w:line="233" w:lineRule="exact"/>
        <w:rPr>
          <w:rFonts w:ascii="Arial" w:cs="Arial" w:eastAsia="Arial" w:hAnsi="Arial"/>
          <w:sz w:val="22"/>
          <w:szCs w:val="22"/>
          <w:color w:val="auto"/>
        </w:rPr>
      </w:pPr>
    </w:p>
    <w:p>
      <w:pPr>
        <w:ind w:firstLine="656"/>
        <w:spacing w:after="0" w:line="251" w:lineRule="auto"/>
        <w:tabs>
          <w:tab w:leader="none" w:pos="1544"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200" w:lineRule="exact"/>
        <w:rPr>
          <w:rFonts w:ascii="Arial" w:cs="Arial" w:eastAsia="Arial" w:hAnsi="Arial"/>
          <w:sz w:val="22"/>
          <w:szCs w:val="22"/>
          <w:color w:val="auto"/>
        </w:rPr>
      </w:pPr>
    </w:p>
    <w:p>
      <w:pPr>
        <w:ind w:firstLine="656"/>
        <w:spacing w:after="0" w:line="328" w:lineRule="auto"/>
        <w:tabs>
          <w:tab w:leader="none" w:pos="1332" w:val="left"/>
        </w:tabs>
        <w:numPr>
          <w:ilvl w:val="0"/>
          <w:numId w:val="218"/>
        </w:numPr>
        <w:rPr>
          <w:rFonts w:ascii="Arial" w:cs="Arial" w:eastAsia="Arial" w:hAnsi="Arial"/>
          <w:sz w:val="19"/>
          <w:szCs w:val="19"/>
          <w:color w:val="auto"/>
        </w:rPr>
      </w:pPr>
      <w:r>
        <w:rPr>
          <w:rFonts w:ascii="Arial" w:cs="Arial" w:eastAsia="Arial" w:hAnsi="Arial"/>
          <w:sz w:val="19"/>
          <w:szCs w:val="19"/>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50" w:name="page151"/>
    <w:bookmarkEnd w:id="150"/>
    <w:p>
      <w:pPr>
        <w:ind w:left="1340" w:hanging="684"/>
        <w:spacing w:after="0"/>
        <w:tabs>
          <w:tab w:leader="none" w:pos="134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a statement as to whether or not, in the opinion of such Person, such condition or covenant has been satisfied.</w:t>
      </w:r>
    </w:p>
    <w:p>
      <w:pPr>
        <w:spacing w:after="0" w:line="268"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14.06</w:t>
      </w:r>
      <w:r>
        <w:rPr>
          <w:sz w:val="20"/>
          <w:szCs w:val="20"/>
          <w:color w:val="auto"/>
        </w:rPr>
        <w:tab/>
      </w:r>
      <w:r>
        <w:rPr>
          <w:rFonts w:ascii="Arial" w:cs="Arial" w:eastAsia="Arial" w:hAnsi="Arial"/>
          <w:sz w:val="18"/>
          <w:szCs w:val="18"/>
          <w:i w:val="1"/>
          <w:iCs w:val="1"/>
          <w:color w:val="auto"/>
        </w:rPr>
        <w:t>Rules by Trustee and Agents.</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Trustee may make reasonable rules for action by or at a meeting of Holders. The Registrar or Paying Agent may make reasonable rules and set reasonable requirements for its functions.</w:t>
      </w:r>
    </w:p>
    <w:p>
      <w:pPr>
        <w:spacing w:after="0" w:line="200"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14.07</w:t>
      </w:r>
      <w:r>
        <w:rPr>
          <w:sz w:val="20"/>
          <w:szCs w:val="20"/>
          <w:color w:val="auto"/>
        </w:rPr>
        <w:tab/>
      </w:r>
      <w:r>
        <w:rPr>
          <w:rFonts w:ascii="Arial" w:cs="Arial" w:eastAsia="Arial" w:hAnsi="Arial"/>
          <w:sz w:val="19"/>
          <w:szCs w:val="19"/>
          <w:i w:val="1"/>
          <w:iCs w:val="1"/>
          <w:color w:val="auto"/>
        </w:rPr>
        <w:t>No Personal Liability of Directors, Officers, Employees and Equity Holders.</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No past, present or future director, officer, employee, incorporator, organizer, equity holder or member of either Issuer, any of the Restricted Subsidiaries or any Guarantor, as such, shall have any liability for any obligations of either Issuer, any such Restricted Subsidiary or any Guarantor under the Notes, the Note Guarantees, this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204"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14.08</w:t>
      </w:r>
      <w:r>
        <w:rPr>
          <w:sz w:val="20"/>
          <w:szCs w:val="20"/>
          <w:color w:val="auto"/>
        </w:rPr>
        <w:tab/>
      </w:r>
      <w:r>
        <w:rPr>
          <w:rFonts w:ascii="Arial" w:cs="Arial" w:eastAsia="Arial" w:hAnsi="Arial"/>
          <w:sz w:val="19"/>
          <w:szCs w:val="19"/>
          <w:i w:val="1"/>
          <w:iCs w:val="1"/>
          <w:color w:val="auto"/>
        </w:rPr>
        <w:t>Governing Law.</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THIS INDENTURE, THE NOTES AND THE NOTE GUARANTEES SHALL BE GOVERNED BY AND CONSTRUED IN ACCORDANCE WITH THE LAWS OF THE STATE OF NEW YORK, INCLUDING, WITHOUT LIMITATION, SECTION 5-1401 OF THE NEW YORK OBLIGATIONS LAW.</w:t>
      </w:r>
    </w:p>
    <w:p>
      <w:pPr>
        <w:spacing w:after="0" w:line="213"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14.09</w:t>
      </w:r>
      <w:r>
        <w:rPr>
          <w:sz w:val="20"/>
          <w:szCs w:val="20"/>
          <w:color w:val="auto"/>
        </w:rPr>
        <w:tab/>
      </w:r>
      <w:r>
        <w:rPr>
          <w:rFonts w:ascii="Arial" w:cs="Arial" w:eastAsia="Arial" w:hAnsi="Arial"/>
          <w:sz w:val="19"/>
          <w:szCs w:val="19"/>
          <w:i w:val="1"/>
          <w:iCs w:val="1"/>
          <w:color w:val="auto"/>
        </w:rPr>
        <w:t>No Adverse Interpretation of Other Agreements.</w:t>
      </w:r>
    </w:p>
    <w:p>
      <w:pPr>
        <w:spacing w:after="0" w:line="233"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This Indenture may not be used to interpret any other indenture, loan or debt agreement of the Issuers or their respective Subsidiaries or of any other Person. Any such indenture, loan or debt agreement may not be used to interpret this Indenture.</w:t>
      </w:r>
    </w:p>
    <w:p>
      <w:pPr>
        <w:spacing w:after="0" w:line="132"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14.10</w:t>
      </w:r>
      <w:r>
        <w:rPr>
          <w:sz w:val="20"/>
          <w:szCs w:val="20"/>
          <w:color w:val="auto"/>
        </w:rPr>
        <w:tab/>
      </w:r>
      <w:r>
        <w:rPr>
          <w:rFonts w:ascii="Arial" w:cs="Arial" w:eastAsia="Arial" w:hAnsi="Arial"/>
          <w:sz w:val="18"/>
          <w:szCs w:val="18"/>
          <w:i w:val="1"/>
          <w:iCs w:val="1"/>
          <w:color w:val="auto"/>
        </w:rPr>
        <w:t>Successors.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All agreements of the Issuers in this Indenture and the Notes shall bind their successors. All agreements of the Trustee in this Indenture shall bind its successors. All agreements of each Guarantor in this Indenture shall bind its successors, except as otherwise provided in Section 11.05.</w:t>
      </w:r>
    </w:p>
    <w:p>
      <w:pPr>
        <w:spacing w:after="0" w:line="213"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14.11</w:t>
      </w:r>
      <w:r>
        <w:rPr>
          <w:sz w:val="20"/>
          <w:szCs w:val="20"/>
          <w:color w:val="auto"/>
        </w:rPr>
        <w:tab/>
      </w:r>
      <w:r>
        <w:rPr>
          <w:rFonts w:ascii="Arial" w:cs="Arial" w:eastAsia="Arial" w:hAnsi="Arial"/>
          <w:sz w:val="19"/>
          <w:szCs w:val="19"/>
          <w:i w:val="1"/>
          <w:iCs w:val="1"/>
          <w:color w:val="auto"/>
        </w:rPr>
        <w:t>Severability.</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In case any provision in this Indenture or in the Notes is invalid, illegal or unenforceable, the validity, legality and enforceability of the remaining provisions shall not in any way be affected or impaired thereby.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51" w:name="page152"/>
    <w:bookmarkEnd w:id="151"/>
    <w:p>
      <w:pPr>
        <w:spacing w:after="0"/>
        <w:tabs>
          <w:tab w:leader="none" w:pos="2580" w:val="left"/>
        </w:tabs>
        <w:rPr>
          <w:sz w:val="20"/>
          <w:szCs w:val="20"/>
          <w:color w:val="auto"/>
        </w:rPr>
      </w:pPr>
      <w:r>
        <w:rPr>
          <w:rFonts w:ascii="Arial" w:cs="Arial" w:eastAsia="Arial" w:hAnsi="Arial"/>
          <w:sz w:val="22"/>
          <w:szCs w:val="22"/>
          <w:color w:val="auto"/>
        </w:rPr>
        <w:t>Section 14.12</w:t>
      </w:r>
      <w:r>
        <w:rPr>
          <w:sz w:val="20"/>
          <w:szCs w:val="20"/>
          <w:color w:val="auto"/>
        </w:rPr>
        <w:tab/>
      </w:r>
      <w:r>
        <w:rPr>
          <w:rFonts w:ascii="Arial" w:cs="Arial" w:eastAsia="Arial" w:hAnsi="Arial"/>
          <w:sz w:val="19"/>
          <w:szCs w:val="19"/>
          <w:i w:val="1"/>
          <w:iCs w:val="1"/>
          <w:color w:val="auto"/>
        </w:rPr>
        <w:t>Counterpart Originals.</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parties may sign any number of copies of this Indenture. Each signed copy shall be an original, but all of them together represent the same agreement.</w:t>
      </w:r>
    </w:p>
    <w:p>
      <w:pPr>
        <w:spacing w:after="0" w:line="200" w:lineRule="exact"/>
        <w:rPr>
          <w:sz w:val="20"/>
          <w:szCs w:val="20"/>
          <w:color w:val="auto"/>
        </w:rPr>
      </w:pPr>
    </w:p>
    <w:p>
      <w:pPr>
        <w:spacing w:after="0"/>
        <w:tabs>
          <w:tab w:leader="none" w:pos="2580" w:val="left"/>
        </w:tabs>
        <w:rPr>
          <w:sz w:val="20"/>
          <w:szCs w:val="20"/>
          <w:color w:val="auto"/>
        </w:rPr>
      </w:pPr>
      <w:r>
        <w:rPr>
          <w:rFonts w:ascii="Arial" w:cs="Arial" w:eastAsia="Arial" w:hAnsi="Arial"/>
          <w:sz w:val="22"/>
          <w:szCs w:val="22"/>
          <w:color w:val="auto"/>
        </w:rPr>
        <w:t>Section 14.13</w:t>
      </w:r>
      <w:r>
        <w:rPr>
          <w:sz w:val="20"/>
          <w:szCs w:val="20"/>
          <w:color w:val="auto"/>
        </w:rPr>
        <w:tab/>
      </w:r>
      <w:r>
        <w:rPr>
          <w:rFonts w:ascii="Arial" w:cs="Arial" w:eastAsia="Arial" w:hAnsi="Arial"/>
          <w:sz w:val="19"/>
          <w:szCs w:val="19"/>
          <w:i w:val="1"/>
          <w:iCs w:val="1"/>
          <w:color w:val="auto"/>
        </w:rPr>
        <w:t>Table of Contents, Headings, etc.</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[Signatures Pages Follow]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152" w:name="page153"/>
    <w:bookmarkEnd w:id="152"/>
    <w:p>
      <w:pPr>
        <w:ind w:left="4960"/>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76" w:lineRule="exact"/>
        <w:rPr>
          <w:sz w:val="20"/>
          <w:szCs w:val="20"/>
          <w:color w:val="auto"/>
        </w:rPr>
      </w:pPr>
    </w:p>
    <w:p>
      <w:pPr>
        <w:spacing w:after="0"/>
        <w:tabs>
          <w:tab w:leader="none" w:pos="4280" w:val="left"/>
        </w:tabs>
        <w:rPr>
          <w:sz w:val="20"/>
          <w:szCs w:val="20"/>
          <w:color w:val="auto"/>
        </w:rPr>
      </w:pPr>
      <w:r>
        <w:rPr>
          <w:rFonts w:ascii="Arial" w:cs="Arial" w:eastAsia="Arial" w:hAnsi="Arial"/>
          <w:sz w:val="22"/>
          <w:szCs w:val="22"/>
          <w:color w:val="auto"/>
        </w:rPr>
        <w:t>Dated as of April 28, 2010</w:t>
      </w:r>
      <w:r>
        <w:rPr>
          <w:sz w:val="20"/>
          <w:szCs w:val="20"/>
          <w:color w:val="auto"/>
        </w:rPr>
        <w:tab/>
      </w:r>
      <w:r>
        <w:rPr>
          <w:rFonts w:ascii="Arial" w:cs="Arial" w:eastAsia="Arial" w:hAnsi="Arial"/>
          <w:sz w:val="19"/>
          <w:szCs w:val="19"/>
          <w:b w:val="1"/>
          <w:bCs w:val="1"/>
          <w:color w:val="auto"/>
        </w:rPr>
        <w:t>ISSUERS:</w:t>
      </w:r>
    </w:p>
    <w:p>
      <w:pPr>
        <w:spacing w:after="0" w:line="206"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WYNN LAS VEGAS, LLC,</w:t>
      </w:r>
    </w:p>
    <w:p>
      <w:pPr>
        <w:spacing w:after="0" w:line="14"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a Nevada limited liability company</w:t>
      </w:r>
    </w:p>
    <w:p>
      <w:pPr>
        <w:sectPr>
          <w:pgSz w:w="11900" w:h="16838" w:orient="portrait"/>
          <w:cols w:equalWidth="0" w:num="1">
            <w:col w:w="10159"/>
          </w:cols>
          <w:pgMar w:left="300" w:top="747" w:right="1440" w:bottom="1440" w:gutter="0" w:footer="0" w:header="0"/>
        </w:sectPr>
      </w:pPr>
    </w:p>
    <w:p>
      <w:pPr>
        <w:spacing w:after="0" w:line="223"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Wynn Resorts Holdings,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4600" w:space="380"/>
            <w:col w:w="5179"/>
          </w:cols>
          <w:pgMar w:left="300" w:top="747" w:right="1440" w:bottom="1440" w:gutter="0" w:footer="0" w:header="0"/>
          <w:type w:val="continuous"/>
        </w:sectPr>
      </w:pPr>
    </w:p>
    <w:p>
      <w:pPr>
        <w:ind w:left="49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Wynn Resorts, Limited,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 Nevada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ectPr>
          <w:pgSz w:w="11900" w:h="16838" w:orient="portrait"/>
          <w:cols w:equalWidth="0" w:num="2">
            <w:col w:w="5300" w:space="380"/>
            <w:col w:w="4479"/>
          </w:cols>
          <w:pgMar w:left="300" w:top="747" w:right="1440" w:bottom="1440" w:gutter="0" w:footer="0" w:header="0"/>
          <w:type w:val="continuous"/>
        </w:sectPr>
      </w:pPr>
    </w:p>
    <w:p>
      <w:pPr>
        <w:spacing w:after="0" w:line="15"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7620</wp:posOffset>
            </wp:positionV>
            <wp:extent cx="26758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Matt Maddox</w:t>
      </w:r>
    </w:p>
    <w:p>
      <w:pPr>
        <w:spacing w:after="0" w:line="4" w:lineRule="exact"/>
        <w:rPr>
          <w:sz w:val="20"/>
          <w:szCs w:val="20"/>
          <w:color w:val="auto"/>
        </w:rPr>
      </w:pPr>
    </w:p>
    <w:p>
      <w:pPr>
        <w:jc w:val="both"/>
        <w:ind w:left="5680"/>
        <w:spacing w:after="0"/>
        <w:tabs>
          <w:tab w:leader="none" w:pos="6340" w:val="left"/>
        </w:tabs>
        <w:rPr>
          <w:sz w:val="20"/>
          <w:szCs w:val="20"/>
          <w:color w:val="auto"/>
        </w:rPr>
      </w:pPr>
      <w:r>
        <w:rPr>
          <w:rFonts w:ascii="Arial" w:cs="Arial" w:eastAsia="Arial" w:hAnsi="Arial"/>
          <w:sz w:val="22"/>
          <w:szCs w:val="22"/>
          <w:color w:val="auto"/>
        </w:rPr>
        <w:t>Title:</w:t>
        <w:tab/>
        <w:t>Chief Financial Officer and Treasurer</w:t>
      </w:r>
    </w:p>
    <w:p>
      <w:pPr>
        <w:spacing w:after="0" w:line="398"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WYNN LAS VEGAS CAPITAL CORP.,</w:t>
      </w:r>
    </w:p>
    <w:p>
      <w:pPr>
        <w:spacing w:after="0" w:line="14"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 Nevada corporation</w:t>
      </w:r>
      <w:r>
        <w:rPr>
          <w:rFonts w:ascii="Arial" w:cs="Arial" w:eastAsia="Arial" w:hAnsi="Arial"/>
          <w:sz w:val="22"/>
          <w:szCs w:val="22"/>
          <w:b w:val="1"/>
          <w:bCs w:val="1"/>
          <w:color w:val="auto"/>
        </w:rPr>
        <w:t>,</w:t>
      </w:r>
    </w:p>
    <w:p>
      <w:pPr>
        <w:spacing w:after="0" w:line="215" w:lineRule="exact"/>
        <w:rPr>
          <w:sz w:val="20"/>
          <w:szCs w:val="20"/>
          <w:color w:val="auto"/>
        </w:rPr>
      </w:pPr>
    </w:p>
    <w:p>
      <w:pPr>
        <w:ind w:left="4300"/>
        <w:spacing w:after="0"/>
        <w:tabs>
          <w:tab w:leader="none" w:pos="49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7620</wp:posOffset>
            </wp:positionV>
            <wp:extent cx="311277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Name: Matt Maddox</w:t>
      </w:r>
    </w:p>
    <w:p>
      <w:pPr>
        <w:spacing w:after="0" w:line="4" w:lineRule="exact"/>
        <w:rPr>
          <w:sz w:val="20"/>
          <w:szCs w:val="20"/>
          <w:color w:val="auto"/>
        </w:rPr>
      </w:pPr>
    </w:p>
    <w:p>
      <w:pPr>
        <w:ind w:left="4980"/>
        <w:spacing w:after="0"/>
        <w:tabs>
          <w:tab w:leader="none" w:pos="5660" w:val="left"/>
        </w:tabs>
        <w:rPr>
          <w:sz w:val="20"/>
          <w:szCs w:val="20"/>
          <w:color w:val="auto"/>
        </w:rPr>
      </w:pPr>
      <w:r>
        <w:rPr>
          <w:rFonts w:ascii="Arial" w:cs="Arial" w:eastAsia="Arial" w:hAnsi="Arial"/>
          <w:sz w:val="22"/>
          <w:szCs w:val="22"/>
          <w:color w:val="auto"/>
        </w:rPr>
        <w:t>Title:</w:t>
        <w:tab/>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265430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59"/>
          </w:cols>
          <w:pgMar w:left="300" w:top="747" w:right="1440" w:bottom="1440" w:gutter="0" w:footer="0" w:header="0"/>
          <w:type w:val="continuous"/>
        </w:sectPr>
      </w:pPr>
    </w:p>
    <w:bookmarkStart w:id="153" w:name="page154"/>
    <w:bookmarkEnd w:id="153"/>
    <w:p>
      <w:pPr>
        <w:ind w:left="2760"/>
        <w:spacing w:after="0"/>
        <w:rPr>
          <w:sz w:val="20"/>
          <w:szCs w:val="20"/>
          <w:color w:val="auto"/>
        </w:rPr>
      </w:pPr>
      <w:r>
        <w:rPr>
          <w:rFonts w:ascii="Arial" w:cs="Arial" w:eastAsia="Arial" w:hAnsi="Arial"/>
          <w:sz w:val="22"/>
          <w:szCs w:val="22"/>
          <w:b w:val="1"/>
          <w:bCs w:val="1"/>
          <w:color w:val="auto"/>
        </w:rPr>
        <w:t>GUARANTORS:</w:t>
      </w:r>
    </w:p>
    <w:p>
      <w:pPr>
        <w:spacing w:after="0" w:line="206"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KEVYN, LLC,</w:t>
      </w:r>
    </w:p>
    <w:p>
      <w:pPr>
        <w:spacing w:after="0" w:line="14"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a Nevada limited liability company</w:t>
      </w:r>
    </w:p>
    <w:p>
      <w:pPr>
        <w:sectPr>
          <w:pgSz w:w="11900" w:h="16838" w:orient="portrait"/>
          <w:cols w:equalWidth="0" w:num="1">
            <w:col w:w="9019"/>
          </w:cols>
          <w:pgMar w:left="1440" w:top="747" w:right="1440" w:bottom="1440" w:gutter="0" w:footer="0" w:header="0"/>
        </w:sectPr>
      </w:pPr>
    </w:p>
    <w:p>
      <w:pPr>
        <w:spacing w:after="0" w:line="223"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3440" w:space="720"/>
            <w:col w:w="4859"/>
          </w:cols>
          <w:pgMar w:left="1440" w:top="747" w:right="1440" w:bottom="1440" w:gutter="0" w:footer="0" w:header="0"/>
          <w:type w:val="continuous"/>
        </w:sectPr>
      </w:pPr>
    </w:p>
    <w:p>
      <w:pPr>
        <w:ind w:left="41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Wynn Resorts Holdings,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4460" w:space="400"/>
            <w:col w:w="4159"/>
          </w:cols>
          <w:pgMar w:left="1440" w:top="747" w:right="1440" w:bottom="1440" w:gutter="0" w:footer="0" w:header="0"/>
          <w:type w:val="continuous"/>
        </w:sectPr>
      </w:pPr>
    </w:p>
    <w:p>
      <w:pPr>
        <w:ind w:left="4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ind w:right="439"/>
        <w:spacing w:after="0" w:line="328" w:lineRule="auto"/>
        <w:rPr>
          <w:sz w:val="20"/>
          <w:szCs w:val="20"/>
          <w:color w:val="auto"/>
        </w:rPr>
      </w:pPr>
      <w:r>
        <w:rPr>
          <w:rFonts w:ascii="Arial" w:cs="Arial" w:eastAsia="Arial" w:hAnsi="Arial"/>
          <w:sz w:val="19"/>
          <w:szCs w:val="19"/>
          <w:color w:val="auto"/>
        </w:rPr>
        <w:t>Wynn Resorts, Limited, a Nevada corporation, its sole member</w:t>
      </w:r>
    </w:p>
    <w:p>
      <w:pPr>
        <w:spacing w:after="0" w:line="105" w:lineRule="exact"/>
        <w:rPr>
          <w:sz w:val="20"/>
          <w:szCs w:val="20"/>
          <w:color w:val="auto"/>
        </w:rPr>
      </w:pPr>
    </w:p>
    <w:p>
      <w:pPr>
        <w:sectPr>
          <w:pgSz w:w="11900" w:h="16838" w:orient="portrait"/>
          <w:cols w:equalWidth="0" w:num="2">
            <w:col w:w="5180" w:space="480"/>
            <w:col w:w="3359"/>
          </w:cols>
          <w:pgMar w:left="1440" w:top="747" w:right="1440" w:bottom="1440" w:gutter="0" w:footer="0" w:header="0"/>
          <w:type w:val="continuous"/>
        </w:sectPr>
      </w:pPr>
    </w:p>
    <w:p>
      <w:pPr>
        <w:ind w:left="6300"/>
        <w:spacing w:after="0"/>
        <w:rPr>
          <w:sz w:val="20"/>
          <w:szCs w:val="20"/>
          <w:color w:val="auto"/>
        </w:rPr>
      </w:pP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7620</wp:posOffset>
            </wp:positionV>
            <wp:extent cx="19551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Matt Maddox</w:t>
      </w:r>
    </w:p>
    <w:p>
      <w:pPr>
        <w:jc w:val="right"/>
        <w:ind w:right="319"/>
        <w:spacing w:after="0"/>
        <w:tabs>
          <w:tab w:leader="none" w:pos="23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and</w:t>
      </w:r>
    </w:p>
    <w:p>
      <w:pPr>
        <w:ind w:left="6340"/>
        <w:spacing w:after="0"/>
        <w:rPr>
          <w:sz w:val="20"/>
          <w:szCs w:val="20"/>
          <w:color w:val="auto"/>
        </w:rPr>
      </w:pPr>
      <w:r>
        <w:rPr>
          <w:rFonts w:ascii="Arial" w:cs="Arial" w:eastAsia="Arial" w:hAnsi="Arial"/>
          <w:sz w:val="22"/>
          <w:szCs w:val="22"/>
          <w:color w:val="auto"/>
        </w:rPr>
        <w:t>Treasurer</w:t>
      </w:r>
    </w:p>
    <w:p>
      <w:pPr>
        <w:spacing w:after="0" w:line="209"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LAS VEGAS JET, LLC,</w:t>
      </w:r>
    </w:p>
    <w:p>
      <w:pPr>
        <w:spacing w:after="0" w:line="14"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a Nevada limited liability company</w:t>
      </w:r>
    </w:p>
    <w:p>
      <w:pPr>
        <w:sectPr>
          <w:pgSz w:w="11900" w:h="16838" w:orient="portrait"/>
          <w:cols w:equalWidth="0" w:num="1">
            <w:col w:w="9019"/>
          </w:cols>
          <w:pgMar w:left="1440" w:top="747" w:right="1440" w:bottom="1440" w:gutter="0" w:footer="0" w:header="0"/>
          <w:type w:val="continuous"/>
        </w:sectPr>
      </w:pPr>
    </w:p>
    <w:p>
      <w:pPr>
        <w:spacing w:after="0" w:line="188"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3440" w:space="720"/>
            <w:col w:w="4859"/>
          </w:cols>
          <w:pgMar w:left="1440" w:top="747" w:right="1440" w:bottom="1440" w:gutter="0" w:footer="0" w:header="0"/>
          <w:type w:val="continuous"/>
        </w:sectPr>
      </w:pPr>
    </w:p>
    <w:p>
      <w:pPr>
        <w:ind w:left="41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Wynn Resorts Holdings,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4460" w:space="400"/>
            <w:col w:w="4159"/>
          </w:cols>
          <w:pgMar w:left="1440" w:top="747" w:right="1440" w:bottom="1440" w:gutter="0" w:footer="0" w:header="0"/>
          <w:type w:val="continuous"/>
        </w:sectPr>
      </w:pPr>
    </w:p>
    <w:p>
      <w:pPr>
        <w:ind w:left="4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ind w:right="439"/>
        <w:spacing w:after="0" w:line="328" w:lineRule="auto"/>
        <w:rPr>
          <w:sz w:val="20"/>
          <w:szCs w:val="20"/>
          <w:color w:val="auto"/>
        </w:rPr>
      </w:pPr>
      <w:r>
        <w:rPr>
          <w:rFonts w:ascii="Arial" w:cs="Arial" w:eastAsia="Arial" w:hAnsi="Arial"/>
          <w:sz w:val="19"/>
          <w:szCs w:val="19"/>
          <w:color w:val="auto"/>
        </w:rPr>
        <w:t>Wynn Resorts, Limited, a Nevada corporation, its sole member</w:t>
      </w:r>
    </w:p>
    <w:p>
      <w:pPr>
        <w:spacing w:after="0" w:line="105" w:lineRule="exact"/>
        <w:rPr>
          <w:sz w:val="20"/>
          <w:szCs w:val="20"/>
          <w:color w:val="auto"/>
        </w:rPr>
      </w:pPr>
    </w:p>
    <w:p>
      <w:pPr>
        <w:sectPr>
          <w:pgSz w:w="11900" w:h="16838" w:orient="portrait"/>
          <w:cols w:equalWidth="0" w:num="2">
            <w:col w:w="5180" w:space="480"/>
            <w:col w:w="3359"/>
          </w:cols>
          <w:pgMar w:left="1440" w:top="747" w:right="1440" w:bottom="1440" w:gutter="0" w:footer="0" w:header="0"/>
          <w:type w:val="continuous"/>
        </w:sectPr>
      </w:pPr>
    </w:p>
    <w:p>
      <w:pPr>
        <w:ind w:left="6300"/>
        <w:spacing w:after="0"/>
        <w:rPr>
          <w:sz w:val="20"/>
          <w:szCs w:val="20"/>
          <w:color w:val="auto"/>
        </w:rPr>
      </w:pP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7620</wp:posOffset>
            </wp:positionV>
            <wp:extent cx="19551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Matt Maddox</w:t>
      </w:r>
    </w:p>
    <w:p>
      <w:pPr>
        <w:jc w:val="right"/>
        <w:ind w:right="319"/>
        <w:spacing w:after="0"/>
        <w:tabs>
          <w:tab w:leader="none" w:pos="23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and</w:t>
      </w:r>
    </w:p>
    <w:p>
      <w:pPr>
        <w:ind w:left="6340"/>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294640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47" w:right="1440" w:bottom="1440" w:gutter="0" w:footer="0" w:header="0"/>
          <w:type w:val="continuous"/>
        </w:sectPr>
      </w:pPr>
    </w:p>
    <w:bookmarkStart w:id="154" w:name="page155"/>
    <w:bookmarkEnd w:id="154"/>
    <w:p>
      <w:pPr>
        <w:ind w:left="2760"/>
        <w:spacing w:after="0"/>
        <w:rPr>
          <w:sz w:val="20"/>
          <w:szCs w:val="20"/>
          <w:color w:val="auto"/>
        </w:rPr>
      </w:pPr>
      <w:r>
        <w:rPr>
          <w:rFonts w:ascii="Arial" w:cs="Arial" w:eastAsia="Arial" w:hAnsi="Arial"/>
          <w:sz w:val="22"/>
          <w:szCs w:val="22"/>
          <w:b w:val="1"/>
          <w:bCs w:val="1"/>
          <w:color w:val="auto"/>
        </w:rPr>
        <w:t>WORLD TRAVEL, LLC</w:t>
      </w:r>
      <w:r>
        <w:rPr>
          <w:rFonts w:ascii="Arial" w:cs="Arial" w:eastAsia="Arial" w:hAnsi="Arial"/>
          <w:sz w:val="22"/>
          <w:szCs w:val="22"/>
          <w:color w:val="auto"/>
        </w:rPr>
        <w:t>,</w:t>
      </w:r>
    </w:p>
    <w:p>
      <w:pPr>
        <w:spacing w:after="0" w:line="14"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a Nevada limited liability company</w:t>
      </w:r>
    </w:p>
    <w:p>
      <w:pPr>
        <w:spacing w:after="0" w:line="178" w:lineRule="exact"/>
        <w:rPr>
          <w:sz w:val="20"/>
          <w:szCs w:val="20"/>
          <w:color w:val="auto"/>
        </w:rPr>
      </w:pPr>
    </w:p>
    <w:tbl>
      <w:tblPr>
        <w:tblLayout w:type="fixed"/>
        <w:tblInd w:w="276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2660" w:type="dxa"/>
            <w:vAlign w:val="bottom"/>
            <w:gridSpan w:val="4"/>
          </w:tcPr>
          <w:p>
            <w:pPr>
              <w:ind w:left="540"/>
              <w:spacing w:after="0"/>
              <w:rPr>
                <w:sz w:val="20"/>
                <w:szCs w:val="20"/>
                <w:color w:val="auto"/>
              </w:rPr>
            </w:pPr>
            <w:r>
              <w:rPr>
                <w:rFonts w:ascii="Arial" w:cs="Arial" w:eastAsia="Arial" w:hAnsi="Arial"/>
                <w:sz w:val="22"/>
                <w:szCs w:val="22"/>
                <w:color w:val="auto"/>
                <w:w w:val="93"/>
              </w:rPr>
              <w:t>Wynn Las Vegas, LLC,</w:t>
            </w:r>
          </w:p>
        </w:tc>
        <w:tc>
          <w:tcPr>
            <w:tcW w:w="2460" w:type="dxa"/>
            <w:vAlign w:val="bottom"/>
          </w:tcPr>
          <w:p>
            <w:pPr>
              <w:spacing w:after="0"/>
              <w:rPr>
                <w:sz w:val="21"/>
                <w:szCs w:val="21"/>
                <w:color w:val="auto"/>
              </w:rPr>
            </w:pPr>
          </w:p>
        </w:tc>
      </w:tr>
      <w:tr>
        <w:trPr>
          <w:trHeight w:val="243"/>
        </w:trPr>
        <w:tc>
          <w:tcPr>
            <w:tcW w:w="860" w:type="dxa"/>
            <w:vAlign w:val="bottom"/>
          </w:tcPr>
          <w:p>
            <w:pPr>
              <w:spacing w:after="0"/>
              <w:rPr>
                <w:sz w:val="21"/>
                <w:szCs w:val="21"/>
                <w:color w:val="auto"/>
              </w:rPr>
            </w:pPr>
          </w:p>
        </w:tc>
        <w:tc>
          <w:tcPr>
            <w:tcW w:w="5120" w:type="dxa"/>
            <w:vAlign w:val="bottom"/>
            <w:gridSpan w:val="5"/>
          </w:tcPr>
          <w:p>
            <w:pPr>
              <w:ind w:left="54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860" w:type="dxa"/>
            <w:vAlign w:val="bottom"/>
          </w:tcPr>
          <w:p>
            <w:pPr>
              <w:spacing w:after="0"/>
              <w:rPr>
                <w:sz w:val="23"/>
                <w:szCs w:val="23"/>
                <w:color w:val="auto"/>
              </w:rPr>
            </w:pPr>
          </w:p>
        </w:tc>
        <w:tc>
          <w:tcPr>
            <w:tcW w:w="2040" w:type="dxa"/>
            <w:vAlign w:val="bottom"/>
            <w:gridSpan w:val="2"/>
          </w:tcPr>
          <w:p>
            <w:pPr>
              <w:ind w:left="540"/>
              <w:spacing w:after="0"/>
              <w:rPr>
                <w:sz w:val="20"/>
                <w:szCs w:val="20"/>
                <w:color w:val="auto"/>
              </w:rPr>
            </w:pPr>
            <w:r>
              <w:rPr>
                <w:rFonts w:ascii="Arial" w:cs="Arial" w:eastAsia="Arial" w:hAnsi="Arial"/>
                <w:sz w:val="22"/>
                <w:szCs w:val="22"/>
                <w:color w:val="auto"/>
                <w:w w:val="95"/>
              </w:rPr>
              <w:t>its sole member</w:t>
            </w: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60" w:type="dxa"/>
            <w:vAlign w:val="bottom"/>
          </w:tcPr>
          <w:p>
            <w:pPr>
              <w:spacing w:after="0"/>
              <w:rPr>
                <w:sz w:val="23"/>
                <w:szCs w:val="23"/>
                <w:color w:val="auto"/>
              </w:rPr>
            </w:pPr>
          </w:p>
        </w:tc>
      </w:tr>
      <w:tr>
        <w:trPr>
          <w:trHeight w:val="428"/>
        </w:trPr>
        <w:tc>
          <w:tcPr>
            <w:tcW w:w="860" w:type="dxa"/>
            <w:vAlign w:val="bottom"/>
          </w:tcPr>
          <w:p>
            <w:pPr>
              <w:spacing w:after="0"/>
              <w:rPr>
                <w:sz w:val="24"/>
                <w:szCs w:val="24"/>
                <w:color w:val="auto"/>
              </w:rPr>
            </w:pPr>
          </w:p>
        </w:tc>
        <w:tc>
          <w:tcPr>
            <w:tcW w:w="1160" w:type="dxa"/>
            <w:vAlign w:val="bottom"/>
          </w:tcPr>
          <w:p>
            <w:pPr>
              <w:ind w:left="540"/>
              <w:spacing w:after="0"/>
              <w:rPr>
                <w:sz w:val="20"/>
                <w:szCs w:val="20"/>
                <w:color w:val="auto"/>
              </w:rPr>
            </w:pPr>
            <w:r>
              <w:rPr>
                <w:rFonts w:ascii="Arial" w:cs="Arial" w:eastAsia="Arial" w:hAnsi="Arial"/>
                <w:sz w:val="22"/>
                <w:szCs w:val="22"/>
                <w:color w:val="auto"/>
              </w:rPr>
              <w:t>By:</w:t>
            </w:r>
          </w:p>
        </w:tc>
        <w:tc>
          <w:tcPr>
            <w:tcW w:w="3960" w:type="dxa"/>
            <w:vAlign w:val="bottom"/>
            <w:gridSpan w:val="4"/>
          </w:tcPr>
          <w:p>
            <w:pPr>
              <w:ind w:left="80"/>
              <w:spacing w:after="0"/>
              <w:rPr>
                <w:sz w:val="20"/>
                <w:szCs w:val="20"/>
                <w:color w:val="auto"/>
              </w:rPr>
            </w:pPr>
            <w:r>
              <w:rPr>
                <w:rFonts w:ascii="Arial" w:cs="Arial" w:eastAsia="Arial" w:hAnsi="Arial"/>
                <w:sz w:val="22"/>
                <w:szCs w:val="22"/>
                <w:color w:val="auto"/>
              </w:rPr>
              <w:t>Wynn Resorts Holdings, LLC,</w:t>
            </w:r>
          </w:p>
        </w:tc>
      </w:tr>
      <w:tr>
        <w:trPr>
          <w:trHeight w:val="243"/>
        </w:trPr>
        <w:tc>
          <w:tcPr>
            <w:tcW w:w="8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960" w:type="dxa"/>
            <w:vAlign w:val="bottom"/>
            <w:gridSpan w:val="4"/>
          </w:tcPr>
          <w:p>
            <w:pPr>
              <w:ind w:left="8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00" w:type="dxa"/>
            <w:vAlign w:val="bottom"/>
            <w:gridSpan w:val="3"/>
          </w:tcPr>
          <w:p>
            <w:pPr>
              <w:ind w:left="80"/>
              <w:spacing w:after="0"/>
              <w:rPr>
                <w:sz w:val="20"/>
                <w:szCs w:val="20"/>
                <w:color w:val="auto"/>
              </w:rPr>
            </w:pPr>
            <w:r>
              <w:rPr>
                <w:rFonts w:ascii="Arial" w:cs="Arial" w:eastAsia="Arial" w:hAnsi="Arial"/>
                <w:sz w:val="22"/>
                <w:szCs w:val="22"/>
                <w:color w:val="auto"/>
                <w:w w:val="90"/>
              </w:rPr>
              <w:t>its sole member</w:t>
            </w:r>
          </w:p>
        </w:tc>
        <w:tc>
          <w:tcPr>
            <w:tcW w:w="2460" w:type="dxa"/>
            <w:vAlign w:val="bottom"/>
          </w:tcPr>
          <w:p>
            <w:pPr>
              <w:spacing w:after="0"/>
              <w:rPr>
                <w:sz w:val="23"/>
                <w:szCs w:val="23"/>
                <w:color w:val="auto"/>
              </w:rPr>
            </w:pPr>
          </w:p>
        </w:tc>
      </w:tr>
      <w:tr>
        <w:trPr>
          <w:trHeight w:val="428"/>
        </w:trPr>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rPr>
              <w:t>By:</w:t>
            </w:r>
          </w:p>
        </w:tc>
        <w:tc>
          <w:tcPr>
            <w:tcW w:w="3080" w:type="dxa"/>
            <w:vAlign w:val="bottom"/>
            <w:gridSpan w:val="3"/>
          </w:tcPr>
          <w:p>
            <w:pPr>
              <w:spacing w:after="0"/>
              <w:rPr>
                <w:sz w:val="20"/>
                <w:szCs w:val="20"/>
                <w:color w:val="auto"/>
              </w:rPr>
            </w:pPr>
            <w:r>
              <w:rPr>
                <w:rFonts w:ascii="Arial" w:cs="Arial" w:eastAsia="Arial" w:hAnsi="Arial"/>
                <w:sz w:val="22"/>
                <w:szCs w:val="22"/>
                <w:color w:val="auto"/>
                <w:w w:val="93"/>
              </w:rPr>
              <w:t>Wynn Resorts, Limited, a Nevada</w:t>
            </w:r>
          </w:p>
        </w:tc>
      </w:tr>
      <w:tr>
        <w:trPr>
          <w:trHeight w:val="275"/>
        </w:trPr>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80" w:type="dxa"/>
            <w:vAlign w:val="bottom"/>
            <w:gridSpan w:val="3"/>
          </w:tcPr>
          <w:p>
            <w:pPr>
              <w:spacing w:after="0"/>
              <w:rPr>
                <w:sz w:val="20"/>
                <w:szCs w:val="20"/>
                <w:color w:val="auto"/>
              </w:rPr>
            </w:pPr>
            <w:r>
              <w:rPr>
                <w:rFonts w:ascii="Arial" w:cs="Arial" w:eastAsia="Arial" w:hAnsi="Arial"/>
                <w:sz w:val="22"/>
                <w:szCs w:val="22"/>
                <w:color w:val="auto"/>
              </w:rPr>
              <w:t>corporation, its sole member</w:t>
            </w:r>
          </w:p>
        </w:tc>
      </w:tr>
      <w:tr>
        <w:trPr>
          <w:trHeight w:val="456"/>
        </w:trPr>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center"/>
              <w:ind w:right="872"/>
              <w:spacing w:after="0"/>
              <w:rPr>
                <w:sz w:val="20"/>
                <w:szCs w:val="20"/>
                <w:color w:val="auto"/>
              </w:rPr>
            </w:pPr>
            <w:r>
              <w:rPr>
                <w:rFonts w:ascii="Arial" w:cs="Arial" w:eastAsia="Arial" w:hAnsi="Arial"/>
                <w:sz w:val="22"/>
                <w:szCs w:val="22"/>
                <w:color w:val="auto"/>
                <w:w w:val="91"/>
              </w:rPr>
              <w:t>/s/ Matt Maddox</w:t>
            </w:r>
          </w:p>
        </w:tc>
      </w:tr>
      <w:tr>
        <w:trPr>
          <w:trHeight w:val="222"/>
        </w:trPr>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80" w:type="dxa"/>
            <w:vAlign w:val="bottom"/>
            <w:gridSpan w:val="3"/>
          </w:tcPr>
          <w:p>
            <w:pPr>
              <w:spacing w:after="0" w:line="222" w:lineRule="exact"/>
              <w:rPr>
                <w:sz w:val="20"/>
                <w:szCs w:val="20"/>
                <w:color w:val="auto"/>
              </w:rPr>
            </w:pPr>
            <w:r>
              <w:rPr>
                <w:rFonts w:ascii="Arial" w:cs="Arial" w:eastAsia="Arial" w:hAnsi="Arial"/>
                <w:sz w:val="22"/>
                <w:szCs w:val="22"/>
                <w:color w:val="auto"/>
              </w:rPr>
              <w:t>Name: Matt Maddox</w:t>
            </w:r>
          </w:p>
        </w:tc>
      </w:tr>
      <w:tr>
        <w:trPr>
          <w:trHeight w:val="243"/>
        </w:trPr>
        <w:tc>
          <w:tcPr>
            <w:tcW w:w="8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80" w:type="dxa"/>
            <w:vAlign w:val="bottom"/>
            <w:gridSpan w:val="3"/>
          </w:tcPr>
          <w:p>
            <w:pPr>
              <w:spacing w:after="0" w:line="243" w:lineRule="exact"/>
              <w:rPr>
                <w:sz w:val="20"/>
                <w:szCs w:val="20"/>
                <w:color w:val="auto"/>
              </w:rPr>
            </w:pPr>
            <w:r>
              <w:rPr>
                <w:rFonts w:ascii="Arial" w:cs="Arial" w:eastAsia="Arial" w:hAnsi="Arial"/>
                <w:sz w:val="22"/>
                <w:szCs w:val="22"/>
                <w:color w:val="auto"/>
                <w:w w:val="95"/>
              </w:rPr>
              <w:t>Title:  Chief Financial Officer and</w:t>
            </w:r>
          </w:p>
        </w:tc>
      </w:tr>
      <w:tr>
        <w:trPr>
          <w:trHeight w:val="275"/>
        </w:trPr>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60" w:type="dxa"/>
            <w:vAlign w:val="bottom"/>
          </w:tcPr>
          <w:p>
            <w:pPr>
              <w:ind w:left="60"/>
              <w:spacing w:after="0"/>
              <w:rPr>
                <w:sz w:val="20"/>
                <w:szCs w:val="20"/>
                <w:color w:val="auto"/>
              </w:rPr>
            </w:pPr>
            <w:r>
              <w:rPr>
                <w:rFonts w:ascii="Arial" w:cs="Arial" w:eastAsia="Arial" w:hAnsi="Arial"/>
                <w:sz w:val="22"/>
                <w:szCs w:val="22"/>
                <w:color w:val="auto"/>
              </w:rPr>
              <w:t>Treasurer</w:t>
            </w:r>
          </w:p>
        </w:tc>
      </w:tr>
      <w:tr>
        <w:trPr>
          <w:trHeight w:val="455"/>
        </w:trPr>
        <w:tc>
          <w:tcPr>
            <w:tcW w:w="2020" w:type="dxa"/>
            <w:vAlign w:val="bottom"/>
            <w:gridSpan w:val="2"/>
          </w:tcPr>
          <w:p>
            <w:pPr>
              <w:spacing w:after="0"/>
              <w:rPr>
                <w:sz w:val="20"/>
                <w:szCs w:val="20"/>
                <w:color w:val="auto"/>
              </w:rPr>
            </w:pPr>
            <w:r>
              <w:rPr>
                <w:rFonts w:ascii="Arial" w:cs="Arial" w:eastAsia="Arial" w:hAnsi="Arial"/>
                <w:sz w:val="22"/>
                <w:szCs w:val="22"/>
                <w:b w:val="1"/>
                <w:bCs w:val="1"/>
                <w:color w:val="auto"/>
              </w:rPr>
              <w:t>WYNN GOLF, LLC</w:t>
            </w:r>
            <w:r>
              <w:rPr>
                <w:rFonts w:ascii="Arial" w:cs="Arial" w:eastAsia="Arial" w:hAnsi="Arial"/>
                <w:sz w:val="22"/>
                <w:szCs w:val="22"/>
                <w:color w:val="auto"/>
              </w:rPr>
              <w:t>,</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75"/>
        </w:trPr>
        <w:tc>
          <w:tcPr>
            <w:tcW w:w="3520" w:type="dxa"/>
            <w:vAlign w:val="bottom"/>
            <w:gridSpan w:val="5"/>
          </w:tcPr>
          <w:p>
            <w:pPr>
              <w:spacing w:after="0"/>
              <w:rPr>
                <w:sz w:val="20"/>
                <w:szCs w:val="20"/>
                <w:color w:val="auto"/>
              </w:rPr>
            </w:pPr>
            <w:r>
              <w:rPr>
                <w:rFonts w:ascii="Arial" w:cs="Arial" w:eastAsia="Arial" w:hAnsi="Arial"/>
                <w:sz w:val="22"/>
                <w:szCs w:val="22"/>
                <w:color w:val="auto"/>
              </w:rPr>
              <w:t>a Nevada limited liability company</w:t>
            </w:r>
          </w:p>
        </w:tc>
        <w:tc>
          <w:tcPr>
            <w:tcW w:w="2460" w:type="dxa"/>
            <w:vAlign w:val="bottom"/>
          </w:tcPr>
          <w:p>
            <w:pPr>
              <w:spacing w:after="0"/>
              <w:rPr>
                <w:sz w:val="23"/>
                <w:szCs w:val="23"/>
                <w:color w:val="auto"/>
              </w:rPr>
            </w:pPr>
          </w:p>
        </w:tc>
      </w:tr>
      <w:tr>
        <w:trPr>
          <w:trHeight w:val="428"/>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2660" w:type="dxa"/>
            <w:vAlign w:val="bottom"/>
            <w:gridSpan w:val="4"/>
          </w:tcPr>
          <w:p>
            <w:pPr>
              <w:ind w:left="540"/>
              <w:spacing w:after="0"/>
              <w:rPr>
                <w:sz w:val="20"/>
                <w:szCs w:val="20"/>
                <w:color w:val="auto"/>
              </w:rPr>
            </w:pPr>
            <w:r>
              <w:rPr>
                <w:rFonts w:ascii="Arial" w:cs="Arial" w:eastAsia="Arial" w:hAnsi="Arial"/>
                <w:sz w:val="22"/>
                <w:szCs w:val="22"/>
                <w:color w:val="auto"/>
                <w:w w:val="93"/>
              </w:rPr>
              <w:t>Wynn Las Vegas, LLC,</w:t>
            </w:r>
          </w:p>
        </w:tc>
        <w:tc>
          <w:tcPr>
            <w:tcW w:w="2460" w:type="dxa"/>
            <w:vAlign w:val="bottom"/>
          </w:tcPr>
          <w:p>
            <w:pPr>
              <w:spacing w:after="0"/>
              <w:rPr>
                <w:sz w:val="24"/>
                <w:szCs w:val="24"/>
                <w:color w:val="auto"/>
              </w:rPr>
            </w:pPr>
          </w:p>
        </w:tc>
      </w:tr>
      <w:tr>
        <w:trPr>
          <w:trHeight w:val="243"/>
        </w:trPr>
        <w:tc>
          <w:tcPr>
            <w:tcW w:w="860" w:type="dxa"/>
            <w:vAlign w:val="bottom"/>
          </w:tcPr>
          <w:p>
            <w:pPr>
              <w:spacing w:after="0"/>
              <w:rPr>
                <w:sz w:val="21"/>
                <w:szCs w:val="21"/>
                <w:color w:val="auto"/>
              </w:rPr>
            </w:pPr>
          </w:p>
        </w:tc>
        <w:tc>
          <w:tcPr>
            <w:tcW w:w="5120" w:type="dxa"/>
            <w:vAlign w:val="bottom"/>
            <w:gridSpan w:val="5"/>
          </w:tcPr>
          <w:p>
            <w:pPr>
              <w:ind w:left="54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860" w:type="dxa"/>
            <w:vAlign w:val="bottom"/>
          </w:tcPr>
          <w:p>
            <w:pPr>
              <w:spacing w:after="0"/>
              <w:rPr>
                <w:sz w:val="23"/>
                <w:szCs w:val="23"/>
                <w:color w:val="auto"/>
              </w:rPr>
            </w:pPr>
          </w:p>
        </w:tc>
        <w:tc>
          <w:tcPr>
            <w:tcW w:w="2040" w:type="dxa"/>
            <w:vAlign w:val="bottom"/>
            <w:gridSpan w:val="2"/>
          </w:tcPr>
          <w:p>
            <w:pPr>
              <w:ind w:left="540"/>
              <w:spacing w:after="0"/>
              <w:rPr>
                <w:sz w:val="20"/>
                <w:szCs w:val="20"/>
                <w:color w:val="auto"/>
              </w:rPr>
            </w:pPr>
            <w:r>
              <w:rPr>
                <w:rFonts w:ascii="Arial" w:cs="Arial" w:eastAsia="Arial" w:hAnsi="Arial"/>
                <w:sz w:val="22"/>
                <w:szCs w:val="22"/>
                <w:color w:val="auto"/>
                <w:w w:val="95"/>
              </w:rPr>
              <w:t>its sole member</w:t>
            </w: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60" w:type="dxa"/>
            <w:vAlign w:val="bottom"/>
          </w:tcPr>
          <w:p>
            <w:pPr>
              <w:spacing w:after="0"/>
              <w:rPr>
                <w:sz w:val="23"/>
                <w:szCs w:val="23"/>
                <w:color w:val="auto"/>
              </w:rPr>
            </w:pPr>
          </w:p>
        </w:tc>
      </w:tr>
      <w:tr>
        <w:trPr>
          <w:trHeight w:val="428"/>
        </w:trPr>
        <w:tc>
          <w:tcPr>
            <w:tcW w:w="860" w:type="dxa"/>
            <w:vAlign w:val="bottom"/>
          </w:tcPr>
          <w:p>
            <w:pPr>
              <w:spacing w:after="0"/>
              <w:rPr>
                <w:sz w:val="24"/>
                <w:szCs w:val="24"/>
                <w:color w:val="auto"/>
              </w:rPr>
            </w:pPr>
          </w:p>
        </w:tc>
        <w:tc>
          <w:tcPr>
            <w:tcW w:w="1160" w:type="dxa"/>
            <w:vAlign w:val="bottom"/>
          </w:tcPr>
          <w:p>
            <w:pPr>
              <w:ind w:left="540"/>
              <w:spacing w:after="0"/>
              <w:rPr>
                <w:sz w:val="20"/>
                <w:szCs w:val="20"/>
                <w:color w:val="auto"/>
              </w:rPr>
            </w:pPr>
            <w:r>
              <w:rPr>
                <w:rFonts w:ascii="Arial" w:cs="Arial" w:eastAsia="Arial" w:hAnsi="Arial"/>
                <w:sz w:val="22"/>
                <w:szCs w:val="22"/>
                <w:color w:val="auto"/>
              </w:rPr>
              <w:t>By:</w:t>
            </w:r>
          </w:p>
        </w:tc>
        <w:tc>
          <w:tcPr>
            <w:tcW w:w="3960" w:type="dxa"/>
            <w:vAlign w:val="bottom"/>
            <w:gridSpan w:val="4"/>
          </w:tcPr>
          <w:p>
            <w:pPr>
              <w:ind w:left="100"/>
              <w:spacing w:after="0"/>
              <w:rPr>
                <w:sz w:val="20"/>
                <w:szCs w:val="20"/>
                <w:color w:val="auto"/>
              </w:rPr>
            </w:pPr>
            <w:r>
              <w:rPr>
                <w:rFonts w:ascii="Arial" w:cs="Arial" w:eastAsia="Arial" w:hAnsi="Arial"/>
                <w:sz w:val="22"/>
                <w:szCs w:val="22"/>
                <w:color w:val="auto"/>
              </w:rPr>
              <w:t>Wynn Resorts Holdings, LLC,</w:t>
            </w:r>
          </w:p>
        </w:tc>
      </w:tr>
      <w:tr>
        <w:trPr>
          <w:trHeight w:val="243"/>
        </w:trPr>
        <w:tc>
          <w:tcPr>
            <w:tcW w:w="8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960" w:type="dxa"/>
            <w:vAlign w:val="bottom"/>
            <w:gridSpan w:val="4"/>
          </w:tcPr>
          <w:p>
            <w:pPr>
              <w:ind w:left="10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00" w:type="dxa"/>
            <w:vAlign w:val="bottom"/>
            <w:gridSpan w:val="3"/>
          </w:tcPr>
          <w:p>
            <w:pPr>
              <w:ind w:left="100"/>
              <w:spacing w:after="0"/>
              <w:rPr>
                <w:sz w:val="20"/>
                <w:szCs w:val="20"/>
                <w:color w:val="auto"/>
              </w:rPr>
            </w:pPr>
            <w:r>
              <w:rPr>
                <w:rFonts w:ascii="Arial" w:cs="Arial" w:eastAsia="Arial" w:hAnsi="Arial"/>
                <w:sz w:val="22"/>
                <w:szCs w:val="22"/>
                <w:color w:val="auto"/>
                <w:w w:val="88"/>
              </w:rPr>
              <w:t>its sole member</w:t>
            </w:r>
          </w:p>
        </w:tc>
        <w:tc>
          <w:tcPr>
            <w:tcW w:w="2460" w:type="dxa"/>
            <w:vAlign w:val="bottom"/>
          </w:tcPr>
          <w:p>
            <w:pPr>
              <w:spacing w:after="0"/>
              <w:rPr>
                <w:sz w:val="23"/>
                <w:szCs w:val="23"/>
                <w:color w:val="auto"/>
              </w:rPr>
            </w:pPr>
          </w:p>
        </w:tc>
      </w:tr>
      <w:tr>
        <w:trPr>
          <w:trHeight w:val="428"/>
        </w:trPr>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22"/>
                <w:szCs w:val="22"/>
                <w:color w:val="auto"/>
              </w:rPr>
              <w:t>By:</w:t>
            </w:r>
          </w:p>
        </w:tc>
        <w:tc>
          <w:tcPr>
            <w:tcW w:w="3080" w:type="dxa"/>
            <w:vAlign w:val="bottom"/>
            <w:gridSpan w:val="3"/>
          </w:tcPr>
          <w:p>
            <w:pPr>
              <w:spacing w:after="0"/>
              <w:rPr>
                <w:sz w:val="20"/>
                <w:szCs w:val="20"/>
                <w:color w:val="auto"/>
              </w:rPr>
            </w:pPr>
            <w:r>
              <w:rPr>
                <w:rFonts w:ascii="Arial" w:cs="Arial" w:eastAsia="Arial" w:hAnsi="Arial"/>
                <w:sz w:val="22"/>
                <w:szCs w:val="22"/>
                <w:color w:val="auto"/>
                <w:w w:val="93"/>
              </w:rPr>
              <w:t>Wynn Resorts, Limited, a Nevada</w:t>
            </w:r>
          </w:p>
        </w:tc>
      </w:tr>
      <w:tr>
        <w:trPr>
          <w:trHeight w:val="275"/>
        </w:trPr>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80" w:type="dxa"/>
            <w:vAlign w:val="bottom"/>
            <w:gridSpan w:val="3"/>
          </w:tcPr>
          <w:p>
            <w:pPr>
              <w:spacing w:after="0"/>
              <w:rPr>
                <w:sz w:val="20"/>
                <w:szCs w:val="20"/>
                <w:color w:val="auto"/>
              </w:rPr>
            </w:pPr>
            <w:r>
              <w:rPr>
                <w:rFonts w:ascii="Arial" w:cs="Arial" w:eastAsia="Arial" w:hAnsi="Arial"/>
                <w:sz w:val="22"/>
                <w:szCs w:val="22"/>
                <w:color w:val="auto"/>
              </w:rPr>
              <w:t>corporation, its sole member</w:t>
            </w:r>
          </w:p>
        </w:tc>
      </w:tr>
      <w:tr>
        <w:trPr>
          <w:trHeight w:val="456"/>
        </w:trPr>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center"/>
              <w:ind w:right="832"/>
              <w:spacing w:after="0"/>
              <w:rPr>
                <w:sz w:val="20"/>
                <w:szCs w:val="20"/>
                <w:color w:val="auto"/>
              </w:rPr>
            </w:pPr>
            <w:r>
              <w:rPr>
                <w:rFonts w:ascii="Arial" w:cs="Arial" w:eastAsia="Arial" w:hAnsi="Arial"/>
                <w:sz w:val="22"/>
                <w:szCs w:val="22"/>
                <w:color w:val="auto"/>
                <w:w w:val="91"/>
              </w:rPr>
              <w:t>/s/ Matt Maddox</w:t>
            </w:r>
          </w:p>
        </w:tc>
      </w:tr>
      <w:tr>
        <w:trPr>
          <w:trHeight w:val="222"/>
        </w:trPr>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line="222" w:lineRule="exact"/>
              <w:rPr>
                <w:sz w:val="20"/>
                <w:szCs w:val="20"/>
                <w:color w:val="auto"/>
              </w:rPr>
            </w:pPr>
            <w:r>
              <w:rPr>
                <w:rFonts w:ascii="Arial" w:cs="Arial" w:eastAsia="Arial" w:hAnsi="Arial"/>
                <w:sz w:val="22"/>
                <w:szCs w:val="22"/>
                <w:color w:val="auto"/>
                <w:w w:val="89"/>
              </w:rPr>
              <w:t>Name:</w:t>
            </w:r>
          </w:p>
        </w:tc>
        <w:tc>
          <w:tcPr>
            <w:tcW w:w="2460" w:type="dxa"/>
            <w:vAlign w:val="bottom"/>
          </w:tcPr>
          <w:p>
            <w:pPr>
              <w:jc w:val="center"/>
              <w:ind w:right="852"/>
              <w:spacing w:after="0" w:line="222" w:lineRule="exact"/>
              <w:rPr>
                <w:sz w:val="20"/>
                <w:szCs w:val="20"/>
                <w:color w:val="auto"/>
              </w:rPr>
            </w:pPr>
            <w:r>
              <w:rPr>
                <w:rFonts w:ascii="Arial" w:cs="Arial" w:eastAsia="Arial" w:hAnsi="Arial"/>
                <w:sz w:val="22"/>
                <w:szCs w:val="22"/>
                <w:color w:val="auto"/>
                <w:w w:val="92"/>
              </w:rPr>
              <w:t>Matt Maddox</w:t>
            </w:r>
          </w:p>
        </w:tc>
      </w:tr>
      <w:tr>
        <w:trPr>
          <w:trHeight w:val="243"/>
        </w:trPr>
        <w:tc>
          <w:tcPr>
            <w:tcW w:w="8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gridSpan w:val="2"/>
          </w:tcPr>
          <w:p>
            <w:pPr>
              <w:spacing w:after="0" w:line="243" w:lineRule="exact"/>
              <w:rPr>
                <w:sz w:val="20"/>
                <w:szCs w:val="20"/>
                <w:color w:val="auto"/>
              </w:rPr>
            </w:pPr>
            <w:r>
              <w:rPr>
                <w:rFonts w:ascii="Arial" w:cs="Arial" w:eastAsia="Arial" w:hAnsi="Arial"/>
                <w:sz w:val="22"/>
                <w:szCs w:val="22"/>
                <w:color w:val="auto"/>
              </w:rPr>
              <w:t>Title:</w:t>
            </w:r>
          </w:p>
        </w:tc>
        <w:tc>
          <w:tcPr>
            <w:tcW w:w="2460" w:type="dxa"/>
            <w:vAlign w:val="bottom"/>
          </w:tcPr>
          <w:p>
            <w:pPr>
              <w:ind w:left="160"/>
              <w:spacing w:after="0" w:line="243" w:lineRule="exact"/>
              <w:rPr>
                <w:sz w:val="20"/>
                <w:szCs w:val="20"/>
                <w:color w:val="auto"/>
              </w:rPr>
            </w:pPr>
            <w:r>
              <w:rPr>
                <w:rFonts w:ascii="Arial" w:cs="Arial" w:eastAsia="Arial" w:hAnsi="Arial"/>
                <w:sz w:val="22"/>
                <w:szCs w:val="22"/>
                <w:color w:val="auto"/>
              </w:rPr>
              <w:t>Chief Financial Officer</w:t>
            </w:r>
          </w:p>
        </w:tc>
      </w:tr>
      <w:tr>
        <w:trPr>
          <w:trHeight w:val="275"/>
        </w:trPr>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60" w:type="dxa"/>
            <w:vAlign w:val="bottom"/>
          </w:tcPr>
          <w:p>
            <w:pPr>
              <w:jc w:val="center"/>
              <w:ind w:right="852"/>
              <w:spacing w:after="0"/>
              <w:rPr>
                <w:sz w:val="20"/>
                <w:szCs w:val="20"/>
                <w:color w:val="auto"/>
              </w:rPr>
            </w:pPr>
            <w:r>
              <w:rPr>
                <w:rFonts w:ascii="Arial" w:cs="Arial" w:eastAsia="Arial" w:hAnsi="Arial"/>
                <w:sz w:val="22"/>
                <w:szCs w:val="22"/>
                <w:color w:val="auto"/>
                <w:w w:val="85"/>
              </w:rPr>
              <w:t>and Treasurer</w:t>
            </w:r>
          </w:p>
        </w:tc>
      </w:tr>
    </w:tbl>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265430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47" w:right="1440" w:bottom="1440" w:gutter="0" w:footer="0" w:header="0"/>
        </w:sectPr>
      </w:pPr>
    </w:p>
    <w:bookmarkStart w:id="155" w:name="page156"/>
    <w:bookmarkEnd w:id="155"/>
    <w:p>
      <w:pPr>
        <w:ind w:left="2760"/>
        <w:spacing w:after="0"/>
        <w:rPr>
          <w:sz w:val="20"/>
          <w:szCs w:val="20"/>
          <w:color w:val="auto"/>
        </w:rPr>
      </w:pPr>
      <w:r>
        <w:rPr>
          <w:rFonts w:ascii="Arial" w:cs="Arial" w:eastAsia="Arial" w:hAnsi="Arial"/>
          <w:sz w:val="21"/>
          <w:szCs w:val="21"/>
          <w:b w:val="1"/>
          <w:bCs w:val="1"/>
          <w:color w:val="auto"/>
        </w:rPr>
        <w:t>WYNN SHOW PERFORMERS, LLC</w:t>
      </w:r>
      <w:r>
        <w:rPr>
          <w:rFonts w:ascii="Arial" w:cs="Arial" w:eastAsia="Arial" w:hAnsi="Arial"/>
          <w:sz w:val="21"/>
          <w:szCs w:val="21"/>
          <w:color w:val="auto"/>
        </w:rPr>
        <w:t>,</w:t>
      </w:r>
    </w:p>
    <w:p>
      <w:pPr>
        <w:spacing w:after="0" w:line="26"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a Nevada limited liability company</w:t>
      </w:r>
    </w:p>
    <w:p>
      <w:pPr>
        <w:sectPr>
          <w:pgSz w:w="11900" w:h="16838" w:orient="portrait"/>
          <w:cols w:equalWidth="0" w:num="1">
            <w:col w:w="9019"/>
          </w:cols>
          <w:pgMar w:left="1440" w:top="747" w:right="1440" w:bottom="1440" w:gutter="0" w:footer="0" w:header="0"/>
        </w:sectPr>
      </w:pPr>
    </w:p>
    <w:p>
      <w:pPr>
        <w:spacing w:after="0" w:line="188"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3440" w:space="720"/>
            <w:col w:w="4859"/>
          </w:cols>
          <w:pgMar w:left="1440" w:top="747" w:right="1440" w:bottom="1440" w:gutter="0" w:footer="0" w:header="0"/>
          <w:type w:val="continuous"/>
        </w:sectPr>
      </w:pPr>
    </w:p>
    <w:p>
      <w:pPr>
        <w:ind w:left="41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Wynn Resorts Holdings,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4460" w:space="400"/>
            <w:col w:w="4159"/>
          </w:cols>
          <w:pgMar w:left="1440" w:top="747" w:right="1440" w:bottom="1440" w:gutter="0" w:footer="0" w:header="0"/>
          <w:type w:val="continuous"/>
        </w:sectPr>
      </w:pPr>
    </w:p>
    <w:p>
      <w:pPr>
        <w:ind w:left="4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ind w:right="439"/>
        <w:spacing w:after="0" w:line="328" w:lineRule="auto"/>
        <w:rPr>
          <w:sz w:val="20"/>
          <w:szCs w:val="20"/>
          <w:color w:val="auto"/>
        </w:rPr>
      </w:pPr>
      <w:r>
        <w:rPr>
          <w:rFonts w:ascii="Arial" w:cs="Arial" w:eastAsia="Arial" w:hAnsi="Arial"/>
          <w:sz w:val="19"/>
          <w:szCs w:val="19"/>
          <w:color w:val="auto"/>
        </w:rPr>
        <w:t>Wynn Resorts, Limited, a Nevada corporation, its sole member</w:t>
      </w:r>
    </w:p>
    <w:p>
      <w:pPr>
        <w:spacing w:after="0" w:line="105" w:lineRule="exact"/>
        <w:rPr>
          <w:sz w:val="20"/>
          <w:szCs w:val="20"/>
          <w:color w:val="auto"/>
        </w:rPr>
      </w:pPr>
    </w:p>
    <w:p>
      <w:pPr>
        <w:sectPr>
          <w:pgSz w:w="11900" w:h="16838" w:orient="portrait"/>
          <w:cols w:equalWidth="0" w:num="2">
            <w:col w:w="5180" w:space="480"/>
            <w:col w:w="3359"/>
          </w:cols>
          <w:pgMar w:left="1440" w:top="747" w:right="1440" w:bottom="1440" w:gutter="0" w:footer="0" w:header="0"/>
          <w:type w:val="continuous"/>
        </w:sectPr>
      </w:pPr>
    </w:p>
    <w:p>
      <w:pPr>
        <w:ind w:left="6300"/>
        <w:spacing w:after="0"/>
        <w:rPr>
          <w:sz w:val="20"/>
          <w:szCs w:val="20"/>
          <w:color w:val="auto"/>
        </w:rPr>
      </w:pP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7620</wp:posOffset>
            </wp:positionV>
            <wp:extent cx="19551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Matt Maddox</w:t>
      </w:r>
    </w:p>
    <w:p>
      <w:pPr>
        <w:jc w:val="right"/>
        <w:ind w:right="319"/>
        <w:spacing w:after="0"/>
        <w:tabs>
          <w:tab w:leader="none" w:pos="23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and</w:t>
      </w:r>
    </w:p>
    <w:p>
      <w:pPr>
        <w:ind w:left="6340"/>
        <w:spacing w:after="0"/>
        <w:rPr>
          <w:sz w:val="20"/>
          <w:szCs w:val="20"/>
          <w:color w:val="auto"/>
        </w:rPr>
      </w:pPr>
      <w:r>
        <w:rPr>
          <w:rFonts w:ascii="Arial" w:cs="Arial" w:eastAsia="Arial" w:hAnsi="Arial"/>
          <w:sz w:val="22"/>
          <w:szCs w:val="22"/>
          <w:color w:val="auto"/>
        </w:rPr>
        <w:t>Treasurer</w:t>
      </w:r>
    </w:p>
    <w:p>
      <w:pPr>
        <w:spacing w:after="0" w:line="209"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WYNN SUNRISE, LLC</w:t>
      </w:r>
      <w:r>
        <w:rPr>
          <w:rFonts w:ascii="Arial" w:cs="Arial" w:eastAsia="Arial" w:hAnsi="Arial"/>
          <w:sz w:val="22"/>
          <w:szCs w:val="22"/>
          <w:color w:val="auto"/>
        </w:rPr>
        <w:t>,</w:t>
      </w:r>
    </w:p>
    <w:p>
      <w:pPr>
        <w:spacing w:after="0" w:line="14"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a Nevada limited liability company</w:t>
      </w:r>
    </w:p>
    <w:p>
      <w:pPr>
        <w:sectPr>
          <w:pgSz w:w="11900" w:h="16838" w:orient="portrait"/>
          <w:cols w:equalWidth="0" w:num="1">
            <w:col w:w="9019"/>
          </w:cols>
          <w:pgMar w:left="1440" w:top="747" w:right="1440" w:bottom="1440" w:gutter="0" w:footer="0" w:header="0"/>
          <w:type w:val="continuous"/>
        </w:sectPr>
      </w:pPr>
    </w:p>
    <w:p>
      <w:pPr>
        <w:spacing w:after="0" w:line="188"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3440" w:space="720"/>
            <w:col w:w="4859"/>
          </w:cols>
          <w:pgMar w:left="1440" w:top="747" w:right="1440" w:bottom="1440" w:gutter="0" w:footer="0" w:header="0"/>
          <w:type w:val="continuous"/>
        </w:sectPr>
      </w:pPr>
    </w:p>
    <w:p>
      <w:pPr>
        <w:ind w:left="41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Wynn Resorts Holdings,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4460" w:space="400"/>
            <w:col w:w="4159"/>
          </w:cols>
          <w:pgMar w:left="1440" w:top="747" w:right="1440" w:bottom="1440" w:gutter="0" w:footer="0" w:header="0"/>
          <w:type w:val="continuous"/>
        </w:sectPr>
      </w:pPr>
    </w:p>
    <w:p>
      <w:pPr>
        <w:ind w:left="4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ind w:right="439"/>
        <w:spacing w:after="0" w:line="328" w:lineRule="auto"/>
        <w:rPr>
          <w:sz w:val="20"/>
          <w:szCs w:val="20"/>
          <w:color w:val="auto"/>
        </w:rPr>
      </w:pPr>
      <w:r>
        <w:rPr>
          <w:rFonts w:ascii="Arial" w:cs="Arial" w:eastAsia="Arial" w:hAnsi="Arial"/>
          <w:sz w:val="19"/>
          <w:szCs w:val="19"/>
          <w:color w:val="auto"/>
        </w:rPr>
        <w:t>Wynn Resorts, Limited, a Nevada corporation, its sole member</w:t>
      </w:r>
    </w:p>
    <w:p>
      <w:pPr>
        <w:spacing w:after="0" w:line="105" w:lineRule="exact"/>
        <w:rPr>
          <w:sz w:val="20"/>
          <w:szCs w:val="20"/>
          <w:color w:val="auto"/>
        </w:rPr>
      </w:pPr>
    </w:p>
    <w:p>
      <w:pPr>
        <w:sectPr>
          <w:pgSz w:w="11900" w:h="16838" w:orient="portrait"/>
          <w:cols w:equalWidth="0" w:num="2">
            <w:col w:w="5180" w:space="480"/>
            <w:col w:w="3359"/>
          </w:cols>
          <w:pgMar w:left="1440" w:top="747" w:right="1440" w:bottom="1440" w:gutter="0" w:footer="0" w:header="0"/>
          <w:type w:val="continuous"/>
        </w:sectPr>
      </w:pPr>
    </w:p>
    <w:p>
      <w:pPr>
        <w:ind w:left="6300"/>
        <w:spacing w:after="0"/>
        <w:rPr>
          <w:sz w:val="20"/>
          <w:szCs w:val="20"/>
          <w:color w:val="auto"/>
        </w:rPr>
      </w:pP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7620</wp:posOffset>
            </wp:positionV>
            <wp:extent cx="19551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Name: Matt Maddox</w:t>
      </w:r>
    </w:p>
    <w:p>
      <w:pPr>
        <w:jc w:val="right"/>
        <w:ind w:right="319"/>
        <w:spacing w:after="0"/>
        <w:tabs>
          <w:tab w:leader="none" w:pos="23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and</w:t>
      </w:r>
    </w:p>
    <w:p>
      <w:pPr>
        <w:ind w:left="6340"/>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294640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47" w:right="1440" w:bottom="1440" w:gutter="0" w:footer="0" w:header="0"/>
          <w:type w:val="continuous"/>
        </w:sectPr>
      </w:pPr>
    </w:p>
    <w:bookmarkStart w:id="156" w:name="page157"/>
    <w:bookmarkEnd w:id="156"/>
    <w:p>
      <w:pPr>
        <w:ind w:left="3160"/>
        <w:spacing w:after="0"/>
        <w:rPr>
          <w:sz w:val="20"/>
          <w:szCs w:val="20"/>
          <w:color w:val="auto"/>
        </w:rPr>
      </w:pPr>
      <w:r>
        <w:rPr>
          <w:rFonts w:ascii="Arial" w:cs="Arial" w:eastAsia="Arial" w:hAnsi="Arial"/>
          <w:sz w:val="22"/>
          <w:szCs w:val="22"/>
          <w:b w:val="1"/>
          <w:bCs w:val="1"/>
          <w:color w:val="auto"/>
        </w:rPr>
        <w:t>U.S. BANK NATIONAL ASSOCIATION</w:t>
      </w:r>
      <w:r>
        <w:rPr>
          <w:rFonts w:ascii="Arial" w:cs="Arial" w:eastAsia="Arial" w:hAnsi="Arial"/>
          <w:sz w:val="22"/>
          <w:szCs w:val="22"/>
          <w:color w:val="auto"/>
        </w:rPr>
        <w:t>,</w:t>
      </w:r>
    </w:p>
    <w:p>
      <w:pPr>
        <w:spacing w:after="0" w:line="14"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not in its individual capacity but solely as trustee</w:t>
      </w:r>
    </w:p>
    <w:p>
      <w:pPr>
        <w:spacing w:after="0" w:line="200" w:lineRule="exact"/>
        <w:rPr>
          <w:sz w:val="20"/>
          <w:szCs w:val="20"/>
          <w:color w:val="auto"/>
        </w:rPr>
      </w:pPr>
    </w:p>
    <w:p>
      <w:pPr>
        <w:spacing w:after="0" w:line="266" w:lineRule="exact"/>
        <w:rPr>
          <w:sz w:val="20"/>
          <w:szCs w:val="20"/>
          <w:color w:val="auto"/>
        </w:rPr>
      </w:pPr>
    </w:p>
    <w:p>
      <w:pPr>
        <w:ind w:left="2920"/>
        <w:spacing w:after="0"/>
        <w:tabs>
          <w:tab w:leader="none" w:pos="42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Raymond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7620</wp:posOffset>
            </wp:positionV>
            <wp:extent cx="321564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Name:Raymond Haverstock</w:t>
      </w:r>
    </w:p>
    <w:p>
      <w:pPr>
        <w:spacing w:after="0" w:line="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265430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747" w:right="1440" w:bottom="1440" w:gutter="0" w:footer="0" w:header="0"/>
        </w:sectPr>
      </w:pPr>
    </w:p>
    <w:bookmarkStart w:id="157" w:name="page158"/>
    <w:bookmarkEnd w:id="157"/>
    <w:p>
      <w:pPr>
        <w:ind w:left="10100"/>
        <w:spacing w:after="0"/>
        <w:rPr>
          <w:sz w:val="20"/>
          <w:szCs w:val="20"/>
          <w:color w:val="auto"/>
        </w:rPr>
      </w:pPr>
      <w:r>
        <w:rPr>
          <w:rFonts w:ascii="Arial" w:cs="Arial" w:eastAsia="Arial" w:hAnsi="Arial"/>
          <w:sz w:val="22"/>
          <w:szCs w:val="22"/>
          <w:b w:val="1"/>
          <w:bCs w:val="1"/>
          <w:color w:val="auto"/>
        </w:rPr>
        <w:t>EXHIBIT A-1</w:t>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CUSIP/CINS 983130 AM7</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r>
        <w:rPr>
          <w:rFonts w:ascii="Arial" w:cs="Arial" w:eastAsia="Arial" w:hAnsi="Arial"/>
          <w:sz w:val="25"/>
          <w:szCs w:val="25"/>
          <w:color w:val="auto"/>
          <w:vertAlign w:val="superscript"/>
        </w:rPr>
        <w:t>7</w:t>
      </w:r>
      <w:r>
        <w:rPr>
          <w:rFonts w:ascii="Arial" w:cs="Arial" w:eastAsia="Arial" w:hAnsi="Arial"/>
          <w:sz w:val="18"/>
          <w:szCs w:val="18"/>
          <w:color w:val="auto"/>
        </w:rPr>
        <w:t>/</w:t>
      </w:r>
      <w:r>
        <w:rPr>
          <w:rFonts w:ascii="Arial" w:cs="Arial" w:eastAsia="Arial" w:hAnsi="Arial"/>
          <w:sz w:val="25"/>
          <w:szCs w:val="25"/>
          <w:color w:val="auto"/>
          <w:vertAlign w:val="subscript"/>
        </w:rPr>
        <w:t>8</w:t>
      </w:r>
      <w:r>
        <w:rPr>
          <w:rFonts w:ascii="Arial" w:cs="Arial" w:eastAsia="Arial" w:hAnsi="Arial"/>
          <w:sz w:val="18"/>
          <w:szCs w:val="18"/>
          <w:color w:val="auto"/>
        </w:rPr>
        <w:t>% [Series A] [Series B] First Mortgage Notes due 2020</w:t>
      </w:r>
    </w:p>
    <w:p>
      <w:pPr>
        <w:spacing w:after="0" w:line="175" w:lineRule="exact"/>
        <w:rPr>
          <w:sz w:val="20"/>
          <w:szCs w:val="20"/>
          <w:color w:val="auto"/>
        </w:rPr>
      </w:pPr>
    </w:p>
    <w:p>
      <w:pPr>
        <w:ind w:left="9620"/>
        <w:spacing w:after="0"/>
        <w:rPr>
          <w:sz w:val="20"/>
          <w:szCs w:val="20"/>
          <w:color w:val="auto"/>
        </w:rPr>
      </w:pPr>
      <w:r>
        <w:rPr>
          <w:rFonts w:ascii="Arial" w:cs="Arial" w:eastAsia="Arial" w:hAnsi="Arial"/>
          <w:sz w:val="16"/>
          <w:szCs w:val="16"/>
          <w:color w:val="auto"/>
        </w:rPr>
        <w:t>No. ___ $____________</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LAS VEGAS,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LAS VEGAS CAPITAL CORP.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promise to pay to ______________________ or registered assigns,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principal sum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DOLLARS on May 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November 1 and May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Record Dates: October 15 and April 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April 28, 2010</w:t>
      </w:r>
    </w:p>
    <w:p>
      <w:pPr>
        <w:spacing w:after="0" w:line="2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WYNN LAS VEGAS, LLC</w:t>
      </w:r>
      <w:r>
        <w:rPr>
          <w:rFonts w:ascii="Arial" w:cs="Arial" w:eastAsia="Arial" w:hAnsi="Arial"/>
          <w:sz w:val="18"/>
          <w:szCs w:val="18"/>
          <w:color w:val="auto"/>
        </w:rPr>
        <w:t>,</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11420"/>
          </w:cols>
          <w:pgMar w:left="240" w:top="747" w:right="239" w:bottom="646" w:gutter="0" w:footer="0" w:header="0"/>
        </w:sectPr>
      </w:pPr>
    </w:p>
    <w:p>
      <w:pPr>
        <w:spacing w:after="0" w:line="21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4460" w:space="440"/>
            <w:col w:w="6520"/>
          </w:cols>
          <w:pgMar w:left="240" w:top="747" w:right="239" w:bottom="646" w:gutter="0" w:footer="0" w:header="0"/>
          <w:type w:val="continuous"/>
        </w:sectPr>
      </w:pPr>
    </w:p>
    <w:p>
      <w:pPr>
        <w:spacing w:after="0" w:line="1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By:Wynn Resorts, Limited, a Nevada</w:t>
      </w:r>
    </w:p>
    <w:p>
      <w:pPr>
        <w:spacing w:after="0" w:line="4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corporation, its sole member</w:t>
      </w:r>
    </w:p>
    <w:p>
      <w:pPr>
        <w:spacing w:after="0" w:line="211"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115760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5760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115760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57605" cy="17145"/>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WYNN LAS VEGAS CAPITAL CORP.</w:t>
      </w:r>
      <w:r>
        <w:rPr>
          <w:rFonts w:ascii="Arial" w:cs="Arial" w:eastAsia="Arial" w:hAnsi="Arial"/>
          <w:sz w:val="18"/>
          <w:szCs w:val="18"/>
          <w:color w:val="auto"/>
        </w:rPr>
        <w:t>,</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 Nevada corporation</w:t>
      </w:r>
    </w:p>
    <w:p>
      <w:pPr>
        <w:spacing w:after="0" w:line="21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Indenture: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1277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7620" cy="17145"/>
                    </a:xfrm>
                    <a:prstGeom prst="rect">
                      <a:avLst/>
                    </a:prstGeom>
                    <a:noFill/>
                  </pic:spPr>
                </pic:pic>
              </a:graphicData>
            </a:graphic>
          </wp:anchor>
        </w:drawing>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Authorized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Signatory</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646"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558800</wp:posOffset>
            </wp:positionV>
            <wp:extent cx="7267575"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t>[Back of Note]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r>
        <w:rPr>
          <w:rFonts w:ascii="Arial" w:cs="Arial" w:eastAsia="Arial" w:hAnsi="Arial"/>
          <w:sz w:val="30"/>
          <w:szCs w:val="30"/>
          <w:color w:val="auto"/>
          <w:vertAlign w:val="superscript"/>
        </w:rPr>
        <w:t>7</w:t>
      </w:r>
      <w:r>
        <w:rPr>
          <w:rFonts w:ascii="Arial" w:cs="Arial" w:eastAsia="Arial" w:hAnsi="Arial"/>
          <w:sz w:val="22"/>
          <w:szCs w:val="22"/>
          <w:color w:val="auto"/>
        </w:rPr>
        <w:t>/</w:t>
      </w:r>
      <w:r>
        <w:rPr>
          <w:rFonts w:ascii="Arial" w:cs="Arial" w:eastAsia="Arial" w:hAnsi="Arial"/>
          <w:sz w:val="30"/>
          <w:szCs w:val="30"/>
          <w:color w:val="auto"/>
          <w:vertAlign w:val="subscript"/>
        </w:rPr>
        <w:t>8</w:t>
      </w:r>
      <w:r>
        <w:rPr>
          <w:rFonts w:ascii="Arial" w:cs="Arial" w:eastAsia="Arial" w:hAnsi="Arial"/>
          <w:sz w:val="22"/>
          <w:szCs w:val="22"/>
          <w:color w:val="auto"/>
        </w:rPr>
        <w:t>% [Series A] [Series B] First Mortgage Notes due 2020</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Private Placement Legend, if applicable, pursuant to Section 2.06(g)(1) of the Indenture</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Global Notes Legend, if applicable, pursuant to Section 2.06(g)(2) of the Indenture</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Capitalized terms used herein have the meanings assigned to them in the Indenture referred to below unless otherwise indicated.</w:t>
      </w:r>
    </w:p>
    <w:p>
      <w:pPr>
        <w:spacing w:after="0" w:line="200" w:lineRule="exact"/>
        <w:rPr>
          <w:sz w:val="20"/>
          <w:szCs w:val="20"/>
          <w:color w:val="auto"/>
        </w:rPr>
      </w:pPr>
    </w:p>
    <w:p>
      <w:pPr>
        <w:jc w:val="both"/>
        <w:ind w:firstLine="1305"/>
        <w:spacing w:after="0" w:line="271" w:lineRule="auto"/>
        <w:tabs>
          <w:tab w:leader="none" w:pos="2210" w:val="left"/>
        </w:tabs>
        <w:numPr>
          <w:ilvl w:val="0"/>
          <w:numId w:val="220"/>
        </w:numPr>
        <w:rPr>
          <w:rFonts w:ascii="Arial" w:cs="Arial" w:eastAsia="Arial" w:hAnsi="Arial"/>
          <w:sz w:val="19"/>
          <w:szCs w:val="19"/>
          <w:color w:val="auto"/>
        </w:rPr>
      </w:pPr>
      <w:r>
        <w:rPr>
          <w:rFonts w:ascii="Arial" w:cs="Arial" w:eastAsia="Arial" w:hAnsi="Arial"/>
          <w:sz w:val="19"/>
          <w:szCs w:val="19"/>
          <w:i w:val="1"/>
          <w:iCs w:val="1"/>
          <w:color w:val="auto"/>
        </w:rPr>
        <w:t>Interest</w:t>
      </w:r>
      <w:r>
        <w:rPr>
          <w:rFonts w:ascii="Arial" w:cs="Arial" w:eastAsia="Arial" w:hAnsi="Arial"/>
          <w:sz w:val="19"/>
          <w:szCs w:val="19"/>
          <w:color w:val="auto"/>
        </w:rPr>
        <w:t>.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 and Wynn Las</w:t>
      </w:r>
      <w:r>
        <w:rPr>
          <w:rFonts w:ascii="Arial" w:cs="Arial" w:eastAsia="Arial" w:hAnsi="Arial"/>
          <w:sz w:val="19"/>
          <w:szCs w:val="19"/>
          <w:i w:val="1"/>
          <w:iCs w:val="1"/>
          <w:color w:val="auto"/>
        </w:rPr>
        <w:t xml:space="preserve"> </w:t>
      </w:r>
      <w:r>
        <w:rPr>
          <w:rFonts w:ascii="Arial" w:cs="Arial" w:eastAsia="Arial" w:hAnsi="Arial"/>
          <w:sz w:val="19"/>
          <w:szCs w:val="19"/>
          <w:color w:val="auto"/>
        </w:rPr>
        <w:t>Vegas Capital Corp., a Nevada corporation (“Wynn Capital,”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as joint and several obligors, promise to pay interest on the principal amount of this Note at 7⅞% per annum from April 28, 2010 until maturity and shall pay the Liquidated Damages, if any, payable pursuant to Section 5 of the Registration Rights Agreement referred to below. &amp; #160;The Issuers shall pay interest and Liquidated Damages, if any, semi-annually in arrears on November 1 and May 1 of each year, or if any such day is not a Business Day, on the next succeeding Business Day (each, an “</w:t>
      </w:r>
      <w:r>
        <w:rPr>
          <w:rFonts w:ascii="Arial" w:cs="Arial" w:eastAsia="Arial" w:hAnsi="Arial"/>
          <w:sz w:val="19"/>
          <w:szCs w:val="19"/>
          <w:i w:val="1"/>
          <w:iCs w:val="1"/>
          <w:u w:val="single" w:color="auto"/>
          <w:color w:val="auto"/>
        </w:rPr>
        <w:t>Interest Payment Date</w:t>
      </w:r>
      <w:r>
        <w:rPr>
          <w:rFonts w:ascii="Arial" w:cs="Arial" w:eastAsia="Arial" w:hAnsi="Arial"/>
          <w:sz w:val="19"/>
          <w:szCs w:val="19"/>
          <w:color w:val="auto"/>
        </w:rPr>
        <w:t xml:space="preserve">”). Interest on the Notes shall accrue from the most recent date to which interest has been paid or, if no interest has been paid, from the date of issuance;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first Interest Payment Date shall be N ovember 1, 2010. The Issuers shall pay interest (including post-petition 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and Liquidated Damages, if any, (without regard to any applicable grace periods) from time to time on demand at the same rate to the extent lawful. Interest shall be computed on the basis of a 360-day year of twelve 30-day months.</w:t>
      </w:r>
    </w:p>
    <w:p>
      <w:pPr>
        <w:spacing w:after="0" w:line="188" w:lineRule="exact"/>
        <w:rPr>
          <w:rFonts w:ascii="Arial" w:cs="Arial" w:eastAsia="Arial" w:hAnsi="Arial"/>
          <w:sz w:val="19"/>
          <w:szCs w:val="19"/>
          <w:color w:val="auto"/>
        </w:rPr>
      </w:pPr>
    </w:p>
    <w:p>
      <w:pPr>
        <w:jc w:val="both"/>
        <w:ind w:firstLine="1305"/>
        <w:spacing w:after="0" w:line="273" w:lineRule="auto"/>
        <w:tabs>
          <w:tab w:leader="none" w:pos="2170" w:val="left"/>
        </w:tabs>
        <w:numPr>
          <w:ilvl w:val="0"/>
          <w:numId w:val="220"/>
        </w:numPr>
        <w:rPr>
          <w:rFonts w:ascii="Arial" w:cs="Arial" w:eastAsia="Arial" w:hAnsi="Arial"/>
          <w:sz w:val="19"/>
          <w:szCs w:val="19"/>
          <w:color w:val="auto"/>
        </w:rPr>
      </w:pPr>
      <w:r>
        <w:rPr>
          <w:rFonts w:ascii="Arial" w:cs="Arial" w:eastAsia="Arial" w:hAnsi="Arial"/>
          <w:sz w:val="19"/>
          <w:szCs w:val="19"/>
          <w:i w:val="1"/>
          <w:iCs w:val="1"/>
          <w:color w:val="auto"/>
        </w:rPr>
        <w:t>Method of Payment</w:t>
      </w:r>
      <w:r>
        <w:rPr>
          <w:rFonts w:ascii="Arial" w:cs="Arial" w:eastAsia="Arial" w:hAnsi="Arial"/>
          <w:sz w:val="19"/>
          <w:szCs w:val="19"/>
          <w:color w:val="auto"/>
        </w:rPr>
        <w:t>. The Issuers shall pay interest on the Notes (except defaulted interest) and Liquidated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Damages, if any, to the Persons who are registered Holders of Notes at the close of business on the October 15 or April 15 next preceding the Interest Payment Date, even if such Notes are canceled after such record date and on or before such Interest Payment Date, except as provided in Section 2.12 of the Indenture with respect to defaulted interest. The Notes shall be payable as to principal, premium and Liquidated Damages, if any, and interest at the office or agency of the Issuers maintained for such purpose within or without the City and State of New York, or, at the option of the Issuers, payment of interest and Liquidated Damages, if any, may be made by check mailed to the Holders at their addresses set forth in the register of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 by wire transfer of immediately available funds shall be required with respect to principal of and interest, premium and Liquidated Damages, if any, on, all Global Notes and all other Notes the Holders of which shall have provided wire transfer instructions to the Issuers or the Paying Agent. Such payment shall be in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159" w:name="page160"/>
    <w:bookmarkEnd w:id="159"/>
    <w:p>
      <w:pPr>
        <w:spacing w:after="0" w:line="251" w:lineRule="auto"/>
        <w:rPr>
          <w:sz w:val="20"/>
          <w:szCs w:val="20"/>
          <w:color w:val="auto"/>
        </w:rPr>
      </w:pPr>
      <w:r>
        <w:rPr>
          <w:rFonts w:ascii="Arial" w:cs="Arial" w:eastAsia="Arial" w:hAnsi="Arial"/>
          <w:sz w:val="22"/>
          <w:szCs w:val="22"/>
          <w:color w:val="auto"/>
        </w:rPr>
        <w:t>such coin or currency of the United States of America as at the time of payment is legal tender for payment of public and private debts.</w:t>
      </w:r>
    </w:p>
    <w:p>
      <w:pPr>
        <w:spacing w:after="0" w:line="200" w:lineRule="exact"/>
        <w:rPr>
          <w:sz w:val="20"/>
          <w:szCs w:val="20"/>
          <w:color w:val="auto"/>
        </w:rPr>
      </w:pPr>
    </w:p>
    <w:p>
      <w:pPr>
        <w:jc w:val="both"/>
        <w:ind w:firstLine="1305"/>
        <w:spacing w:after="0"/>
        <w:tabs>
          <w:tab w:leader="none" w:pos="2264" w:val="left"/>
        </w:tabs>
        <w:numPr>
          <w:ilvl w:val="0"/>
          <w:numId w:val="221"/>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r>
        <w:rPr>
          <w:rFonts w:ascii="Arial" w:cs="Arial" w:eastAsia="Arial" w:hAnsi="Arial"/>
          <w:sz w:val="22"/>
          <w:szCs w:val="22"/>
          <w:color w:val="auto"/>
        </w:rPr>
        <w:t>. Initially, U.S. Bank National Association, the Trustee under the Indenture,</w:t>
      </w:r>
      <w:r>
        <w:rPr>
          <w:rFonts w:ascii="Arial" w:cs="Arial" w:eastAsia="Arial" w:hAnsi="Arial"/>
          <w:sz w:val="22"/>
          <w:szCs w:val="22"/>
          <w:i w:val="1"/>
          <w:iCs w:val="1"/>
          <w:color w:val="auto"/>
        </w:rPr>
        <w:t xml:space="preserve"> </w:t>
      </w:r>
      <w:r>
        <w:rPr>
          <w:rFonts w:ascii="Arial" w:cs="Arial" w:eastAsia="Arial" w:hAnsi="Arial"/>
          <w:sz w:val="22"/>
          <w:szCs w:val="22"/>
          <w:color w:val="auto"/>
        </w:rPr>
        <w:t>shall act as Paying Agent and Registrar. The Issuers may change any Paying Agent or Registrar without notice to any Holder. Either Issuer or any of their Restricted Subsidiaries may act in any such capacity.</w:t>
      </w:r>
    </w:p>
    <w:p>
      <w:pPr>
        <w:spacing w:after="0" w:line="213" w:lineRule="exact"/>
        <w:rPr>
          <w:rFonts w:ascii="Arial" w:cs="Arial" w:eastAsia="Arial" w:hAnsi="Arial"/>
          <w:sz w:val="22"/>
          <w:szCs w:val="22"/>
          <w:color w:val="auto"/>
        </w:rPr>
      </w:pPr>
    </w:p>
    <w:p>
      <w:pPr>
        <w:jc w:val="both"/>
        <w:ind w:firstLine="1305"/>
        <w:spacing w:after="0" w:line="273" w:lineRule="auto"/>
        <w:tabs>
          <w:tab w:leader="none" w:pos="2251" w:val="left"/>
        </w:tabs>
        <w:numPr>
          <w:ilvl w:val="0"/>
          <w:numId w:val="221"/>
        </w:numPr>
        <w:rPr>
          <w:rFonts w:ascii="Arial" w:cs="Arial" w:eastAsia="Arial" w:hAnsi="Arial"/>
          <w:sz w:val="19"/>
          <w:szCs w:val="19"/>
          <w:color w:val="auto"/>
        </w:rPr>
      </w:pPr>
      <w:r>
        <w:rPr>
          <w:rFonts w:ascii="Arial" w:cs="Arial" w:eastAsia="Arial" w:hAnsi="Arial"/>
          <w:sz w:val="19"/>
          <w:szCs w:val="19"/>
          <w:i w:val="1"/>
          <w:iCs w:val="1"/>
          <w:color w:val="auto"/>
        </w:rPr>
        <w:t>Indenture and Collateral Documents</w:t>
      </w:r>
      <w:r>
        <w:rPr>
          <w:rFonts w:ascii="Arial" w:cs="Arial" w:eastAsia="Arial" w:hAnsi="Arial"/>
          <w:sz w:val="19"/>
          <w:szCs w:val="19"/>
          <w:color w:val="auto"/>
        </w:rPr>
        <w:t>. The Issuers issued the Notes under an Indenture dated as of April</w:t>
      </w:r>
      <w:r>
        <w:rPr>
          <w:rFonts w:ascii="Arial" w:cs="Arial" w:eastAsia="Arial" w:hAnsi="Arial"/>
          <w:sz w:val="19"/>
          <w:szCs w:val="19"/>
          <w:i w:val="1"/>
          <w:iCs w:val="1"/>
          <w:color w:val="auto"/>
        </w:rPr>
        <w:t xml:space="preserve"> </w:t>
      </w:r>
      <w:r>
        <w:rPr>
          <w:rFonts w:ascii="Arial" w:cs="Arial" w:eastAsia="Arial" w:hAnsi="Arial"/>
          <w:sz w:val="19"/>
          <w:szCs w:val="19"/>
          <w:color w:val="auto"/>
        </w:rPr>
        <w:t>28, 2010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 among the Issuers, the Guarantors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 ess provisions of the Indenture, the provisions of the Indenture shall govern and be controlling. The Notes are secured obligations of the Issuers. The Notes and the Note Guarantees are secured by a grant of a security interest in Collateral pursuant to the Collateral Documents referred to in the Indenture. The Indenture does not limit the aggregate principal amount of Notes that may be issued thereunder. Notes (other than Exchange Notes) issued after the date of the Indenture in compliance with the applicable requirements of the Indenture are referred to as “</w:t>
      </w:r>
      <w:r>
        <w:rPr>
          <w:rFonts w:ascii="Arial" w:cs="Arial" w:eastAsia="Arial" w:hAnsi="Arial"/>
          <w:sz w:val="19"/>
          <w:szCs w:val="19"/>
          <w:i w:val="1"/>
          <w:iCs w:val="1"/>
          <w:u w:val="single" w:color="auto"/>
          <w:color w:val="auto"/>
        </w:rPr>
        <w:t>Additional Notes</w:t>
      </w:r>
      <w:r>
        <w:rPr>
          <w:rFonts w:ascii="Arial" w:cs="Arial" w:eastAsia="Arial" w:hAnsi="Arial"/>
          <w:sz w:val="19"/>
          <w:szCs w:val="19"/>
          <w:color w:val="auto"/>
        </w:rPr>
        <w:t>.” The term “</w:t>
      </w:r>
      <w:r>
        <w:rPr>
          <w:rFonts w:ascii="Arial" w:cs="Arial" w:eastAsia="Arial" w:hAnsi="Arial"/>
          <w:sz w:val="19"/>
          <w:szCs w:val="19"/>
          <w:i w:val="1"/>
          <w:iCs w:val="1"/>
          <w:u w:val="single" w:color="auto"/>
          <w:color w:val="auto"/>
        </w:rPr>
        <w:t>Notes</w:t>
      </w:r>
      <w:r>
        <w:rPr>
          <w:rFonts w:ascii="Arial" w:cs="Arial" w:eastAsia="Arial" w:hAnsi="Arial"/>
          <w:sz w:val="19"/>
          <w:szCs w:val="19"/>
          <w:color w:val="auto"/>
        </w:rPr>
        <w:t>” includes any Additional Notes hereafter issued.</w:t>
      </w:r>
    </w:p>
    <w:p>
      <w:pPr>
        <w:spacing w:after="0" w:line="188" w:lineRule="exact"/>
        <w:rPr>
          <w:rFonts w:ascii="Arial" w:cs="Arial" w:eastAsia="Arial" w:hAnsi="Arial"/>
          <w:sz w:val="19"/>
          <w:szCs w:val="19"/>
          <w:color w:val="auto"/>
        </w:rPr>
      </w:pPr>
    </w:p>
    <w:p>
      <w:pPr>
        <w:ind w:left="2160" w:hanging="855"/>
        <w:spacing w:after="0"/>
        <w:tabs>
          <w:tab w:leader="none" w:pos="2160" w:val="left"/>
        </w:tabs>
        <w:numPr>
          <w:ilvl w:val="0"/>
          <w:numId w:val="221"/>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115"/>
        <w:spacing w:after="0" w:line="282" w:lineRule="auto"/>
        <w:tabs>
          <w:tab w:leader="none" w:pos="2941" w:val="left"/>
        </w:tabs>
        <w:numPr>
          <w:ilvl w:val="1"/>
          <w:numId w:val="221"/>
        </w:numPr>
        <w:rPr>
          <w:rFonts w:ascii="Arial" w:cs="Arial" w:eastAsia="Arial" w:hAnsi="Arial"/>
          <w:sz w:val="19"/>
          <w:szCs w:val="19"/>
          <w:color w:val="auto"/>
        </w:rPr>
      </w:pPr>
      <w:r>
        <w:rPr>
          <w:rFonts w:ascii="Arial" w:cs="Arial" w:eastAsia="Arial" w:hAnsi="Arial"/>
          <w:sz w:val="19"/>
          <w:szCs w:val="19"/>
          <w:color w:val="auto"/>
        </w:rPr>
        <w:t>Except as set forth in subparagraph (b) of this Paragraph 5, the Issuers shall not have the option to redeem the Notes prior to May 1, 2015. On or after May 1, 2015, the Issuers shall have the option to redeem the Notes, in whole or in part,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May 1 of the years indicated below:</w:t>
      </w:r>
    </w:p>
    <w:p>
      <w:pPr>
        <w:spacing w:after="0" w:line="165" w:lineRule="exact"/>
        <w:rPr>
          <w:sz w:val="20"/>
          <w:szCs w:val="20"/>
          <w:color w:val="auto"/>
        </w:rPr>
      </w:pPr>
    </w:p>
    <w:tbl>
      <w:tblPr>
        <w:tblLayout w:type="fixed"/>
        <w:tblInd w:w="2700" w:type="dxa"/>
        <w:tblCellMar>
          <w:top w:w="0" w:type="dxa"/>
          <w:left w:w="0" w:type="dxa"/>
          <w:bottom w:w="0" w:type="dxa"/>
          <w:right w:w="0" w:type="dxa"/>
        </w:tblCellMar>
      </w:tblPr>
      <w:tr>
        <w:trPr>
          <w:trHeight w:val="253"/>
        </w:trPr>
        <w:tc>
          <w:tcPr>
            <w:tcW w:w="2420" w:type="dxa"/>
            <w:vAlign w:val="bottom"/>
          </w:tcPr>
          <w:p>
            <w:pPr>
              <w:spacing w:after="0"/>
              <w:rPr>
                <w:sz w:val="20"/>
                <w:szCs w:val="20"/>
                <w:color w:val="auto"/>
              </w:rPr>
            </w:pPr>
            <w:r>
              <w:rPr>
                <w:rFonts w:ascii="Arial" w:cs="Arial" w:eastAsia="Arial" w:hAnsi="Arial"/>
                <w:sz w:val="22"/>
                <w:szCs w:val="22"/>
                <w:b w:val="1"/>
                <w:bCs w:val="1"/>
                <w:color w:val="auto"/>
              </w:rPr>
              <w:t>Year</w:t>
            </w:r>
          </w:p>
        </w:tc>
        <w:tc>
          <w:tcPr>
            <w:tcW w:w="1740" w:type="dxa"/>
            <w:vAlign w:val="bottom"/>
          </w:tcPr>
          <w:p>
            <w:pPr>
              <w:ind w:left="720"/>
              <w:spacing w:after="0"/>
              <w:rPr>
                <w:sz w:val="20"/>
                <w:szCs w:val="20"/>
                <w:color w:val="auto"/>
              </w:rPr>
            </w:pPr>
            <w:r>
              <w:rPr>
                <w:rFonts w:ascii="Arial" w:cs="Arial" w:eastAsia="Arial" w:hAnsi="Arial"/>
                <w:sz w:val="22"/>
                <w:szCs w:val="22"/>
                <w:b w:val="1"/>
                <w:bCs w:val="1"/>
                <w:color w:val="auto"/>
                <w:w w:val="84"/>
              </w:rPr>
              <w:t>Percentage</w:t>
            </w:r>
          </w:p>
        </w:tc>
      </w:tr>
      <w:tr>
        <w:trPr>
          <w:trHeight w:val="243"/>
        </w:trPr>
        <w:tc>
          <w:tcPr>
            <w:tcW w:w="2420" w:type="dxa"/>
            <w:vAlign w:val="bottom"/>
          </w:tcPr>
          <w:p>
            <w:pPr>
              <w:spacing w:after="0" w:line="243" w:lineRule="exact"/>
              <w:rPr>
                <w:sz w:val="20"/>
                <w:szCs w:val="20"/>
                <w:color w:val="auto"/>
              </w:rPr>
            </w:pPr>
            <w:r>
              <w:rPr>
                <w:rFonts w:ascii="Arial" w:cs="Arial" w:eastAsia="Arial" w:hAnsi="Arial"/>
                <w:sz w:val="22"/>
                <w:szCs w:val="22"/>
                <w:color w:val="auto"/>
              </w:rPr>
              <w:t>2015</w:t>
            </w:r>
          </w:p>
        </w:tc>
        <w:tc>
          <w:tcPr>
            <w:tcW w:w="1740" w:type="dxa"/>
            <w:vAlign w:val="bottom"/>
          </w:tcPr>
          <w:p>
            <w:pPr>
              <w:ind w:left="720"/>
              <w:spacing w:after="0" w:line="243" w:lineRule="exact"/>
              <w:rPr>
                <w:sz w:val="20"/>
                <w:szCs w:val="20"/>
                <w:color w:val="auto"/>
              </w:rPr>
            </w:pPr>
            <w:r>
              <w:rPr>
                <w:rFonts w:ascii="Arial" w:cs="Arial" w:eastAsia="Arial" w:hAnsi="Arial"/>
                <w:sz w:val="22"/>
                <w:szCs w:val="22"/>
                <w:color w:val="auto"/>
              </w:rPr>
              <w:t>103.938%</w:t>
            </w:r>
          </w:p>
        </w:tc>
      </w:tr>
      <w:tr>
        <w:trPr>
          <w:trHeight w:val="243"/>
        </w:trPr>
        <w:tc>
          <w:tcPr>
            <w:tcW w:w="2420" w:type="dxa"/>
            <w:vAlign w:val="bottom"/>
          </w:tcPr>
          <w:p>
            <w:pPr>
              <w:spacing w:after="0" w:line="243" w:lineRule="exact"/>
              <w:rPr>
                <w:sz w:val="20"/>
                <w:szCs w:val="20"/>
                <w:color w:val="auto"/>
              </w:rPr>
            </w:pPr>
            <w:r>
              <w:rPr>
                <w:rFonts w:ascii="Arial" w:cs="Arial" w:eastAsia="Arial" w:hAnsi="Arial"/>
                <w:sz w:val="22"/>
                <w:szCs w:val="22"/>
                <w:color w:val="auto"/>
              </w:rPr>
              <w:t>2016</w:t>
            </w:r>
          </w:p>
        </w:tc>
        <w:tc>
          <w:tcPr>
            <w:tcW w:w="1740" w:type="dxa"/>
            <w:vAlign w:val="bottom"/>
          </w:tcPr>
          <w:p>
            <w:pPr>
              <w:ind w:left="720"/>
              <w:spacing w:after="0" w:line="243" w:lineRule="exact"/>
              <w:rPr>
                <w:sz w:val="20"/>
                <w:szCs w:val="20"/>
                <w:color w:val="auto"/>
              </w:rPr>
            </w:pPr>
            <w:r>
              <w:rPr>
                <w:rFonts w:ascii="Arial" w:cs="Arial" w:eastAsia="Arial" w:hAnsi="Arial"/>
                <w:sz w:val="22"/>
                <w:szCs w:val="22"/>
                <w:color w:val="auto"/>
              </w:rPr>
              <w:t>102.625%</w:t>
            </w:r>
          </w:p>
        </w:tc>
      </w:tr>
      <w:tr>
        <w:trPr>
          <w:trHeight w:val="243"/>
        </w:trPr>
        <w:tc>
          <w:tcPr>
            <w:tcW w:w="2420" w:type="dxa"/>
            <w:vAlign w:val="bottom"/>
          </w:tcPr>
          <w:p>
            <w:pPr>
              <w:spacing w:after="0" w:line="243" w:lineRule="exact"/>
              <w:rPr>
                <w:sz w:val="20"/>
                <w:szCs w:val="20"/>
                <w:color w:val="auto"/>
              </w:rPr>
            </w:pPr>
            <w:r>
              <w:rPr>
                <w:rFonts w:ascii="Arial" w:cs="Arial" w:eastAsia="Arial" w:hAnsi="Arial"/>
                <w:sz w:val="22"/>
                <w:szCs w:val="22"/>
                <w:color w:val="auto"/>
              </w:rPr>
              <w:t>2017</w:t>
            </w:r>
          </w:p>
        </w:tc>
        <w:tc>
          <w:tcPr>
            <w:tcW w:w="1740" w:type="dxa"/>
            <w:vAlign w:val="bottom"/>
          </w:tcPr>
          <w:p>
            <w:pPr>
              <w:ind w:left="720"/>
              <w:spacing w:after="0" w:line="243" w:lineRule="exact"/>
              <w:rPr>
                <w:sz w:val="20"/>
                <w:szCs w:val="20"/>
                <w:color w:val="auto"/>
              </w:rPr>
            </w:pPr>
            <w:r>
              <w:rPr>
                <w:rFonts w:ascii="Arial" w:cs="Arial" w:eastAsia="Arial" w:hAnsi="Arial"/>
                <w:sz w:val="22"/>
                <w:szCs w:val="22"/>
                <w:color w:val="auto"/>
              </w:rPr>
              <w:t>101.313%</w:t>
            </w:r>
          </w:p>
        </w:tc>
      </w:t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2018 and thereafter</w:t>
            </w:r>
          </w:p>
        </w:tc>
        <w:tc>
          <w:tcPr>
            <w:tcW w:w="1740" w:type="dxa"/>
            <w:vAlign w:val="bottom"/>
          </w:tcPr>
          <w:p>
            <w:pPr>
              <w:ind w:left="720"/>
              <w:spacing w:after="0"/>
              <w:rPr>
                <w:sz w:val="20"/>
                <w:szCs w:val="20"/>
                <w:color w:val="auto"/>
              </w:rPr>
            </w:pPr>
            <w:r>
              <w:rPr>
                <w:rFonts w:ascii="Arial" w:cs="Arial" w:eastAsia="Arial" w:hAnsi="Arial"/>
                <w:sz w:val="22"/>
                <w:szCs w:val="22"/>
                <w:color w:val="auto"/>
              </w:rPr>
              <w:t>100.000%</w:t>
            </w:r>
          </w:p>
        </w:tc>
      </w:tr>
    </w:tbl>
    <w:p>
      <w:pPr>
        <w:spacing w:after="0" w:line="212"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Unless the Issuers defaults in the payment of the redemption price, interest shall cease to accrue on the Notes or portions thereof called for redemption on the applicable redemption date.</w:t>
      </w:r>
    </w:p>
    <w:p>
      <w:pPr>
        <w:spacing w:after="0" w:line="200" w:lineRule="exact"/>
        <w:rPr>
          <w:sz w:val="20"/>
          <w:szCs w:val="20"/>
          <w:color w:val="auto"/>
        </w:rPr>
      </w:pPr>
    </w:p>
    <w:p>
      <w:pPr>
        <w:jc w:val="both"/>
        <w:ind w:firstLine="2123"/>
        <w:spacing w:after="0" w:line="252" w:lineRule="auto"/>
        <w:tabs>
          <w:tab w:leader="none" w:pos="2992" w:val="left"/>
        </w:tabs>
        <w:numPr>
          <w:ilvl w:val="0"/>
          <w:numId w:val="222"/>
        </w:numPr>
        <w:rPr>
          <w:rFonts w:ascii="Arial" w:cs="Arial" w:eastAsia="Arial" w:hAnsi="Arial"/>
          <w:sz w:val="21"/>
          <w:szCs w:val="21"/>
          <w:color w:val="auto"/>
        </w:rPr>
      </w:pPr>
      <w:r>
        <w:rPr>
          <w:rFonts w:ascii="Arial" w:cs="Arial" w:eastAsia="Arial" w:hAnsi="Arial"/>
          <w:sz w:val="21"/>
          <w:szCs w:val="21"/>
          <w:color w:val="auto"/>
        </w:rPr>
        <w:t>Notwithstanding the provisions of subparagraph (a) of this Paragraph 5, at any time prior to May 1, 2013, the Issuers may on one or more occasions redeem up to 35% of the aggregate principal amount of Notes with the net cash proceeds of one or more Qualified Equity Offerings of Wynn Resorts that are contributed to Wynn Las Vegas; at a redemption price equal to 107.875% of the principal amount redeemed, plus accrued and unpaid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0" w:name="page161"/>
    <w:bookmarkEnd w:id="160"/>
    <w:p>
      <w:pPr>
        <w:jc w:val="both"/>
        <w:spacing w:after="0" w:line="297" w:lineRule="auto"/>
        <w:rPr>
          <w:sz w:val="20"/>
          <w:szCs w:val="20"/>
          <w:color w:val="auto"/>
        </w:rPr>
      </w:pPr>
      <w:r>
        <w:rPr>
          <w:rFonts w:ascii="Arial" w:cs="Arial" w:eastAsia="Arial" w:hAnsi="Arial"/>
          <w:sz w:val="19"/>
          <w:szCs w:val="19"/>
          <w:color w:val="auto"/>
        </w:rPr>
        <w:t xml:space="preserve">interest and Liquidated Damages, if any, thereon to the redemption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least 65% of the aggregate principal amount of the Notes issued under the Indenture (including Additional Notes) remain outstanding immediately after the occurrence of such redemption, and that such redemption occurs within 60 days of the date of the closing of such Qualified Equity Offering.</w:t>
      </w:r>
    </w:p>
    <w:p>
      <w:pPr>
        <w:spacing w:after="0" w:line="161" w:lineRule="exact"/>
        <w:rPr>
          <w:sz w:val="20"/>
          <w:szCs w:val="20"/>
          <w:color w:val="auto"/>
        </w:rPr>
      </w:pPr>
    </w:p>
    <w:p>
      <w:pPr>
        <w:ind w:right="20" w:firstLine="1305"/>
        <w:spacing w:after="0" w:line="251" w:lineRule="auto"/>
        <w:tabs>
          <w:tab w:leader="none" w:pos="2210" w:val="left"/>
        </w:tabs>
        <w:numPr>
          <w:ilvl w:val="0"/>
          <w:numId w:val="223"/>
        </w:numPr>
        <w:rPr>
          <w:rFonts w:ascii="Arial" w:cs="Arial" w:eastAsia="Arial" w:hAnsi="Arial"/>
          <w:sz w:val="22"/>
          <w:szCs w:val="22"/>
          <w:color w:val="auto"/>
        </w:rPr>
      </w:pPr>
      <w:r>
        <w:rPr>
          <w:rFonts w:ascii="Arial" w:cs="Arial" w:eastAsia="Arial" w:hAnsi="Arial"/>
          <w:sz w:val="22"/>
          <w:szCs w:val="22"/>
          <w:i w:val="1"/>
          <w:iCs w:val="1"/>
          <w:color w:val="auto"/>
        </w:rPr>
        <w:t>Mandatory Redemption</w:t>
      </w:r>
      <w:r>
        <w:rPr>
          <w:rFonts w:ascii="Arial" w:cs="Arial" w:eastAsia="Arial" w:hAnsi="Arial"/>
          <w:sz w:val="22"/>
          <w:szCs w:val="22"/>
          <w:color w:val="auto"/>
        </w:rPr>
        <w:t>. Other than as set forth in Paragraph 7 below, the Issuers shall not be required to</w:t>
      </w:r>
      <w:r>
        <w:rPr>
          <w:rFonts w:ascii="Arial" w:cs="Arial" w:eastAsia="Arial" w:hAnsi="Arial"/>
          <w:sz w:val="22"/>
          <w:szCs w:val="22"/>
          <w:i w:val="1"/>
          <w:iCs w:val="1"/>
          <w:color w:val="auto"/>
        </w:rPr>
        <w:t xml:space="preserve"> </w:t>
      </w:r>
      <w:r>
        <w:rPr>
          <w:rFonts w:ascii="Arial" w:cs="Arial" w:eastAsia="Arial" w:hAnsi="Arial"/>
          <w:sz w:val="22"/>
          <w:szCs w:val="22"/>
          <w:color w:val="auto"/>
        </w:rPr>
        <w:t>make mandatory redemption or sinking fund payments with respect to the Notes.</w:t>
      </w:r>
    </w:p>
    <w:p>
      <w:pPr>
        <w:spacing w:after="0" w:line="200" w:lineRule="exact"/>
        <w:rPr>
          <w:rFonts w:ascii="Arial" w:cs="Arial" w:eastAsia="Arial" w:hAnsi="Arial"/>
          <w:sz w:val="22"/>
          <w:szCs w:val="22"/>
          <w:color w:val="auto"/>
        </w:rPr>
      </w:pPr>
    </w:p>
    <w:p>
      <w:pPr>
        <w:jc w:val="both"/>
        <w:ind w:firstLine="1305"/>
        <w:spacing w:after="0" w:line="271" w:lineRule="auto"/>
        <w:tabs>
          <w:tab w:leader="none" w:pos="2143" w:val="left"/>
        </w:tabs>
        <w:numPr>
          <w:ilvl w:val="0"/>
          <w:numId w:val="223"/>
        </w:numPr>
        <w:rPr>
          <w:rFonts w:ascii="Arial" w:cs="Arial" w:eastAsia="Arial" w:hAnsi="Arial"/>
          <w:sz w:val="19"/>
          <w:szCs w:val="19"/>
          <w:color w:val="auto"/>
        </w:rPr>
      </w:pPr>
      <w:r>
        <w:rPr>
          <w:rFonts w:ascii="Arial" w:cs="Arial" w:eastAsia="Arial" w:hAnsi="Arial"/>
          <w:sz w:val="19"/>
          <w:szCs w:val="19"/>
          <w:i w:val="1"/>
          <w:iCs w:val="1"/>
          <w:color w:val="auto"/>
        </w:rPr>
        <w:t>Mandatory Disposition or Redemption Pursuant to Gaming Laws</w:t>
      </w:r>
      <w:r>
        <w:rPr>
          <w:rFonts w:ascii="Arial" w:cs="Arial" w:eastAsia="Arial" w:hAnsi="Arial"/>
          <w:sz w:val="19"/>
          <w:szCs w:val="19"/>
          <w:color w:val="auto"/>
        </w:rPr>
        <w:t>. Notwithstanding any other provision of</w:t>
      </w:r>
      <w:r>
        <w:rPr>
          <w:rFonts w:ascii="Arial" w:cs="Arial" w:eastAsia="Arial" w:hAnsi="Arial"/>
          <w:sz w:val="19"/>
          <w:szCs w:val="19"/>
          <w:i w:val="1"/>
          <w:iCs w:val="1"/>
          <w:color w:val="auto"/>
        </w:rPr>
        <w:t xml:space="preserve"> </w:t>
      </w:r>
      <w:r>
        <w:rPr>
          <w:rFonts w:ascii="Arial" w:cs="Arial" w:eastAsia="Arial" w:hAnsi="Arial"/>
          <w:sz w:val="19"/>
          <w:szCs w:val="19"/>
          <w:color w:val="auto"/>
        </w:rPr>
        <w:t>the Indenture or this Note, if any Gaming Authority requires a Holder or Beneficial Owner of Notes to be licensed, qualified or found suitable under any applicable Gaming Law and the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 Issuers shall have the right, at their option, to: (1) require the Holder or Beneficial Owner to dispose o 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and Liquidated Damages, if any, on the Notes to the earlier of (A) the date of redemption or such earlier date as is require 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200" w:lineRule="exact"/>
        <w:rPr>
          <w:sz w:val="20"/>
          <w:szCs w:val="20"/>
          <w:color w:val="auto"/>
        </w:rPr>
      </w:pPr>
    </w:p>
    <w:p>
      <w:pPr>
        <w:spacing w:after="0" w:line="232" w:lineRule="exact"/>
        <w:rPr>
          <w:sz w:val="20"/>
          <w:szCs w:val="20"/>
          <w:color w:val="auto"/>
        </w:rPr>
      </w:pPr>
    </w:p>
    <w:p>
      <w:pPr>
        <w:jc w:val="both"/>
        <w:ind w:left="660" w:firstLine="648"/>
        <w:spacing w:after="0" w:line="249" w:lineRule="auto"/>
        <w:rPr>
          <w:sz w:val="20"/>
          <w:szCs w:val="20"/>
          <w:color w:val="auto"/>
        </w:rPr>
      </w:pPr>
      <w:r>
        <w:rPr>
          <w:rFonts w:ascii="Arial" w:cs="Arial" w:eastAsia="Arial" w:hAnsi="Arial"/>
          <w:sz w:val="21"/>
          <w:szCs w:val="21"/>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206" w:lineRule="exact"/>
        <w:rPr>
          <w:sz w:val="20"/>
          <w:szCs w:val="20"/>
          <w:color w:val="auto"/>
        </w:rPr>
      </w:pPr>
    </w:p>
    <w:p>
      <w:pPr>
        <w:jc w:val="both"/>
        <w:ind w:left="660" w:firstLine="648"/>
        <w:spacing w:after="0"/>
        <w:rPr>
          <w:sz w:val="20"/>
          <w:szCs w:val="20"/>
          <w:color w:val="auto"/>
        </w:rPr>
      </w:pPr>
      <w:r>
        <w:rPr>
          <w:rFonts w:ascii="Arial" w:cs="Arial" w:eastAsia="Arial" w:hAnsi="Arial"/>
          <w:sz w:val="22"/>
          <w:szCs w:val="22"/>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1" w:name="page162"/>
    <w:bookmarkEnd w:id="161"/>
    <w:p>
      <w:pPr>
        <w:ind w:left="2160" w:hanging="855"/>
        <w:spacing w:after="0"/>
        <w:tabs>
          <w:tab w:leader="none" w:pos="2160" w:val="left"/>
        </w:tabs>
        <w:numPr>
          <w:ilvl w:val="0"/>
          <w:numId w:val="224"/>
        </w:numPr>
        <w:rPr>
          <w:rFonts w:ascii="Arial" w:cs="Arial" w:eastAsia="Arial" w:hAnsi="Arial"/>
          <w:sz w:val="22"/>
          <w:szCs w:val="22"/>
          <w:color w:val="auto"/>
        </w:rPr>
      </w:pPr>
      <w:r>
        <w:rPr>
          <w:rFonts w:ascii="Arial" w:cs="Arial" w:eastAsia="Arial" w:hAnsi="Arial"/>
          <w:sz w:val="22"/>
          <w:szCs w:val="22"/>
          <w:i w:val="1"/>
          <w:iCs w:val="1"/>
          <w:color w:val="auto"/>
        </w:rPr>
        <w:t>Repurchase at Option of Holder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136"/>
        <w:spacing w:after="0" w:line="235" w:lineRule="auto"/>
        <w:tabs>
          <w:tab w:leader="none" w:pos="3039" w:val="left"/>
        </w:tabs>
        <w:numPr>
          <w:ilvl w:val="1"/>
          <w:numId w:val="224"/>
        </w:numPr>
        <w:rPr>
          <w:rFonts w:ascii="Arial" w:cs="Arial" w:eastAsia="Arial" w:hAnsi="Arial"/>
          <w:sz w:val="22"/>
          <w:szCs w:val="22"/>
          <w:color w:val="auto"/>
        </w:rPr>
      </w:pPr>
      <w:r>
        <w:rPr>
          <w:rFonts w:ascii="Arial" w:cs="Arial" w:eastAsia="Arial" w:hAnsi="Arial"/>
          <w:sz w:val="22"/>
          <w:szCs w:val="22"/>
          <w:color w:val="auto"/>
        </w:rPr>
        <w:t>If a Change of Control, occurs, the Issuers shall make an offer (a “</w:t>
      </w:r>
      <w:r>
        <w:rPr>
          <w:rFonts w:ascii="Arial" w:cs="Arial" w:eastAsia="Arial" w:hAnsi="Arial"/>
          <w:sz w:val="22"/>
          <w:szCs w:val="22"/>
          <w:i w:val="1"/>
          <w:iCs w:val="1"/>
          <w:u w:val="single" w:color="auto"/>
          <w:color w:val="auto"/>
        </w:rPr>
        <w:t>Change of Control Offer</w:t>
      </w:r>
      <w:r>
        <w:rPr>
          <w:rFonts w:ascii="Arial" w:cs="Arial" w:eastAsia="Arial" w:hAnsi="Arial"/>
          <w:sz w:val="22"/>
          <w:szCs w:val="22"/>
          <w:color w:val="auto"/>
        </w:rPr>
        <w:t>”) to repurchase all or any part (equal to $2,000 or an integral multiple of $1,000 in excess of $2,000) of each Holder’s Notes at a purchase price equal to 101% of the aggregate principal amount thereof plus accrued and unpaid interest and Liquidated Damages thereon, if any, to the date of purchase (the “</w:t>
      </w:r>
      <w:r>
        <w:rPr>
          <w:rFonts w:ascii="Arial" w:cs="Arial" w:eastAsia="Arial" w:hAnsi="Arial"/>
          <w:sz w:val="22"/>
          <w:szCs w:val="22"/>
          <w:i w:val="1"/>
          <w:iCs w:val="1"/>
          <w:u w:val="single" w:color="auto"/>
          <w:color w:val="auto"/>
        </w:rPr>
        <w:t>Change of Control Payment</w:t>
      </w:r>
      <w:r>
        <w:rPr>
          <w:rFonts w:ascii="Arial" w:cs="Arial" w:eastAsia="Arial" w:hAnsi="Arial"/>
          <w:sz w:val="22"/>
          <w:szCs w:val="22"/>
          <w:color w:val="auto"/>
        </w:rPr>
        <w:t>”). Within 10 days following any Change of Control, the Issuers shall mail a notice to each Holder setting forth the proce dures governing the Change of Control Offer as required by the Indenture.</w:t>
      </w:r>
    </w:p>
    <w:p>
      <w:pPr>
        <w:spacing w:after="0" w:line="215" w:lineRule="exact"/>
        <w:rPr>
          <w:rFonts w:ascii="Arial" w:cs="Arial" w:eastAsia="Arial" w:hAnsi="Arial"/>
          <w:sz w:val="22"/>
          <w:szCs w:val="22"/>
          <w:color w:val="auto"/>
        </w:rPr>
      </w:pPr>
    </w:p>
    <w:p>
      <w:pPr>
        <w:jc w:val="both"/>
        <w:ind w:firstLine="2127"/>
        <w:spacing w:after="0" w:line="270" w:lineRule="auto"/>
        <w:tabs>
          <w:tab w:leader="none" w:pos="3012" w:val="left"/>
        </w:tabs>
        <w:numPr>
          <w:ilvl w:val="1"/>
          <w:numId w:val="224"/>
        </w:numPr>
        <w:rPr>
          <w:rFonts w:ascii="Arial" w:cs="Arial" w:eastAsia="Arial" w:hAnsi="Arial"/>
          <w:sz w:val="19"/>
          <w:szCs w:val="19"/>
          <w:color w:val="auto"/>
        </w:rPr>
      </w:pPr>
      <w:r>
        <w:rPr>
          <w:rFonts w:ascii="Arial" w:cs="Arial" w:eastAsia="Arial" w:hAnsi="Arial"/>
          <w:sz w:val="19"/>
          <w:szCs w:val="19"/>
          <w:color w:val="auto"/>
        </w:rPr>
        <w:t>If Wynn Las Vegas or any of the Restricted Subsidiaries consummate any Asset Sales,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Wynn Las Vegas shall allocate a portion of the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 ebt then outstanding and all Indebtedness then outstanding under the Credit Agreement (such amount being the “</w:t>
      </w:r>
      <w:r>
        <w:rPr>
          <w:rFonts w:ascii="Arial" w:cs="Arial" w:eastAsia="Arial" w:hAnsi="Arial"/>
          <w:sz w:val="19"/>
          <w:szCs w:val="19"/>
          <w:i w:val="1"/>
          <w:iCs w:val="1"/>
          <w:u w:val="single" w:color="auto"/>
          <w:color w:val="auto"/>
        </w:rPr>
        <w:t>Asset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Sale Offer Amount</w:t>
      </w:r>
      <w:r>
        <w:rPr>
          <w:rFonts w:ascii="Arial" w:cs="Arial" w:eastAsia="Arial" w:hAnsi="Arial"/>
          <w:sz w:val="19"/>
          <w:szCs w:val="19"/>
          <w:color w:val="auto"/>
        </w:rPr>
        <w:t>”), to make an offer (an “</w:t>
      </w:r>
      <w:r>
        <w:rPr>
          <w:rFonts w:ascii="Arial" w:cs="Arial" w:eastAsia="Arial" w:hAnsi="Arial"/>
          <w:sz w:val="19"/>
          <w:szCs w:val="19"/>
          <w:i w:val="1"/>
          <w:iCs w:val="1"/>
          <w:u w:val="single" w:color="auto"/>
          <w:color w:val="auto"/>
        </w:rPr>
        <w:t>Asset Sale Offer</w:t>
      </w:r>
      <w:r>
        <w:rPr>
          <w:rFonts w:ascii="Arial" w:cs="Arial" w:eastAsia="Arial" w:hAnsi="Arial"/>
          <w:sz w:val="19"/>
          <w:szCs w:val="19"/>
          <w:color w:val="auto"/>
        </w:rPr>
        <w:t>”) to all holders of Notes and, to the extent required, the holders of such</w:t>
      </w:r>
      <w:r>
        <w:rPr>
          <w:rFonts w:ascii="Arial" w:cs="Arial" w:eastAsia="Arial" w:hAnsi="Arial"/>
          <w:sz w:val="19"/>
          <w:szCs w:val="19"/>
          <w:i w:val="1"/>
          <w:iCs w:val="1"/>
          <w:color w:val="auto"/>
        </w:rPr>
        <w:t xml:space="preserve"> </w:t>
      </w:r>
      <w:r>
        <w:rPr>
          <w:rFonts w:ascii="Arial" w:cs="Arial" w:eastAsia="Arial" w:hAnsi="Arial"/>
          <w:sz w:val="19"/>
          <w:szCs w:val="19"/>
          <w:color w:val="auto"/>
        </w:rPr>
        <w:t>Pari Passu Debt pursuant to Sections 3.10 and 4.10 of the Indenture to repurchase such Notes and such Pari Passu Debt at an offer price equal to 100% of the principal amount of the Notes and such Pari Passu Debt to be purchased plus accrued and unpaid interest and Liquidated Damages , if any, on the Notes and such other Pari Passu Debt to the date of repurchase, which offer price shall be payable in cash. The amount of any such Excess Proceeds less the Asset Sale Offer Amount (the “</w:t>
      </w:r>
      <w:r>
        <w:rPr>
          <w:rFonts w:ascii="Arial" w:cs="Arial" w:eastAsia="Arial" w:hAnsi="Arial"/>
          <w:sz w:val="19"/>
          <w:szCs w:val="19"/>
          <w:i w:val="1"/>
          <w:iCs w:val="1"/>
          <w:color w:val="auto"/>
        </w:rPr>
        <w:t>Asset Sale Repayment Amount</w:t>
      </w:r>
      <w:r>
        <w:rPr>
          <w:rFonts w:ascii="Arial" w:cs="Arial" w:eastAsia="Arial" w:hAnsi="Arial"/>
          <w:sz w:val="19"/>
          <w:szCs w:val="19"/>
          <w:color w:val="auto"/>
        </w:rPr>
        <w:t xml:space="preserve">”) shall concurrently be applied to repay any term Indebtedness outstanding under the Credit Agreement in accordance with the requirements of the Credit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Holders of Notes that are the subject of an offer to purchase shall receive an Asset Sale Offer from Wynn Las Vegas prior to any related purchase date and may elect to have such Notes purch ased by completing the form entitled “</w:t>
      </w:r>
      <w:r>
        <w:rPr>
          <w:rFonts w:ascii="Arial" w:cs="Arial" w:eastAsia="Arial" w:hAnsi="Arial"/>
          <w:sz w:val="19"/>
          <w:szCs w:val="19"/>
          <w:i w:val="1"/>
          <w:iCs w:val="1"/>
          <w:color w:val="auto"/>
        </w:rPr>
        <w:t>Option of Holder to Elect Purchase</w:t>
      </w:r>
      <w:r>
        <w:rPr>
          <w:rFonts w:ascii="Arial" w:cs="Arial" w:eastAsia="Arial" w:hAnsi="Arial"/>
          <w:sz w:val="19"/>
          <w:szCs w:val="19"/>
          <w:color w:val="auto"/>
        </w:rPr>
        <w:t>” attached to the Notes.</w:t>
      </w:r>
    </w:p>
    <w:p>
      <w:pPr>
        <w:spacing w:after="0" w:line="189" w:lineRule="exact"/>
        <w:rPr>
          <w:rFonts w:ascii="Arial" w:cs="Arial" w:eastAsia="Arial" w:hAnsi="Arial"/>
          <w:sz w:val="19"/>
          <w:szCs w:val="19"/>
          <w:color w:val="auto"/>
        </w:rPr>
      </w:pPr>
    </w:p>
    <w:p>
      <w:pPr>
        <w:jc w:val="both"/>
        <w:ind w:firstLine="2176"/>
        <w:spacing w:after="0" w:line="277" w:lineRule="auto"/>
        <w:tabs>
          <w:tab w:leader="none" w:pos="3228" w:val="left"/>
        </w:tabs>
        <w:numPr>
          <w:ilvl w:val="2"/>
          <w:numId w:val="224"/>
        </w:numPr>
        <w:rPr>
          <w:rFonts w:ascii="Arial" w:cs="Arial" w:eastAsia="Arial" w:hAnsi="Arial"/>
          <w:sz w:val="19"/>
          <w:szCs w:val="19"/>
          <w:color w:val="auto"/>
        </w:rPr>
      </w:pPr>
      <w:r>
        <w:rPr>
          <w:rFonts w:ascii="Arial" w:cs="Arial" w:eastAsia="Arial" w:hAnsi="Arial"/>
          <w:sz w:val="19"/>
          <w:szCs w:val="19"/>
          <w:color w:val="auto"/>
        </w:rPr>
        <w:t>If Wynn Las Vegas or any of the Restricted Subsidiaries experiences an Event of Loss with respect to Collateral (other than Events of Loss with respect to Collateral comprising Encore at Wynn Las Vegas, if applicable, at any time prior to the completion of construction of Encore at Wynn Las Vegas), within 10 days following the earlier of (i) the date on which the aggregate amount of Excess Loss Proceeds exceeds $500.0 million or (ii) the date when, pursuant to the Credit Agreement, Excess Loss Proceeds are required to be applied to reduce Indebtedness of Wynn Las Vegas, Wynn Las Vegas shall allocate a portion of such Excess Loss Proceeds determined by multiplying the amount of such Excess Loss Proceeds by a fraction, the numerator of which is the total aggregate principal amount of Notes then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2" w:name="page163"/>
    <w:bookmarkEnd w:id="162"/>
    <w:p>
      <w:pPr>
        <w:jc w:val="both"/>
        <w:spacing w:after="0" w:line="270" w:lineRule="auto"/>
        <w:rPr>
          <w:sz w:val="20"/>
          <w:szCs w:val="20"/>
          <w:color w:val="auto"/>
        </w:rPr>
      </w:pPr>
      <w:r>
        <w:rPr>
          <w:rFonts w:ascii="Arial" w:cs="Arial" w:eastAsia="Arial" w:hAnsi="Arial"/>
          <w:sz w:val="19"/>
          <w:szCs w:val="19"/>
          <w:color w:val="auto"/>
        </w:rPr>
        <w:t>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9"/>
          <w:szCs w:val="19"/>
          <w:i w:val="1"/>
          <w:iCs w:val="1"/>
          <w:u w:val="single" w:color="auto"/>
          <w:color w:val="auto"/>
        </w:rPr>
        <w:t>Event of Loss Offer Amount</w:t>
      </w:r>
      <w:r>
        <w:rPr>
          <w:rFonts w:ascii="Arial" w:cs="Arial" w:eastAsia="Arial" w:hAnsi="Arial"/>
          <w:sz w:val="19"/>
          <w:szCs w:val="19"/>
          <w:color w:val="auto"/>
        </w:rPr>
        <w:t>”), to make an offer (an “</w:t>
      </w:r>
      <w:r>
        <w:rPr>
          <w:rFonts w:ascii="Arial" w:cs="Arial" w:eastAsia="Arial" w:hAnsi="Arial"/>
          <w:sz w:val="19"/>
          <w:szCs w:val="19"/>
          <w:i w:val="1"/>
          <w:iCs w:val="1"/>
          <w:u w:val="single" w:color="auto"/>
          <w:color w:val="auto"/>
        </w:rPr>
        <w:t>Event of Loss Offer</w:t>
      </w:r>
      <w:r>
        <w:rPr>
          <w:rFonts w:ascii="Arial" w:cs="Arial" w:eastAsia="Arial" w:hAnsi="Arial"/>
          <w:sz w:val="19"/>
          <w:szCs w:val="19"/>
          <w:color w:val="auto"/>
        </w:rPr>
        <w:t>”) to all Holders of Notes and, to the extent required, the holders of such Pari Passu Debt pursuant to Sections 3.10 and 4.16 of the Indenture to repurchase such Notes and such Pari Passu Debt at an offer price equal to 100% of the principal amount of the Notes and such Pari Passu Debt to be purch ased plus accrued and unpaid interest and Liquidated Damages, if any, on the Notes and such other Pari Passu Debt to the date of repurchase, which offer price shall be payable in cash. The amount of any such Excess Loss Proceeds less the Event of Loss Offer Amount (the “</w:t>
      </w:r>
      <w:r>
        <w:rPr>
          <w:rFonts w:ascii="Arial" w:cs="Arial" w:eastAsia="Arial" w:hAnsi="Arial"/>
          <w:sz w:val="19"/>
          <w:szCs w:val="19"/>
          <w:i w:val="1"/>
          <w:iCs w:val="1"/>
          <w:u w:val="single" w:color="auto"/>
          <w:color w:val="auto"/>
        </w:rPr>
        <w:t>Event of Loss Repayment Amount</w:t>
      </w:r>
      <w:r>
        <w:rPr>
          <w:rFonts w:ascii="Arial" w:cs="Arial" w:eastAsia="Arial" w:hAnsi="Arial"/>
          <w:sz w:val="19"/>
          <w:szCs w:val="19"/>
          <w:color w:val="auto"/>
        </w:rPr>
        <w:t xml:space="preserve">”) shall concurrently be applied to repay any term Indebtedness outstanding under the Credit Agreement in accordance with the requirements of the Credit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 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Notes and, to the extent required, the holders of such Pari Passu Debt pursuant to the Event of Loss Offer as provided in the previous sentence above. Any Event of Loss Offer made pursuant to the terms of the indenture governing the 2014 Notes or the 2017 Notes shall be required to be made to the Holders of Notes as holders of Pari Passu Debt (as defined in those indentures). Holders of Notes that are the subject of an offer to purchase shall receive an Event of Loss Offer from Wynn Las Vegas prior to any related purchase date and may elect to have such Notes purchased by completing the form entitled “</w:t>
      </w:r>
      <w:r>
        <w:rPr>
          <w:rFonts w:ascii="Arial" w:cs="Arial" w:eastAsia="Arial" w:hAnsi="Arial"/>
          <w:sz w:val="19"/>
          <w:szCs w:val="19"/>
          <w:i w:val="1"/>
          <w:iCs w:val="1"/>
          <w:color w:val="auto"/>
        </w:rPr>
        <w:t>Option of</w:t>
      </w:r>
      <w:r>
        <w:rPr>
          <w:rFonts w:ascii="Arial" w:cs="Arial" w:eastAsia="Arial" w:hAnsi="Arial"/>
          <w:sz w:val="19"/>
          <w:szCs w:val="19"/>
          <w:color w:val="auto"/>
        </w:rPr>
        <w:t xml:space="preserve"> </w:t>
      </w:r>
      <w:r>
        <w:rPr>
          <w:rFonts w:ascii="Arial" w:cs="Arial" w:eastAsia="Arial" w:hAnsi="Arial"/>
          <w:sz w:val="19"/>
          <w:szCs w:val="19"/>
          <w:i w:val="1"/>
          <w:iCs w:val="1"/>
          <w:color w:val="auto"/>
        </w:rPr>
        <w:t>Holder to Elect Purchase</w:t>
      </w:r>
      <w:r>
        <w:rPr>
          <w:rFonts w:ascii="Arial" w:cs="Arial" w:eastAsia="Arial" w:hAnsi="Arial"/>
          <w:sz w:val="19"/>
          <w:szCs w:val="19"/>
          <w:color w:val="auto"/>
        </w:rPr>
        <w:t>” attached to the Notes.</w:t>
      </w:r>
    </w:p>
    <w:p>
      <w:pPr>
        <w:spacing w:after="0" w:line="200" w:lineRule="exact"/>
        <w:rPr>
          <w:sz w:val="20"/>
          <w:szCs w:val="20"/>
          <w:color w:val="auto"/>
        </w:rPr>
      </w:pPr>
    </w:p>
    <w:p>
      <w:pPr>
        <w:spacing w:after="0" w:line="235" w:lineRule="exact"/>
        <w:rPr>
          <w:sz w:val="20"/>
          <w:szCs w:val="20"/>
          <w:color w:val="auto"/>
        </w:rPr>
      </w:pPr>
    </w:p>
    <w:p>
      <w:pPr>
        <w:jc w:val="both"/>
        <w:ind w:firstLine="1305"/>
        <w:spacing w:after="0" w:line="279" w:lineRule="auto"/>
        <w:tabs>
          <w:tab w:leader="none" w:pos="2264" w:val="left"/>
        </w:tabs>
        <w:numPr>
          <w:ilvl w:val="0"/>
          <w:numId w:val="225"/>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Notice of redemption shall be mailed at least 30 days but not more than 60 days</w:t>
      </w:r>
      <w:r>
        <w:rPr>
          <w:rFonts w:ascii="Arial" w:cs="Arial" w:eastAsia="Arial" w:hAnsi="Arial"/>
          <w:sz w:val="19"/>
          <w:szCs w:val="19"/>
          <w:i w:val="1"/>
          <w:iCs w:val="1"/>
          <w:color w:val="auto"/>
        </w:rPr>
        <w:t xml:space="preserve"> </w:t>
      </w:r>
      <w:r>
        <w:rPr>
          <w:rFonts w:ascii="Arial" w:cs="Arial" w:eastAsia="Arial" w:hAnsi="Arial"/>
          <w:sz w:val="19"/>
          <w:szCs w:val="19"/>
          <w:color w:val="auto"/>
        </w:rPr>
        <w:t>before the redemption date to each Holder whose Notes are to be redeemed at its registered address, except that redemption notices may be mailed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 reof called for redemption.</w:t>
      </w:r>
    </w:p>
    <w:p>
      <w:pPr>
        <w:spacing w:after="0" w:line="177" w:lineRule="exact"/>
        <w:rPr>
          <w:rFonts w:ascii="Arial" w:cs="Arial" w:eastAsia="Arial" w:hAnsi="Arial"/>
          <w:sz w:val="19"/>
          <w:szCs w:val="19"/>
          <w:color w:val="auto"/>
        </w:rPr>
      </w:pPr>
    </w:p>
    <w:p>
      <w:pPr>
        <w:jc w:val="both"/>
        <w:ind w:firstLine="1305"/>
        <w:spacing w:after="0" w:line="277" w:lineRule="auto"/>
        <w:tabs>
          <w:tab w:leader="none" w:pos="2264" w:val="left"/>
        </w:tabs>
        <w:numPr>
          <w:ilvl w:val="0"/>
          <w:numId w:val="225"/>
        </w:numPr>
        <w:rPr>
          <w:rFonts w:ascii="Arial" w:cs="Arial" w:eastAsia="Arial" w:hAnsi="Arial"/>
          <w:sz w:val="19"/>
          <w:szCs w:val="19"/>
          <w:color w:val="auto"/>
        </w:rPr>
      </w:pPr>
      <w:r>
        <w:rPr>
          <w:rFonts w:ascii="Arial" w:cs="Arial" w:eastAsia="Arial" w:hAnsi="Arial"/>
          <w:sz w:val="19"/>
          <w:szCs w:val="19"/>
          <w:i w:val="1"/>
          <w:iCs w:val="1"/>
          <w:color w:val="auto"/>
        </w:rPr>
        <w:t>Denominations, Transfer, Exchange</w:t>
      </w:r>
      <w:r>
        <w:rPr>
          <w:rFonts w:ascii="Arial" w:cs="Arial" w:eastAsia="Arial" w:hAnsi="Arial"/>
          <w:sz w:val="19"/>
          <w:szCs w:val="19"/>
          <w:color w:val="auto"/>
        </w:rPr>
        <w:t>. The Notes are in registered form without coupons in denominations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of $2,000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redeemed or during the period between a record date and the corresponding Interest Payment Date.</w:t>
      </w:r>
    </w:p>
    <w:p>
      <w:pPr>
        <w:spacing w:after="0" w:line="233" w:lineRule="exact"/>
        <w:rPr>
          <w:sz w:val="20"/>
          <w:szCs w:val="20"/>
          <w:color w:val="auto"/>
        </w:rPr>
      </w:pPr>
    </w:p>
    <w:p>
      <w:pPr>
        <w:ind w:left="2080" w:hanging="775"/>
        <w:spacing w:after="0"/>
        <w:tabs>
          <w:tab w:leader="none" w:pos="2080" w:val="left"/>
        </w:tabs>
        <w:numPr>
          <w:ilvl w:val="0"/>
          <w:numId w:val="226"/>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a Note may be treated as its owner for all purposes.</w:t>
      </w:r>
    </w:p>
    <w:p>
      <w:pPr>
        <w:spacing w:after="0" w:line="267" w:lineRule="exact"/>
        <w:rPr>
          <w:rFonts w:ascii="Arial" w:cs="Arial" w:eastAsia="Arial" w:hAnsi="Arial"/>
          <w:sz w:val="19"/>
          <w:szCs w:val="19"/>
          <w:color w:val="auto"/>
        </w:rPr>
      </w:pPr>
    </w:p>
    <w:p>
      <w:pPr>
        <w:ind w:left="2100" w:hanging="795"/>
        <w:spacing w:after="0"/>
        <w:tabs>
          <w:tab w:leader="none" w:pos="2100" w:val="left"/>
        </w:tabs>
        <w:numPr>
          <w:ilvl w:val="0"/>
          <w:numId w:val="226"/>
        </w:numPr>
        <w:rPr>
          <w:rFonts w:ascii="Arial" w:cs="Arial" w:eastAsia="Arial" w:hAnsi="Arial"/>
          <w:sz w:val="22"/>
          <w:szCs w:val="22"/>
          <w:color w:val="auto"/>
        </w:rPr>
      </w:pPr>
      <w:r>
        <w:rPr>
          <w:rFonts w:ascii="Arial" w:cs="Arial" w:eastAsia="Arial" w:hAnsi="Arial"/>
          <w:sz w:val="22"/>
          <w:szCs w:val="22"/>
          <w:i w:val="1"/>
          <w:iCs w:val="1"/>
          <w:color w:val="auto"/>
        </w:rPr>
        <w:t>Amendment, Supplement and Waiver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087"/>
        <w:spacing w:after="0" w:line="244" w:lineRule="auto"/>
        <w:tabs>
          <w:tab w:leader="none" w:pos="3056" w:val="left"/>
        </w:tabs>
        <w:numPr>
          <w:ilvl w:val="1"/>
          <w:numId w:val="226"/>
        </w:numPr>
        <w:rPr>
          <w:rFonts w:ascii="Arial" w:cs="Arial" w:eastAsia="Arial" w:hAnsi="Arial"/>
          <w:sz w:val="21"/>
          <w:szCs w:val="21"/>
          <w:color w:val="auto"/>
        </w:rPr>
      </w:pPr>
      <w:r>
        <w:rPr>
          <w:rFonts w:ascii="Arial" w:cs="Arial" w:eastAsia="Arial" w:hAnsi="Arial"/>
          <w:sz w:val="21"/>
          <w:szCs w:val="21"/>
          <w:color w:val="auto"/>
        </w:rPr>
        <w:t>Subject to certain exceptions, the Indenture, the Notes, the Note Guarantees and, subject to the terms of the Intercreditor Agreement and the Indenture, the Collateral Documents may be amended or supplemented with the consent of the Holders of at least a majority in principal amount of the then outstanding Notes, voting as a single class, and any existing Default or Event of Default or compliance with any provision of the Indenture, the Notes, the Note Guarantees or, subject to the terms of the Intercreditor Agreement and the Indenture, the Collateral Documents may be waived with the consent of the Holders of a majority in principal amount of the then outstanding Notes, voting as a single class. Notwithstanding any other provision in the Ind enture, the Notes, the Note Guarantees or the Collateral Documents, any amendment or modification to the definition of “Excluded Assets” in the Pledge and Security Agreement or the definition of “Excluded Property” in the Deeds of Trust shall require, in addition to the other consents required pursuant to Section 10.01(b) of the Indenture and the Intercreditor Agreement, the consent of at least a majority in principal amount of the then outstanding Notes voting as a single class, if as a result of such amendment or modification, the Notes will not be secured by substantially all of the assets of the Issuers and the Guarantors.</w:t>
      </w:r>
    </w:p>
    <w:p>
      <w:pPr>
        <w:spacing w:after="0" w:line="214" w:lineRule="exact"/>
        <w:rPr>
          <w:rFonts w:ascii="Arial" w:cs="Arial" w:eastAsia="Arial" w:hAnsi="Arial"/>
          <w:sz w:val="21"/>
          <w:szCs w:val="21"/>
          <w:color w:val="auto"/>
        </w:rPr>
      </w:pPr>
    </w:p>
    <w:p>
      <w:pPr>
        <w:jc w:val="both"/>
        <w:ind w:firstLine="2071"/>
        <w:spacing w:after="0" w:line="271" w:lineRule="auto"/>
        <w:tabs>
          <w:tab w:leader="none" w:pos="2963" w:val="left"/>
        </w:tabs>
        <w:numPr>
          <w:ilvl w:val="1"/>
          <w:numId w:val="226"/>
        </w:numPr>
        <w:rPr>
          <w:rFonts w:ascii="Arial" w:cs="Arial" w:eastAsia="Arial" w:hAnsi="Arial"/>
          <w:sz w:val="19"/>
          <w:szCs w:val="19"/>
          <w:color w:val="auto"/>
        </w:rPr>
      </w:pPr>
      <w:r>
        <w:rPr>
          <w:rFonts w:ascii="Arial" w:cs="Arial" w:eastAsia="Arial" w:hAnsi="Arial"/>
          <w:sz w:val="19"/>
          <w:szCs w:val="19"/>
          <w:color w:val="auto"/>
        </w:rPr>
        <w:t>Without the consent of each Holder of Notes affected or, in the case of clauses (viii), (ix) and (x) below only, without the consent of the Holders of at least 95% in the aggregate principal amount of the Notes then outstanding,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the provisions with respect to the redemption of the Notes (other than Sections 3.10, 4.10, 4.15 and 4.16 of the Indenture), (iii) reduce the rate of or change the time for payment of interest, including default interest, on any Note; (iv) waiv 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or Liquidated Damages, if any, on, the Notes, (vii) waive a redemption payment with respect to any Note (other than a payment required by Section 3.10, 4.10, 4.15 or 4.16 of the Indenture), (viii) release all or substantially all of the Collateral except in accordance with the provisions of the Collateral Documents, (ix) release any Guarantor from any of its obligations under its Note Guarantee or the Indenture if the assets or properties of that Guaran tor constitute all or substantially all of the Collateral except in accordance with the terms of the indenture, (x) amend Section 10.03 of the Indenture, or (xi) make any change in the preceding amendment and waiver provisions.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4" w:name="page165"/>
    <w:bookmarkEnd w:id="164"/>
    <w:p>
      <w:pPr>
        <w:jc w:val="both"/>
        <w:ind w:firstLine="2093"/>
        <w:spacing w:after="0" w:line="271" w:lineRule="auto"/>
        <w:tabs>
          <w:tab w:leader="none" w:pos="3089" w:val="left"/>
        </w:tabs>
        <w:numPr>
          <w:ilvl w:val="1"/>
          <w:numId w:val="227"/>
        </w:numPr>
        <w:rPr>
          <w:rFonts w:ascii="Arial" w:cs="Arial" w:eastAsia="Arial" w:hAnsi="Arial"/>
          <w:sz w:val="19"/>
          <w:szCs w:val="19"/>
          <w:color w:val="auto"/>
        </w:rPr>
      </w:pPr>
      <w:r>
        <w:rPr>
          <w:rFonts w:ascii="Arial" w:cs="Arial" w:eastAsia="Arial" w:hAnsi="Arial"/>
          <w:sz w:val="19"/>
          <w:szCs w:val="19"/>
          <w:color w:val="auto"/>
        </w:rPr>
        <w:t>Without the consent of any Holder of a Note, the Issuers, the Guarantors and the Trustee may amend or supplement the Indenture, the Notes, the Note Guarantees or the Collateral Documents to (i) cure any ambiguity, defect or inconsistency, (ii) 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Las Vegas’ or such Guarantor’s assets pursuant to Article 5 of the Indenture, (iv) make any change that would provide any additional rights or benefits to the Holders of the Notes or that does not adversely affect the legal rights of any such Holder under the Indenture, including any amendment or modification to the Intercreditor Agreement that gives or provides for any additional rights to the Holders to direct the Collateral Agent to enforce remedies against the Collateral and/or participate in other decisions regarding collateral and/or the enforcement of security documents, (v) comply with requirements of the SEC in order to effect or maintain the qualification of the Indenture under the TIA, (vi) provide for the issuance of Additional Notes in accordance with the limitations set forth in the Indenture as of the date of the Indenture, (vii) allow any Guarantor to execute a supplemental indenture to the Indenture and/or a Note Guarantee with respect to the Notes or (viii) enter into additional or supplemental Collateral Documents or Guarantees or an intercreditor agreement with respect thereto.</w:t>
      </w:r>
    </w:p>
    <w:p>
      <w:pPr>
        <w:spacing w:after="0" w:line="192" w:lineRule="exact"/>
        <w:rPr>
          <w:rFonts w:ascii="Arial" w:cs="Arial" w:eastAsia="Arial" w:hAnsi="Arial"/>
          <w:sz w:val="19"/>
          <w:szCs w:val="19"/>
          <w:color w:val="auto"/>
        </w:rPr>
      </w:pPr>
    </w:p>
    <w:p>
      <w:pPr>
        <w:jc w:val="both"/>
        <w:ind w:firstLine="1305"/>
        <w:spacing w:after="0" w:line="270" w:lineRule="auto"/>
        <w:tabs>
          <w:tab w:leader="none" w:pos="2237" w:val="left"/>
        </w:tabs>
        <w:numPr>
          <w:ilvl w:val="0"/>
          <w:numId w:val="228"/>
        </w:numPr>
        <w:rPr>
          <w:rFonts w:ascii="Arial" w:cs="Arial" w:eastAsia="Arial" w:hAnsi="Arial"/>
          <w:sz w:val="19"/>
          <w:szCs w:val="19"/>
          <w:color w:val="auto"/>
        </w:rPr>
      </w:pPr>
      <w:r>
        <w:rPr>
          <w:rFonts w:ascii="Arial" w:cs="Arial" w:eastAsia="Arial" w:hAnsi="Arial"/>
          <w:sz w:val="19"/>
          <w:szCs w:val="19"/>
          <w:i w:val="1"/>
          <w:iCs w:val="1"/>
          <w:color w:val="auto"/>
        </w:rPr>
        <w:t>Defaults and Remedies</w:t>
      </w:r>
      <w:r>
        <w:rPr>
          <w:rFonts w:ascii="Arial" w:cs="Arial" w:eastAsia="Arial" w:hAnsi="Arial"/>
          <w:sz w:val="19"/>
          <w:szCs w:val="19"/>
          <w:color w:val="auto"/>
        </w:rPr>
        <w:t>. Events of Default include: (i) default for 30 days in the payment when due of</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on and Liquidated Damages, if any, with respect to the Notes; (ii) default in payment when due of principal of, or premium, if any, on the Notes when the same becomes due and payable at maturity, upon redemption (including in connection with an offer to purchase) or otherwise, (iii) failure by Wynn Capital, Wynn Las Vegas or any of its Restricted Subsidiaries to comply with Sections 4.07, 4.09, 4.10, 4.15, 4.16 or 5.01 of the Indenture; (iv) failure by Wynn Capital, Wynn Las Vegas or any of its Restricted Subsidiaries for 60 days after written notice from the Trustee or Holders of at least 25% in aggre gate principal amount of the Notes then outstanding voting as a single class to comply with any of the other agreements in the Indenture or the Notes, not set forth in clause (iii) above; (v) failure by Wynn Capital, Wynn Las Vegas or any of its Restricted Subsidiaries, the Completion Guarantor or any other party thereto (other than the Trustee or any representative of the lenders under the Credit Agreement or other lenders party thereto) for 60 days after receipt of written notice from the Trustee or Holders of at least 25% in aggregate principal amount of the Notes then outstanding voting as a single class to comply with any of its agreements, as applicable, in any Collateral Document; (vi) 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 ther such Indebtedness or guarantee now exists, or is created after the date of the Indenture, if that default (a) is caused by a Payment Default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 (vii) 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165" w:name="page166"/>
    <w:bookmarkEnd w:id="165"/>
    <w:p>
      <w:pPr>
        <w:jc w:val="both"/>
        <w:spacing w:after="0" w:line="270" w:lineRule="auto"/>
        <w:rPr>
          <w:sz w:val="20"/>
          <w:szCs w:val="20"/>
          <w:color w:val="auto"/>
        </w:rPr>
      </w:pPr>
      <w:r>
        <w:rPr>
          <w:rFonts w:ascii="Arial" w:cs="Arial" w:eastAsia="Arial" w:hAnsi="Arial"/>
          <w:sz w:val="19"/>
          <w:szCs w:val="19"/>
          <w:color w:val="auto"/>
        </w:rPr>
        <w:t xml:space="preserve">discharged or stayed for a period of 60 days; (viii) 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 (ix) any material representation or warranty made or deemed made by Wynn Capital, Wynn Las Vegas or any of its Restricted Subsidiaries in any Collater al Document or that is contained in any certificate, document or financial or other statement furnished by it at any time under or in connection with any such Collateral Document shall prove to have been inaccurate in any material respect on or as of the date made or deemed made;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inaccuracy of any representation or warranty contained only in the Disbursement Agreement shall constitute an Event of Default under the Indenture only to the extent such inaccuracy constitutes an event of default under a Disbursement Agreement; (x) except as expressly provided therein or by the Indenture, any Note Guarantee issued by a Significant Restricted Subsidiary of Wynn Las Vegas shall be held in any judicial proceeding to be unenforceable or invalid or shall cease for any reason to be in full force and effect or any Restricted Subsidiary of Wynn Las Vegas, or any Person acting on behalf of any such Person, shall deny or disaffirm its obligations unde r its Note Guarantee; (xi) 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 (xii) the revocation, termination, suspension or other cessation of effectiveness of any Gaming License which results in the cessation or suspension of gaming operations at any Gaming Facility for a period of more than 90 consecutive days; or (xiii) if Wynn Las Vegas ever fails to own, directly or indirectly, 100% of the issued and outstanding Equity Interests of Wynn Capital.</w:t>
      </w:r>
    </w:p>
    <w:p>
      <w:pPr>
        <w:spacing w:after="0" w:line="200" w:lineRule="exact"/>
        <w:rPr>
          <w:sz w:val="20"/>
          <w:szCs w:val="20"/>
          <w:color w:val="auto"/>
        </w:rPr>
      </w:pPr>
    </w:p>
    <w:p>
      <w:pPr>
        <w:spacing w:after="0" w:line="235"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19"/>
          <w:szCs w:val="19"/>
          <w:color w:val="auto"/>
        </w:rPr>
        <w:t>In the case of an Event of Default arising from certain events of bankruptcy or insolvency with respect to (a) either Issuer, (b) any Significant Restricted Subsidiary of Wynn Las Vegas or (c) any group of Restricted Subsidiaries of Wynn Las Vegas that, taken together,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the Intercreditor Agreement and in the other Collateral Documents. Subject to certain limitations, Holders of a majority in pri ncipal amount of the then outstanding Notes may direct the Trustee in its exercise of any trust or power. However, as long as any Indebtedness is outstanding under the Credit Agreement or any of the 2014 Notes remain outstanding, the Holders will not have any right to direct the Collateral Agent to enforce remedies against the Collateral. The Trustee may withhold from Holders of the Notes notice of any continuing Default or Event of Default if it determines that withholding notice is in their interest, except a Default or Event of Default relating to the payment of principal or interest or premium or Liquidated Damages, if any. The Holders of a majority in aggregate principal amount of the then outstanding Notes by notice to the Trustee may, on behalf of the Holders of all of the Notes, waive any existing Default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6" w:name="page167"/>
    <w:bookmarkEnd w:id="166"/>
    <w:p>
      <w:pPr>
        <w:jc w:val="both"/>
        <w:ind w:left="660"/>
        <w:spacing w:after="0" w:line="236" w:lineRule="auto"/>
        <w:rPr>
          <w:sz w:val="20"/>
          <w:szCs w:val="20"/>
          <w:color w:val="auto"/>
        </w:rPr>
      </w:pPr>
      <w:r>
        <w:rPr>
          <w:rFonts w:ascii="Arial" w:cs="Arial" w:eastAsia="Arial" w:hAnsi="Arial"/>
          <w:sz w:val="22"/>
          <w:szCs w:val="22"/>
          <w:color w:val="auto"/>
        </w:rPr>
        <w:t>Event of Default and its consequences under the Indenture, except a continuing Default or Event of Default in the payment of interest or premium or Liquidated Damages, if any, on, or the principal of, the Notes. 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215" w:lineRule="exact"/>
        <w:rPr>
          <w:sz w:val="20"/>
          <w:szCs w:val="20"/>
          <w:color w:val="auto"/>
        </w:rPr>
      </w:pPr>
    </w:p>
    <w:p>
      <w:pPr>
        <w:jc w:val="both"/>
        <w:ind w:firstLine="1305"/>
        <w:spacing w:after="0" w:line="245" w:lineRule="auto"/>
        <w:tabs>
          <w:tab w:leader="none" w:pos="2116" w:val="left"/>
        </w:tabs>
        <w:numPr>
          <w:ilvl w:val="0"/>
          <w:numId w:val="229"/>
        </w:numPr>
        <w:rPr>
          <w:rFonts w:ascii="Arial" w:cs="Arial" w:eastAsia="Arial" w:hAnsi="Arial"/>
          <w:sz w:val="21"/>
          <w:szCs w:val="21"/>
          <w:color w:val="auto"/>
        </w:rPr>
      </w:pPr>
      <w:r>
        <w:rPr>
          <w:rFonts w:ascii="Arial" w:cs="Arial" w:eastAsia="Arial" w:hAnsi="Arial"/>
          <w:sz w:val="21"/>
          <w:szCs w:val="21"/>
          <w:i w:val="1"/>
          <w:iCs w:val="1"/>
          <w:color w:val="auto"/>
        </w:rPr>
        <w:t>Intercreditor Agreement</w:t>
      </w:r>
      <w:r>
        <w:rPr>
          <w:rFonts w:ascii="Arial" w:cs="Arial" w:eastAsia="Arial" w:hAnsi="Arial"/>
          <w:sz w:val="21"/>
          <w:szCs w:val="21"/>
          <w:color w:val="auto"/>
        </w:rPr>
        <w:t>. The Indenture authorizes the Trustee to enter into the Intercreditor Agreement on</w:t>
      </w:r>
      <w:r>
        <w:rPr>
          <w:rFonts w:ascii="Arial" w:cs="Arial" w:eastAsia="Arial" w:hAnsi="Arial"/>
          <w:sz w:val="21"/>
          <w:szCs w:val="21"/>
          <w:i w:val="1"/>
          <w:iCs w:val="1"/>
          <w:color w:val="auto"/>
        </w:rPr>
        <w:t xml:space="preserve"> </w:t>
      </w:r>
      <w:r>
        <w:rPr>
          <w:rFonts w:ascii="Arial" w:cs="Arial" w:eastAsia="Arial" w:hAnsi="Arial"/>
          <w:sz w:val="21"/>
          <w:szCs w:val="21"/>
          <w:color w:val="auto"/>
        </w:rPr>
        <w:t>behalf of itself and the Holders of the Notes. The Intercreditor Agreement will restrict the ability of the Trustee and the Holders of the Notes to exercise certain rights and remedies with respect to the Collateral. Under the Intercreditor Agreement, the agent under the Credit Agreement will have the right, subject to certain limited exceptions, to direct the Collateral Agent to enter into amendments of, or waive defaults under, the Collateral Documents that grant Liens on the Collateral without obtaining consent of the Trustee or the Holders of the Notes. At any time whe n at least $100.0 million in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w:t>
      </w:r>
    </w:p>
    <w:p>
      <w:pPr>
        <w:spacing w:after="0" w:line="208" w:lineRule="exact"/>
        <w:rPr>
          <w:rFonts w:ascii="Arial" w:cs="Arial" w:eastAsia="Arial" w:hAnsi="Arial"/>
          <w:sz w:val="21"/>
          <w:szCs w:val="21"/>
          <w:color w:val="auto"/>
        </w:rPr>
      </w:pPr>
    </w:p>
    <w:p>
      <w:pPr>
        <w:jc w:val="both"/>
        <w:ind w:firstLine="1305"/>
        <w:spacing w:after="0" w:line="249" w:lineRule="auto"/>
        <w:tabs>
          <w:tab w:leader="none" w:pos="2129" w:val="left"/>
        </w:tabs>
        <w:numPr>
          <w:ilvl w:val="0"/>
          <w:numId w:val="229"/>
        </w:numPr>
        <w:rPr>
          <w:rFonts w:ascii="Arial" w:cs="Arial" w:eastAsia="Arial" w:hAnsi="Arial"/>
          <w:sz w:val="21"/>
          <w:szCs w:val="21"/>
          <w:color w:val="auto"/>
        </w:rPr>
      </w:pPr>
      <w:r>
        <w:rPr>
          <w:rFonts w:ascii="Arial" w:cs="Arial" w:eastAsia="Arial" w:hAnsi="Arial"/>
          <w:sz w:val="21"/>
          <w:szCs w:val="21"/>
          <w:i w:val="1"/>
          <w:iCs w:val="1"/>
          <w:color w:val="auto"/>
        </w:rPr>
        <w:t>Trustee Dealings with Issuers</w:t>
      </w:r>
      <w:r>
        <w:rPr>
          <w:rFonts w:ascii="Arial" w:cs="Arial" w:eastAsia="Arial" w:hAnsi="Arial"/>
          <w:sz w:val="21"/>
          <w:szCs w:val="21"/>
          <w:color w:val="auto"/>
        </w:rPr>
        <w:t>. The Trustee, in its individual or any other capacity, may become the owner</w:t>
      </w:r>
      <w:r>
        <w:rPr>
          <w:rFonts w:ascii="Arial" w:cs="Arial" w:eastAsia="Arial" w:hAnsi="Arial"/>
          <w:sz w:val="21"/>
          <w:szCs w:val="21"/>
          <w:i w:val="1"/>
          <w:iCs w:val="1"/>
          <w:color w:val="auto"/>
        </w:rPr>
        <w:t xml:space="preserve"> </w:t>
      </w:r>
      <w:r>
        <w:rPr>
          <w:rFonts w:ascii="Arial" w:cs="Arial" w:eastAsia="Arial" w:hAnsi="Arial"/>
          <w:sz w:val="21"/>
          <w:szCs w:val="21"/>
          <w:color w:val="auto"/>
        </w:rPr>
        <w:t>or 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The Trustee is also subject to Sections 7.10 and 7.11 of the Indenture.</w:t>
      </w:r>
    </w:p>
    <w:p>
      <w:pPr>
        <w:spacing w:after="0" w:line="205" w:lineRule="exact"/>
        <w:rPr>
          <w:rFonts w:ascii="Arial" w:cs="Arial" w:eastAsia="Arial" w:hAnsi="Arial"/>
          <w:sz w:val="21"/>
          <w:szCs w:val="21"/>
          <w:color w:val="auto"/>
        </w:rPr>
      </w:pPr>
    </w:p>
    <w:p>
      <w:pPr>
        <w:jc w:val="both"/>
        <w:ind w:firstLine="1305"/>
        <w:spacing w:after="0" w:line="279" w:lineRule="auto"/>
        <w:tabs>
          <w:tab w:leader="none" w:pos="2089" w:val="left"/>
        </w:tabs>
        <w:numPr>
          <w:ilvl w:val="0"/>
          <w:numId w:val="229"/>
        </w:numPr>
        <w:rPr>
          <w:rFonts w:ascii="Arial" w:cs="Arial" w:eastAsia="Arial" w:hAnsi="Arial"/>
          <w:sz w:val="19"/>
          <w:szCs w:val="19"/>
          <w:color w:val="auto"/>
        </w:rPr>
      </w:pPr>
      <w:r>
        <w:rPr>
          <w:rFonts w:ascii="Arial" w:cs="Arial" w:eastAsia="Arial" w:hAnsi="Arial"/>
          <w:sz w:val="19"/>
          <w:szCs w:val="19"/>
          <w:i w:val="1"/>
          <w:iCs w:val="1"/>
          <w:color w:val="auto"/>
        </w:rPr>
        <w:t>No Recourse Against Others</w:t>
      </w:r>
      <w:r>
        <w:rPr>
          <w:rFonts w:ascii="Arial" w:cs="Arial" w:eastAsia="Arial" w:hAnsi="Arial"/>
          <w:sz w:val="19"/>
          <w:szCs w:val="19"/>
          <w:color w:val="auto"/>
        </w:rPr>
        <w:t>. No past, present or future director, officer, employee, incorporator, organizer,</w:t>
      </w:r>
      <w:r>
        <w:rPr>
          <w:rFonts w:ascii="Arial" w:cs="Arial" w:eastAsia="Arial" w:hAnsi="Arial"/>
          <w:sz w:val="19"/>
          <w:szCs w:val="19"/>
          <w:i w:val="1"/>
          <w:iCs w:val="1"/>
          <w:color w:val="auto"/>
        </w:rPr>
        <w:t xml:space="preserve"> </w:t>
      </w:r>
      <w:r>
        <w:rPr>
          <w:rFonts w:ascii="Arial" w:cs="Arial" w:eastAsia="Arial" w:hAnsi="Arial"/>
          <w:sz w:val="19"/>
          <w:szCs w:val="19"/>
          <w:color w:val="auto"/>
        </w:rPr>
        <w:t>equity holder or member of either Issuer, any of the Restricted Subsidiaries of Wynn Las Vegas or any Guarantor, as such, shall have any liability for any obligations of either Issuer, any such Restricted Subsidiary or any Guarantor under the Notes, the Note Guarantees,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77" w:lineRule="exact"/>
        <w:rPr>
          <w:rFonts w:ascii="Arial" w:cs="Arial" w:eastAsia="Arial" w:hAnsi="Arial"/>
          <w:sz w:val="19"/>
          <w:szCs w:val="19"/>
          <w:color w:val="auto"/>
        </w:rPr>
      </w:pPr>
    </w:p>
    <w:p>
      <w:pPr>
        <w:ind w:left="2160" w:hanging="855"/>
        <w:spacing w:after="0"/>
        <w:tabs>
          <w:tab w:leader="none" w:pos="2160" w:val="left"/>
        </w:tabs>
        <w:numPr>
          <w:ilvl w:val="0"/>
          <w:numId w:val="229"/>
        </w:numPr>
        <w:rPr>
          <w:rFonts w:ascii="Arial" w:cs="Arial" w:eastAsia="Arial" w:hAnsi="Arial"/>
          <w:sz w:val="19"/>
          <w:szCs w:val="19"/>
          <w:color w:val="auto"/>
        </w:rPr>
      </w:pPr>
      <w:r>
        <w:rPr>
          <w:rFonts w:ascii="Arial" w:cs="Arial" w:eastAsia="Arial" w:hAnsi="Arial"/>
          <w:sz w:val="19"/>
          <w:szCs w:val="19"/>
          <w:i w:val="1"/>
          <w:iCs w:val="1"/>
          <w:color w:val="auto"/>
        </w:rPr>
        <w:t>Authentication</w:t>
      </w:r>
      <w:r>
        <w:rPr>
          <w:rFonts w:ascii="Arial" w:cs="Arial" w:eastAsia="Arial" w:hAnsi="Arial"/>
          <w:sz w:val="19"/>
          <w:szCs w:val="19"/>
          <w:color w:val="auto"/>
        </w:rPr>
        <w:t>. This Note shall not be valid until authenticated by the manual signature of the Trustee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 authenticating agent.</w:t>
      </w:r>
    </w:p>
    <w:p>
      <w:pPr>
        <w:spacing w:after="0" w:line="215" w:lineRule="exact"/>
        <w:rPr>
          <w:rFonts w:ascii="Arial" w:cs="Arial" w:eastAsia="Arial" w:hAnsi="Arial"/>
          <w:sz w:val="19"/>
          <w:szCs w:val="19"/>
          <w:color w:val="auto"/>
        </w:rPr>
      </w:pPr>
    </w:p>
    <w:p>
      <w:pPr>
        <w:jc w:val="both"/>
        <w:ind w:firstLine="1305"/>
        <w:spacing w:after="0"/>
        <w:tabs>
          <w:tab w:leader="none" w:pos="2089" w:val="left"/>
        </w:tabs>
        <w:numPr>
          <w:ilvl w:val="0"/>
          <w:numId w:val="229"/>
        </w:numPr>
        <w:rPr>
          <w:rFonts w:ascii="Arial" w:cs="Arial" w:eastAsia="Arial" w:hAnsi="Arial"/>
          <w:sz w:val="22"/>
          <w:szCs w:val="22"/>
          <w:color w:val="auto"/>
        </w:rPr>
      </w:pPr>
      <w:r>
        <w:rPr>
          <w:rFonts w:ascii="Arial" w:cs="Arial" w:eastAsia="Arial" w:hAnsi="Arial"/>
          <w:sz w:val="22"/>
          <w:szCs w:val="22"/>
          <w:i w:val="1"/>
          <w:iCs w:val="1"/>
          <w:color w:val="auto"/>
        </w:rPr>
        <w:t>Abbreviations</w:t>
      </w:r>
      <w:r>
        <w:rPr>
          <w:rFonts w:ascii="Arial" w:cs="Arial" w:eastAsia="Arial" w:hAnsi="Arial"/>
          <w:sz w:val="22"/>
          <w:szCs w:val="22"/>
          <w:color w:val="auto"/>
        </w:rPr>
        <w:t>. Customary abbreviations may be used in the name of a Holder or an assignee, such as: TEN</w:t>
      </w:r>
      <w:r>
        <w:rPr>
          <w:rFonts w:ascii="Arial" w:cs="Arial" w:eastAsia="Arial" w:hAnsi="Arial"/>
          <w:sz w:val="22"/>
          <w:szCs w:val="22"/>
          <w:i w:val="1"/>
          <w:iCs w:val="1"/>
          <w:color w:val="auto"/>
        </w:rPr>
        <w:t xml:space="preserve"> </w:t>
      </w:r>
      <w:r>
        <w:rPr>
          <w:rFonts w:ascii="Arial" w:cs="Arial" w:eastAsia="Arial" w:hAnsi="Arial"/>
          <w:sz w:val="22"/>
          <w:szCs w:val="22"/>
          <w:color w:val="auto"/>
        </w:rPr>
        <w:t>COM (= tenants in common), TEN ENT (= tenants by the entireties), JT TEN (= joint tenants with right of survivorship and not as tenants in common), CUST (= Custodian), and U/G/M/A (= Uniform Gifts to Minors Act).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7" w:name="page168"/>
    <w:bookmarkEnd w:id="167"/>
    <w:p>
      <w:pPr>
        <w:jc w:val="both"/>
        <w:ind w:firstLine="1305"/>
        <w:spacing w:after="0" w:line="247" w:lineRule="auto"/>
        <w:tabs>
          <w:tab w:leader="none" w:pos="2102" w:val="left"/>
        </w:tabs>
        <w:numPr>
          <w:ilvl w:val="0"/>
          <w:numId w:val="230"/>
        </w:numPr>
        <w:rPr>
          <w:rFonts w:ascii="Arial" w:cs="Arial" w:eastAsia="Arial" w:hAnsi="Arial"/>
          <w:sz w:val="21"/>
          <w:szCs w:val="21"/>
          <w:color w:val="auto"/>
        </w:rPr>
      </w:pPr>
      <w:r>
        <w:rPr>
          <w:rFonts w:ascii="Arial" w:cs="Arial" w:eastAsia="Arial" w:hAnsi="Arial"/>
          <w:sz w:val="21"/>
          <w:szCs w:val="21"/>
          <w:i w:val="1"/>
          <w:iCs w:val="1"/>
          <w:color w:val="auto"/>
        </w:rPr>
        <w:t>Additional Rights of Holders of Restricted Global Notes and Restricted Definitive Notes</w:t>
      </w:r>
      <w:r>
        <w:rPr>
          <w:rFonts w:ascii="Arial" w:cs="Arial" w:eastAsia="Arial" w:hAnsi="Arial"/>
          <w:sz w:val="21"/>
          <w:szCs w:val="21"/>
          <w:color w:val="auto"/>
        </w:rPr>
        <w:t>. In addition to the</w:t>
      </w:r>
      <w:r>
        <w:rPr>
          <w:rFonts w:ascii="Arial" w:cs="Arial" w:eastAsia="Arial" w:hAnsi="Arial"/>
          <w:sz w:val="21"/>
          <w:szCs w:val="21"/>
          <w:i w:val="1"/>
          <w:iCs w:val="1"/>
          <w:color w:val="auto"/>
        </w:rPr>
        <w:t xml:space="preserve"> </w:t>
      </w:r>
      <w:r>
        <w:rPr>
          <w:rFonts w:ascii="Arial" w:cs="Arial" w:eastAsia="Arial" w:hAnsi="Arial"/>
          <w:sz w:val="21"/>
          <w:szCs w:val="21"/>
          <w:color w:val="auto"/>
        </w:rPr>
        <w:t>rights provided to Holders of Notes under the Indenture, Holders of Restricted Global Notes and Restricted Definitive Notes shall have all the rights set forth in the Registration Rights Agreement dated as of April 28, 2010, among the Issuers, the Guarantors and the other parties named on the signature pages thereof or, in the case of Additional Notes, Holders of Restricted Global Notes and Restricted Definitive Notes shall have the rights set forth in one or more registration rights agreements, if any, among the Issuers, the Guarantors and the other parties thereto, relating to rights given by the Issue rs and the Guarantors to the purchasers of any Additional Notes (collectively, the “</w:t>
      </w:r>
      <w:r>
        <w:rPr>
          <w:rFonts w:ascii="Arial" w:cs="Arial" w:eastAsia="Arial" w:hAnsi="Arial"/>
          <w:sz w:val="21"/>
          <w:szCs w:val="21"/>
          <w:i w:val="1"/>
          <w:iCs w:val="1"/>
          <w:u w:val="single" w:color="auto"/>
          <w:color w:val="auto"/>
        </w:rPr>
        <w:t>Registration Rights Agreement</w:t>
      </w:r>
      <w:r>
        <w:rPr>
          <w:rFonts w:ascii="Arial" w:cs="Arial" w:eastAsia="Arial" w:hAnsi="Arial"/>
          <w:sz w:val="21"/>
          <w:szCs w:val="21"/>
          <w:color w:val="auto"/>
        </w:rPr>
        <w:t>”).</w:t>
      </w:r>
    </w:p>
    <w:p>
      <w:pPr>
        <w:spacing w:after="0" w:line="205" w:lineRule="exact"/>
        <w:rPr>
          <w:rFonts w:ascii="Arial" w:cs="Arial" w:eastAsia="Arial" w:hAnsi="Arial"/>
          <w:sz w:val="21"/>
          <w:szCs w:val="21"/>
          <w:color w:val="auto"/>
        </w:rPr>
      </w:pPr>
    </w:p>
    <w:p>
      <w:pPr>
        <w:jc w:val="both"/>
        <w:ind w:firstLine="1305"/>
        <w:spacing w:after="0"/>
        <w:tabs>
          <w:tab w:leader="none" w:pos="2359" w:val="left"/>
        </w:tabs>
        <w:numPr>
          <w:ilvl w:val="0"/>
          <w:numId w:val="230"/>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INDENTURE, THIS NOTE AND THE NOTE GUARANTEES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GOVERNED BY AND CONSTRUED IN ACCORDANCE WITH THE LAWS OF THE STATE OF NEW YORK, INCLUDING, WITHOUT LIMITATION, SECTION 4-1401 OF THE NEW YORK OBLIGATIONS LAW.</w:t>
      </w:r>
    </w:p>
    <w:p>
      <w:pPr>
        <w:spacing w:after="0" w:line="213" w:lineRule="exact"/>
        <w:rPr>
          <w:rFonts w:ascii="Arial" w:cs="Arial" w:eastAsia="Arial" w:hAnsi="Arial"/>
          <w:sz w:val="22"/>
          <w:szCs w:val="22"/>
          <w:color w:val="auto"/>
        </w:rPr>
      </w:pPr>
    </w:p>
    <w:p>
      <w:pPr>
        <w:jc w:val="both"/>
        <w:ind w:firstLine="1305"/>
        <w:spacing w:after="0" w:line="236" w:lineRule="auto"/>
        <w:tabs>
          <w:tab w:leader="none" w:pos="2264" w:val="left"/>
        </w:tabs>
        <w:numPr>
          <w:ilvl w:val="0"/>
          <w:numId w:val="230"/>
        </w:numPr>
        <w:rPr>
          <w:rFonts w:ascii="Arial" w:cs="Arial" w:eastAsia="Arial" w:hAnsi="Arial"/>
          <w:sz w:val="22"/>
          <w:szCs w:val="22"/>
          <w:color w:val="auto"/>
        </w:rPr>
      </w:pPr>
      <w:r>
        <w:rPr>
          <w:rFonts w:ascii="Arial" w:cs="Arial" w:eastAsia="Arial" w:hAnsi="Arial"/>
          <w:sz w:val="22"/>
          <w:szCs w:val="22"/>
          <w:i w:val="1"/>
          <w:iCs w:val="1"/>
          <w:color w:val="auto"/>
        </w:rPr>
        <w:t>CUSIP Numbers</w:t>
      </w:r>
      <w:r>
        <w:rPr>
          <w:rFonts w:ascii="Arial" w:cs="Arial" w:eastAsia="Arial" w:hAnsi="Arial"/>
          <w:sz w:val="22"/>
          <w:szCs w:val="22"/>
          <w:color w:val="auto"/>
        </w:rPr>
        <w:t>. Pursuant to a recommendation promulgated by the Committee on Uniform Security</w:t>
      </w:r>
      <w:r>
        <w:rPr>
          <w:rFonts w:ascii="Arial" w:cs="Arial" w:eastAsia="Arial" w:hAnsi="Arial"/>
          <w:sz w:val="22"/>
          <w:szCs w:val="22"/>
          <w:i w:val="1"/>
          <w:iCs w:val="1"/>
          <w:color w:val="auto"/>
        </w:rPr>
        <w:t xml:space="preserve"> </w:t>
      </w:r>
      <w:r>
        <w:rPr>
          <w:rFonts w:ascii="Arial" w:cs="Arial" w:eastAsia="Arial" w:hAnsi="Arial"/>
          <w:sz w:val="22"/>
          <w:szCs w:val="22"/>
          <w:color w:val="auto"/>
        </w:rPr>
        <w:t>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21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Issuers shall furnish to any Holder upon written request and without charge a copy of the Indenture, the Registration Rights Agreement and/or the Collateral Documents. Requests may be made to:</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Las Vegas, LLC</w:t>
      </w:r>
    </w:p>
    <w:p>
      <w:pPr>
        <w:ind w:left="660"/>
        <w:spacing w:after="0" w:line="238" w:lineRule="auto"/>
        <w:rPr>
          <w:sz w:val="20"/>
          <w:szCs w:val="20"/>
          <w:color w:val="auto"/>
        </w:rPr>
      </w:pPr>
      <w:r>
        <w:rPr>
          <w:rFonts w:ascii="Arial" w:cs="Arial" w:eastAsia="Arial" w:hAnsi="Arial"/>
          <w:sz w:val="22"/>
          <w:szCs w:val="22"/>
          <w:color w:val="auto"/>
        </w:rPr>
        <w:t>3131 Las Vegas Boulevard, South</w:t>
      </w:r>
    </w:p>
    <w:p>
      <w:pPr>
        <w:ind w:left="660"/>
        <w:spacing w:after="0" w:line="230" w:lineRule="auto"/>
        <w:rPr>
          <w:sz w:val="20"/>
          <w:szCs w:val="20"/>
          <w:color w:val="auto"/>
        </w:rPr>
      </w:pPr>
      <w:r>
        <w:rPr>
          <w:rFonts w:ascii="Arial" w:cs="Arial" w:eastAsia="Arial" w:hAnsi="Arial"/>
          <w:sz w:val="22"/>
          <w:szCs w:val="22"/>
          <w:color w:val="auto"/>
        </w:rPr>
        <w:t>Las Vegas, NV 89109</w:t>
      </w:r>
    </w:p>
    <w:p>
      <w:pPr>
        <w:ind w:left="660"/>
        <w:spacing w:after="0" w:line="231" w:lineRule="auto"/>
        <w:rPr>
          <w:sz w:val="20"/>
          <w:szCs w:val="20"/>
          <w:color w:val="auto"/>
        </w:rPr>
      </w:pPr>
      <w:r>
        <w:rPr>
          <w:rFonts w:ascii="Arial" w:cs="Arial" w:eastAsia="Arial" w:hAnsi="Arial"/>
          <w:sz w:val="22"/>
          <w:szCs w:val="22"/>
          <w:color w:val="auto"/>
        </w:rPr>
        <w:t>Telecopier No.: (702) 770-1520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b w:val="1"/>
          <w:bCs w:val="1"/>
          <w:color w:val="auto"/>
        </w:rPr>
        <w:t>EXHIBIT A-1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Assignment Form</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(Insert assignee’s legal name)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(Insert assignee’s soc. sec. or tax I.D. no.)</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(Print or type assignee’s name, address and zip code)</w:t>
      </w:r>
    </w:p>
    <w:p>
      <w:pPr>
        <w:sectPr>
          <w:pgSz w:w="11900" w:h="16838" w:orient="portrait"/>
          <w:cols w:equalWidth="0" w:num="1">
            <w:col w:w="11420"/>
          </w:cols>
          <w:pgMar w:left="240" w:top="747" w:right="2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33" w:lineRule="exact"/>
        <w:rPr>
          <w:sz w:val="20"/>
          <w:szCs w:val="20"/>
          <w:color w:val="auto"/>
        </w:rPr>
      </w:pPr>
    </w:p>
    <w:p>
      <w:pPr>
        <w:spacing w:after="0" w:line="481" w:lineRule="auto"/>
        <w:rPr>
          <w:sz w:val="20"/>
          <w:szCs w:val="20"/>
          <w:color w:val="auto"/>
        </w:rPr>
      </w:pPr>
      <w:r>
        <w:rPr>
          <w:rFonts w:ascii="Arial" w:cs="Arial" w:eastAsia="Arial" w:hAnsi="Arial"/>
          <w:sz w:val="22"/>
          <w:szCs w:val="22"/>
          <w:color w:val="auto"/>
        </w:rPr>
        <w:t>to transfer this Note on the books of the Issuers. Date: 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9"/>
          <w:szCs w:val="19"/>
          <w:color w:val="auto"/>
        </w:rPr>
        <w:t>The agent may substitute another to act for him.</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Your Signature:</w:t>
      </w:r>
    </w:p>
    <w:p>
      <w:pPr>
        <w:spacing w:after="0" w:line="60" w:lineRule="exact"/>
        <w:rPr>
          <w:sz w:val="20"/>
          <w:szCs w:val="20"/>
          <w:color w:val="auto"/>
        </w:rPr>
      </w:pPr>
    </w:p>
    <w:p>
      <w:pPr>
        <w:ind w:left="700"/>
        <w:spacing w:after="0"/>
        <w:rPr>
          <w:sz w:val="20"/>
          <w:szCs w:val="20"/>
          <w:color w:val="auto"/>
        </w:rPr>
      </w:pPr>
      <w:r>
        <w:rPr>
          <w:rFonts w:ascii="Arial" w:cs="Arial" w:eastAsia="Arial" w:hAnsi="Arial"/>
          <w:sz w:val="12"/>
          <w:szCs w:val="12"/>
          <w:color w:val="auto"/>
        </w:rPr>
        <w:t>(Sign exactly as your name appears on the face of this Note)</w:t>
      </w:r>
    </w:p>
    <w:p>
      <w:pPr>
        <w:spacing w:after="0" w:line="200" w:lineRule="exact"/>
        <w:rPr>
          <w:sz w:val="20"/>
          <w:szCs w:val="20"/>
          <w:color w:val="auto"/>
        </w:rPr>
      </w:pPr>
    </w:p>
    <w:p>
      <w:pPr>
        <w:sectPr>
          <w:pgSz w:w="11900" w:h="16838" w:orient="portrait"/>
          <w:cols w:equalWidth="0" w:num="2">
            <w:col w:w="4140" w:space="80"/>
            <w:col w:w="7200"/>
          </w:cols>
          <w:pgMar w:left="240" w:top="747" w:right="2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33" w:lineRule="exact"/>
        <w:rPr>
          <w:sz w:val="20"/>
          <w:szCs w:val="20"/>
          <w:color w:val="auto"/>
        </w:rPr>
      </w:pPr>
    </w:p>
    <w:p>
      <w:pPr>
        <w:ind w:left="500" w:hanging="492"/>
        <w:spacing w:after="0"/>
        <w:tabs>
          <w:tab w:leader="none" w:pos="500" w:val="left"/>
        </w:tabs>
        <w:numPr>
          <w:ilvl w:val="0"/>
          <w:numId w:val="231"/>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3" w:lineRule="exact"/>
        <w:rPr>
          <w:rFonts w:ascii="Arial" w:cs="Arial" w:eastAsia="Arial" w:hAnsi="Arial"/>
          <w:sz w:val="19"/>
          <w:szCs w:val="19"/>
          <w:color w:val="auto"/>
        </w:rPr>
      </w:pPr>
    </w:p>
    <w:p>
      <w:pPr>
        <w:ind w:left="5420"/>
        <w:spacing w:after="0"/>
        <w:rPr>
          <w:rFonts w:ascii="Arial" w:cs="Arial" w:eastAsia="Arial" w:hAnsi="Arial"/>
          <w:sz w:val="19"/>
          <w:szCs w:val="19"/>
          <w:color w:val="auto"/>
        </w:rPr>
      </w:pPr>
      <w:r>
        <w:rPr>
          <w:rFonts w:ascii="Arial" w:cs="Arial" w:eastAsia="Arial" w:hAnsi="Arial"/>
          <w:sz w:val="20"/>
          <w:szCs w:val="20"/>
          <w:color w:val="auto"/>
        </w:rPr>
        <w:t>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69" w:name="page170"/>
    <w:bookmarkEnd w:id="169"/>
    <w:p>
      <w:pPr>
        <w:jc w:val="right"/>
        <w:spacing w:after="0"/>
        <w:rPr>
          <w:sz w:val="20"/>
          <w:szCs w:val="20"/>
          <w:color w:val="auto"/>
        </w:rPr>
      </w:pPr>
      <w:r>
        <w:rPr>
          <w:rFonts w:ascii="Arial" w:cs="Arial" w:eastAsia="Arial" w:hAnsi="Arial"/>
          <w:sz w:val="22"/>
          <w:szCs w:val="22"/>
          <w:b w:val="1"/>
          <w:bCs w:val="1"/>
          <w:color w:val="auto"/>
        </w:rPr>
        <w:t>EXHIBIT A-1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Option of Holder to Elect Purchase</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If you want to elect to have this Note purchased by the Issuers pursuant to Section 4.10, 4.15 or 4.16 of the Indenture, check the appropriate box below:</w:t>
      </w:r>
    </w:p>
    <w:p>
      <w:pPr>
        <w:spacing w:after="0" w:line="200" w:lineRule="exact"/>
        <w:rPr>
          <w:sz w:val="20"/>
          <w:szCs w:val="20"/>
          <w:color w:val="auto"/>
        </w:rPr>
      </w:pPr>
    </w:p>
    <w:p>
      <w:pPr>
        <w:ind w:left="2900"/>
        <w:spacing w:after="0"/>
        <w:tabs>
          <w:tab w:leader="none" w:pos="5160" w:val="left"/>
          <w:tab w:leader="none" w:pos="7420"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22"/>
          <w:szCs w:val="22"/>
          <w:color w:val="auto"/>
        </w:rPr>
        <w:t>Section 4.15</w:t>
      </w:r>
      <w:r>
        <w:rPr>
          <w:sz w:val="20"/>
          <w:szCs w:val="20"/>
          <w:color w:val="auto"/>
        </w:rPr>
        <w:tab/>
      </w:r>
      <w:r>
        <w:rPr>
          <w:rFonts w:ascii="Arial" w:cs="Arial" w:eastAsia="Arial" w:hAnsi="Arial"/>
          <w:sz w:val="19"/>
          <w:szCs w:val="19"/>
          <w:color w:val="auto"/>
        </w:rPr>
        <w:t>Section 4.16</w:t>
      </w:r>
    </w:p>
    <w:p>
      <w:pPr>
        <w:spacing w:after="0" w:line="233"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If you want to elect to have only part of the Note purchased by the Issuers pursuant to Section 4.10, Section 4.15 or Section 4.16 of the Indenture, state the amount you elect to have purchased:</w:t>
      </w:r>
    </w:p>
    <w:p>
      <w:pPr>
        <w:spacing w:after="0" w:line="200"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Your Signature:</w:t>
      </w:r>
    </w:p>
    <w:p>
      <w:pPr>
        <w:spacing w:after="0" w:line="60" w:lineRule="exact"/>
        <w:rPr>
          <w:sz w:val="20"/>
          <w:szCs w:val="20"/>
          <w:color w:val="auto"/>
        </w:rPr>
      </w:pPr>
    </w:p>
    <w:p>
      <w:pPr>
        <w:ind w:left="4880"/>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5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Tax Identification No.: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33" w:lineRule="exact"/>
        <w:rPr>
          <w:sz w:val="20"/>
          <w:szCs w:val="20"/>
          <w:color w:val="auto"/>
        </w:rPr>
      </w:pPr>
    </w:p>
    <w:p>
      <w:pPr>
        <w:ind w:left="1060" w:hanging="1052"/>
        <w:spacing w:after="0"/>
        <w:tabs>
          <w:tab w:leader="none" w:pos="106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22"/>
          <w:szCs w:val="22"/>
          <w:color w:val="auto"/>
        </w:rPr>
        <w:t>SCHEDULE OF EXCHANGES OF INTERESTS IN THE GLOBAL NOTE*</w:t>
      </w:r>
    </w:p>
    <w:p>
      <w:pPr>
        <w:spacing w:after="0" w:line="233"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64"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1640" w:type="dxa"/>
            <w:vAlign w:val="bottom"/>
          </w:tcPr>
          <w:p>
            <w:pPr>
              <w:spacing w:after="0"/>
              <w:rPr>
                <w:sz w:val="20"/>
                <w:szCs w:val="20"/>
                <w:color w:val="auto"/>
              </w:rPr>
            </w:pPr>
            <w:r>
              <w:rPr>
                <w:rFonts w:ascii="Arial" w:cs="Arial" w:eastAsia="Arial" w:hAnsi="Arial"/>
                <w:sz w:val="14"/>
                <w:szCs w:val="14"/>
                <w:b w:val="1"/>
                <w:bCs w:val="1"/>
                <w:color w:val="auto"/>
              </w:rPr>
              <w:t>Date of Exchange</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0"/>
              </w:rPr>
              <w:t>Amount of decrease</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increase in</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6"/>
              </w:rPr>
              <w:t>Principal Amount</w:t>
            </w:r>
          </w:p>
        </w:tc>
        <w:tc>
          <w:tcPr>
            <w:tcW w:w="1780" w:type="dxa"/>
            <w:vAlign w:val="bottom"/>
          </w:tcPr>
          <w:p>
            <w:pPr>
              <w:jc w:val="center"/>
              <w:ind w:left="428"/>
              <w:spacing w:after="0"/>
              <w:rPr>
                <w:sz w:val="20"/>
                <w:szCs w:val="20"/>
                <w:color w:val="auto"/>
              </w:rPr>
            </w:pPr>
            <w:r>
              <w:rPr>
                <w:rFonts w:ascii="Arial" w:cs="Arial" w:eastAsia="Arial" w:hAnsi="Arial"/>
                <w:sz w:val="14"/>
                <w:szCs w:val="14"/>
                <w:b w:val="1"/>
                <w:bCs w:val="1"/>
                <w:color w:val="auto"/>
                <w:w w:val="92"/>
              </w:rPr>
              <w:t>Signature of</w:t>
            </w:r>
          </w:p>
        </w:tc>
      </w:tr>
      <w:tr>
        <w:trPr>
          <w:trHeight w:val="149"/>
        </w:trPr>
        <w:tc>
          <w:tcPr>
            <w:tcW w:w="16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 Principal Amount</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Global Note</w:t>
            </w:r>
          </w:p>
        </w:tc>
        <w:tc>
          <w:tcPr>
            <w:tcW w:w="178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92"/>
              </w:rPr>
              <w:t>authorized officer of</w:t>
            </w:r>
          </w:p>
        </w:tc>
      </w:tr>
      <w:tr>
        <w:trPr>
          <w:trHeight w:val="149"/>
        </w:trPr>
        <w:tc>
          <w:tcPr>
            <w:tcW w:w="16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this Global Note</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Global Note</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78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2"/>
              </w:rPr>
              <w:t>Trustee or Custodian</w:t>
            </w:r>
          </w:p>
        </w:tc>
      </w:tr>
      <w:tr>
        <w:trPr>
          <w:trHeight w:val="186"/>
        </w:trPr>
        <w:tc>
          <w:tcPr>
            <w:tcW w:w="1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 (or increase)</w:t>
            </w:r>
          </w:p>
        </w:tc>
        <w:tc>
          <w:tcPr>
            <w:tcW w:w="17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80" w:hanging="972"/>
        <w:spacing w:after="0"/>
        <w:tabs>
          <w:tab w:leader="none" w:pos="980" w:val="left"/>
        </w:tabs>
        <w:numPr>
          <w:ilvl w:val="0"/>
          <w:numId w:val="233"/>
        </w:numPr>
        <w:rPr>
          <w:rFonts w:ascii="Arial" w:cs="Arial" w:eastAsia="Arial" w:hAnsi="Arial"/>
          <w:sz w:val="22"/>
          <w:szCs w:val="22"/>
          <w:color w:val="auto"/>
        </w:rPr>
      </w:pPr>
      <w:r>
        <w:rPr>
          <w:rFonts w:ascii="Arial" w:cs="Arial" w:eastAsia="Arial" w:hAnsi="Arial"/>
          <w:sz w:val="22"/>
          <w:szCs w:val="22"/>
          <w:i w:val="1"/>
          <w:iCs w:val="1"/>
          <w:color w:val="auto"/>
        </w:rPr>
        <w:t>This schedule should be included only if the Note is issued in global form.</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9" w:lineRule="exact"/>
        <w:rPr>
          <w:rFonts w:ascii="Arial" w:cs="Arial" w:eastAsia="Arial" w:hAnsi="Arial"/>
          <w:sz w:val="22"/>
          <w:szCs w:val="22"/>
          <w:color w:val="auto"/>
        </w:rPr>
      </w:pPr>
    </w:p>
    <w:p>
      <w:pPr>
        <w:ind w:left="5420"/>
        <w:spacing w:after="0"/>
        <w:rPr>
          <w:rFonts w:ascii="Arial" w:cs="Arial" w:eastAsia="Arial" w:hAnsi="Arial"/>
          <w:sz w:val="22"/>
          <w:szCs w:val="22"/>
          <w:color w:val="auto"/>
        </w:rPr>
      </w:pPr>
      <w:r>
        <w:rPr>
          <w:rFonts w:ascii="Arial" w:cs="Arial" w:eastAsia="Arial" w:hAnsi="Arial"/>
          <w:sz w:val="20"/>
          <w:szCs w:val="20"/>
          <w:color w:val="auto"/>
        </w:rPr>
        <w:t>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81"/>
        </w:trPr>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22"/>
                <w:szCs w:val="22"/>
                <w:b w:val="1"/>
                <w:bCs w:val="1"/>
                <w:color w:val="auto"/>
              </w:rPr>
              <w:t>EXHIBIT A-2</w:t>
            </w:r>
          </w:p>
        </w:tc>
      </w:tr>
      <w:tr>
        <w:trPr>
          <w:trHeight w:val="449"/>
        </w:trPr>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700" w:type="dxa"/>
            <w:vAlign w:val="bottom"/>
            <w:gridSpan w:val="2"/>
          </w:tcPr>
          <w:p>
            <w:pPr>
              <w:jc w:val="center"/>
              <w:ind w:left="810"/>
              <w:spacing w:after="0"/>
              <w:rPr>
                <w:sz w:val="20"/>
                <w:szCs w:val="20"/>
                <w:color w:val="auto"/>
              </w:rPr>
            </w:pPr>
            <w:r>
              <w:rPr>
                <w:rFonts w:ascii="Arial" w:cs="Arial" w:eastAsia="Arial" w:hAnsi="Arial"/>
                <w:sz w:val="18"/>
                <w:szCs w:val="18"/>
                <w:color w:val="auto"/>
                <w:w w:val="91"/>
              </w:rPr>
              <w:t>[Face of Regulation S Temporary Global Note]</w:t>
            </w:r>
          </w:p>
        </w:tc>
        <w:tc>
          <w:tcPr>
            <w:tcW w:w="3320" w:type="dxa"/>
            <w:vAlign w:val="bottom"/>
          </w:tcPr>
          <w:p>
            <w:pPr>
              <w:spacing w:after="0"/>
              <w:rPr>
                <w:sz w:val="24"/>
                <w:szCs w:val="24"/>
                <w:color w:val="auto"/>
              </w:rPr>
            </w:pPr>
          </w:p>
        </w:tc>
      </w:tr>
      <w:tr>
        <w:trPr>
          <w:trHeight w:val="118"/>
        </w:trPr>
        <w:tc>
          <w:tcPr>
            <w:tcW w:w="36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r>
      <w:tr>
        <w:trPr>
          <w:trHeight w:val="321"/>
        </w:trPr>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CUSIP/CINS U98347 AF1</w:t>
            </w:r>
          </w:p>
        </w:tc>
      </w:tr>
      <w:tr>
        <w:trPr>
          <w:trHeight w:val="459"/>
        </w:trPr>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700" w:type="dxa"/>
            <w:vAlign w:val="bottom"/>
            <w:gridSpan w:val="2"/>
          </w:tcPr>
          <w:p>
            <w:pPr>
              <w:jc w:val="center"/>
              <w:ind w:left="790"/>
              <w:spacing w:after="0"/>
              <w:rPr>
                <w:sz w:val="20"/>
                <w:szCs w:val="20"/>
                <w:color w:val="auto"/>
              </w:rPr>
            </w:pPr>
            <w:r>
              <w:rPr>
                <w:rFonts w:ascii="Arial" w:cs="Arial" w:eastAsia="Arial" w:hAnsi="Arial"/>
                <w:sz w:val="18"/>
                <w:szCs w:val="18"/>
                <w:color w:val="auto"/>
                <w:w w:val="91"/>
              </w:rPr>
              <w:t>7⅞% [Series A] [Series B] First Mortgage Notes due 2020</w:t>
            </w:r>
          </w:p>
        </w:tc>
        <w:tc>
          <w:tcPr>
            <w:tcW w:w="3320" w:type="dxa"/>
            <w:vAlign w:val="bottom"/>
          </w:tcPr>
          <w:p>
            <w:pPr>
              <w:spacing w:after="0"/>
              <w:rPr>
                <w:sz w:val="24"/>
                <w:szCs w:val="24"/>
                <w:color w:val="auto"/>
              </w:rPr>
            </w:pPr>
          </w:p>
        </w:tc>
      </w:tr>
      <w:tr>
        <w:trPr>
          <w:trHeight w:val="459"/>
        </w:trPr>
        <w:tc>
          <w:tcPr>
            <w:tcW w:w="360" w:type="dxa"/>
            <w:vAlign w:val="bottom"/>
          </w:tcPr>
          <w:p>
            <w:pPr>
              <w:spacing w:after="0"/>
              <w:rPr>
                <w:sz w:val="24"/>
                <w:szCs w:val="24"/>
                <w:color w:val="auto"/>
              </w:rPr>
            </w:pPr>
          </w:p>
        </w:tc>
        <w:tc>
          <w:tcPr>
            <w:tcW w:w="7760" w:type="dxa"/>
            <w:vAlign w:val="bottom"/>
            <w:gridSpan w:val="3"/>
          </w:tcPr>
          <w:p>
            <w:pPr>
              <w:ind w:left="300"/>
              <w:spacing w:after="0"/>
              <w:rPr>
                <w:sz w:val="20"/>
                <w:szCs w:val="20"/>
                <w:color w:val="auto"/>
              </w:rPr>
            </w:pPr>
            <w:r>
              <w:rPr>
                <w:rFonts w:ascii="Arial" w:cs="Arial" w:eastAsia="Arial" w:hAnsi="Arial"/>
                <w:sz w:val="18"/>
                <w:szCs w:val="18"/>
                <w:color w:val="auto"/>
              </w:rPr>
              <w:t>No. ___</w:t>
            </w:r>
          </w:p>
        </w:tc>
        <w:tc>
          <w:tcPr>
            <w:tcW w:w="332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418"/>
        </w:trPr>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700" w:type="dxa"/>
            <w:vAlign w:val="bottom"/>
            <w:gridSpan w:val="2"/>
          </w:tcPr>
          <w:p>
            <w:pPr>
              <w:jc w:val="center"/>
              <w:ind w:left="790"/>
              <w:spacing w:after="0"/>
              <w:rPr>
                <w:sz w:val="20"/>
                <w:szCs w:val="20"/>
                <w:color w:val="auto"/>
              </w:rPr>
            </w:pPr>
            <w:r>
              <w:rPr>
                <w:rFonts w:ascii="Arial" w:cs="Arial" w:eastAsia="Arial" w:hAnsi="Arial"/>
                <w:sz w:val="18"/>
                <w:szCs w:val="18"/>
                <w:color w:val="auto"/>
                <w:w w:val="98"/>
              </w:rPr>
              <w:t>WYNN LAS VEGAS, LLC</w:t>
            </w:r>
          </w:p>
        </w:tc>
        <w:tc>
          <w:tcPr>
            <w:tcW w:w="3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700" w:type="dxa"/>
            <w:vAlign w:val="bottom"/>
            <w:gridSpan w:val="2"/>
          </w:tcPr>
          <w:p>
            <w:pPr>
              <w:jc w:val="center"/>
              <w:ind w:left="810"/>
              <w:spacing w:after="0"/>
              <w:rPr>
                <w:sz w:val="20"/>
                <w:szCs w:val="20"/>
                <w:color w:val="auto"/>
              </w:rPr>
            </w:pPr>
            <w:r>
              <w:rPr>
                <w:rFonts w:ascii="Arial" w:cs="Arial" w:eastAsia="Arial" w:hAnsi="Arial"/>
                <w:sz w:val="18"/>
                <w:szCs w:val="18"/>
                <w:color w:val="auto"/>
                <w:w w:val="96"/>
              </w:rPr>
              <w:t>WYNN LAS VEGAS CAPITAL CORP.</w:t>
            </w:r>
          </w:p>
        </w:tc>
        <w:tc>
          <w:tcPr>
            <w:tcW w:w="3320" w:type="dxa"/>
            <w:vAlign w:val="bottom"/>
          </w:tcPr>
          <w:p>
            <w:pPr>
              <w:spacing w:after="0"/>
              <w:rPr>
                <w:sz w:val="20"/>
                <w:szCs w:val="20"/>
                <w:color w:val="auto"/>
              </w:rPr>
            </w:pPr>
          </w:p>
        </w:tc>
      </w:tr>
      <w:tr>
        <w:trPr>
          <w:trHeight w:val="459"/>
        </w:trPr>
        <w:tc>
          <w:tcPr>
            <w:tcW w:w="8120" w:type="dxa"/>
            <w:vAlign w:val="bottom"/>
            <w:gridSpan w:val="4"/>
          </w:tcPr>
          <w:p>
            <w:pPr>
              <w:spacing w:after="0"/>
              <w:rPr>
                <w:sz w:val="20"/>
                <w:szCs w:val="20"/>
                <w:color w:val="auto"/>
              </w:rPr>
            </w:pPr>
            <w:r>
              <w:rPr>
                <w:rFonts w:ascii="Arial" w:cs="Arial" w:eastAsia="Arial" w:hAnsi="Arial"/>
                <w:sz w:val="18"/>
                <w:szCs w:val="18"/>
                <w:color w:val="auto"/>
              </w:rPr>
              <w:t>promise to pay to ______________________ or registered assigns,</w:t>
            </w:r>
          </w:p>
        </w:tc>
        <w:tc>
          <w:tcPr>
            <w:tcW w:w="3320" w:type="dxa"/>
            <w:vAlign w:val="bottom"/>
          </w:tcPr>
          <w:p>
            <w:pPr>
              <w:spacing w:after="0"/>
              <w:rPr>
                <w:sz w:val="24"/>
                <w:szCs w:val="24"/>
                <w:color w:val="auto"/>
              </w:rPr>
            </w:pPr>
          </w:p>
        </w:tc>
      </w:tr>
      <w:tr>
        <w:trPr>
          <w:trHeight w:val="459"/>
        </w:trPr>
        <w:tc>
          <w:tcPr>
            <w:tcW w:w="8120" w:type="dxa"/>
            <w:vAlign w:val="bottom"/>
            <w:gridSpan w:val="4"/>
          </w:tcPr>
          <w:p>
            <w:pPr>
              <w:spacing w:after="0"/>
              <w:rPr>
                <w:sz w:val="20"/>
                <w:szCs w:val="20"/>
                <w:color w:val="auto"/>
              </w:rPr>
            </w:pPr>
            <w:r>
              <w:rPr>
                <w:rFonts w:ascii="Arial" w:cs="Arial" w:eastAsia="Arial" w:hAnsi="Arial"/>
                <w:sz w:val="18"/>
                <w:szCs w:val="18"/>
                <w:color w:val="auto"/>
              </w:rPr>
              <w:t>the principal sum of</w:t>
            </w:r>
          </w:p>
        </w:tc>
        <w:tc>
          <w:tcPr>
            <w:tcW w:w="3320" w:type="dxa"/>
            <w:vAlign w:val="bottom"/>
          </w:tcPr>
          <w:p>
            <w:pPr>
              <w:spacing w:after="0"/>
              <w:rPr>
                <w:sz w:val="24"/>
                <w:szCs w:val="24"/>
                <w:color w:val="auto"/>
              </w:rPr>
            </w:pPr>
          </w:p>
        </w:tc>
      </w:tr>
      <w:tr>
        <w:trPr>
          <w:trHeight w:val="459"/>
        </w:trPr>
        <w:tc>
          <w:tcPr>
            <w:tcW w:w="8120" w:type="dxa"/>
            <w:vAlign w:val="bottom"/>
            <w:gridSpan w:val="4"/>
          </w:tcPr>
          <w:p>
            <w:pPr>
              <w:spacing w:after="0"/>
              <w:rPr>
                <w:sz w:val="20"/>
                <w:szCs w:val="20"/>
                <w:color w:val="auto"/>
              </w:rPr>
            </w:pPr>
            <w:r>
              <w:rPr>
                <w:rFonts w:ascii="Arial" w:cs="Arial" w:eastAsia="Arial" w:hAnsi="Arial"/>
                <w:sz w:val="18"/>
                <w:szCs w:val="18"/>
                <w:color w:val="auto"/>
              </w:rPr>
              <w:t>DOLLARS on May 1, 2020.</w:t>
            </w:r>
          </w:p>
        </w:tc>
        <w:tc>
          <w:tcPr>
            <w:tcW w:w="3320" w:type="dxa"/>
            <w:vAlign w:val="bottom"/>
          </w:tcPr>
          <w:p>
            <w:pPr>
              <w:spacing w:after="0"/>
              <w:rPr>
                <w:sz w:val="24"/>
                <w:szCs w:val="24"/>
                <w:color w:val="auto"/>
              </w:rPr>
            </w:pPr>
          </w:p>
        </w:tc>
      </w:tr>
      <w:tr>
        <w:trPr>
          <w:trHeight w:val="459"/>
        </w:trPr>
        <w:tc>
          <w:tcPr>
            <w:tcW w:w="8120" w:type="dxa"/>
            <w:vAlign w:val="bottom"/>
            <w:gridSpan w:val="4"/>
          </w:tcPr>
          <w:p>
            <w:pPr>
              <w:spacing w:after="0"/>
              <w:rPr>
                <w:sz w:val="20"/>
                <w:szCs w:val="20"/>
                <w:color w:val="auto"/>
              </w:rPr>
            </w:pPr>
            <w:r>
              <w:rPr>
                <w:rFonts w:ascii="Arial" w:cs="Arial" w:eastAsia="Arial" w:hAnsi="Arial"/>
                <w:sz w:val="18"/>
                <w:szCs w:val="18"/>
                <w:color w:val="auto"/>
              </w:rPr>
              <w:t>Interest Payment Dates: November 1 and May 1</w:t>
            </w:r>
          </w:p>
        </w:tc>
        <w:tc>
          <w:tcPr>
            <w:tcW w:w="3320" w:type="dxa"/>
            <w:vAlign w:val="bottom"/>
          </w:tcPr>
          <w:p>
            <w:pPr>
              <w:spacing w:after="0"/>
              <w:rPr>
                <w:sz w:val="24"/>
                <w:szCs w:val="24"/>
                <w:color w:val="auto"/>
              </w:rPr>
            </w:pPr>
          </w:p>
        </w:tc>
      </w:tr>
      <w:tr>
        <w:trPr>
          <w:trHeight w:val="459"/>
        </w:trPr>
        <w:tc>
          <w:tcPr>
            <w:tcW w:w="8120" w:type="dxa"/>
            <w:vAlign w:val="bottom"/>
            <w:gridSpan w:val="4"/>
          </w:tcPr>
          <w:p>
            <w:pPr>
              <w:spacing w:after="0"/>
              <w:rPr>
                <w:sz w:val="20"/>
                <w:szCs w:val="20"/>
                <w:color w:val="auto"/>
              </w:rPr>
            </w:pPr>
            <w:r>
              <w:rPr>
                <w:rFonts w:ascii="Arial" w:cs="Arial" w:eastAsia="Arial" w:hAnsi="Arial"/>
                <w:sz w:val="18"/>
                <w:szCs w:val="18"/>
                <w:color w:val="auto"/>
              </w:rPr>
              <w:t>Record Dates: October 15 and April 15</w:t>
            </w:r>
          </w:p>
        </w:tc>
        <w:tc>
          <w:tcPr>
            <w:tcW w:w="3320" w:type="dxa"/>
            <w:vAlign w:val="bottom"/>
          </w:tcPr>
          <w:p>
            <w:pPr>
              <w:spacing w:after="0"/>
              <w:rPr>
                <w:sz w:val="24"/>
                <w:szCs w:val="24"/>
                <w:color w:val="auto"/>
              </w:rPr>
            </w:pPr>
          </w:p>
        </w:tc>
      </w:tr>
      <w:tr>
        <w:trPr>
          <w:trHeight w:val="459"/>
        </w:trPr>
        <w:tc>
          <w:tcPr>
            <w:tcW w:w="8120" w:type="dxa"/>
            <w:vAlign w:val="bottom"/>
            <w:gridSpan w:val="4"/>
          </w:tcPr>
          <w:p>
            <w:pPr>
              <w:spacing w:after="0"/>
              <w:rPr>
                <w:sz w:val="20"/>
                <w:szCs w:val="20"/>
                <w:color w:val="auto"/>
              </w:rPr>
            </w:pPr>
            <w:r>
              <w:rPr>
                <w:rFonts w:ascii="Arial" w:cs="Arial" w:eastAsia="Arial" w:hAnsi="Arial"/>
                <w:sz w:val="18"/>
                <w:szCs w:val="18"/>
                <w:color w:val="auto"/>
              </w:rPr>
              <w:t>Dated: April 28, 2010</w:t>
            </w:r>
          </w:p>
        </w:tc>
        <w:tc>
          <w:tcPr>
            <w:tcW w:w="3320" w:type="dxa"/>
            <w:vAlign w:val="bottom"/>
          </w:tcPr>
          <w:p>
            <w:pPr>
              <w:spacing w:after="0"/>
              <w:rPr>
                <w:sz w:val="24"/>
                <w:szCs w:val="24"/>
                <w:color w:val="auto"/>
              </w:rPr>
            </w:pPr>
          </w:p>
        </w:tc>
      </w:tr>
      <w:tr>
        <w:trPr>
          <w:trHeight w:val="418"/>
        </w:trPr>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700" w:type="dxa"/>
            <w:vAlign w:val="bottom"/>
            <w:gridSpan w:val="2"/>
          </w:tcPr>
          <w:p>
            <w:pPr>
              <w:ind w:left="2400"/>
              <w:spacing w:after="0"/>
              <w:rPr>
                <w:sz w:val="20"/>
                <w:szCs w:val="20"/>
                <w:color w:val="auto"/>
              </w:rPr>
            </w:pPr>
            <w:r>
              <w:rPr>
                <w:rFonts w:ascii="Arial" w:cs="Arial" w:eastAsia="Arial" w:hAnsi="Arial"/>
                <w:sz w:val="18"/>
                <w:szCs w:val="18"/>
                <w:b w:val="1"/>
                <w:bCs w:val="1"/>
                <w:color w:val="auto"/>
              </w:rPr>
              <w:t>WYNN LAS VEGAS, LLC</w:t>
            </w:r>
            <w:r>
              <w:rPr>
                <w:rFonts w:ascii="Arial" w:cs="Arial" w:eastAsia="Arial" w:hAnsi="Arial"/>
                <w:sz w:val="18"/>
                <w:szCs w:val="18"/>
                <w:color w:val="auto"/>
              </w:rPr>
              <w:t>,</w:t>
            </w:r>
          </w:p>
        </w:tc>
        <w:tc>
          <w:tcPr>
            <w:tcW w:w="3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700" w:type="dxa"/>
            <w:vAlign w:val="bottom"/>
            <w:gridSpan w:val="2"/>
          </w:tcPr>
          <w:p>
            <w:pPr>
              <w:ind w:left="2400"/>
              <w:spacing w:after="0"/>
              <w:rPr>
                <w:sz w:val="20"/>
                <w:szCs w:val="20"/>
                <w:color w:val="auto"/>
              </w:rPr>
            </w:pPr>
            <w:r>
              <w:rPr>
                <w:rFonts w:ascii="Arial" w:cs="Arial" w:eastAsia="Arial" w:hAnsi="Arial"/>
                <w:sz w:val="18"/>
                <w:szCs w:val="18"/>
                <w:color w:val="auto"/>
              </w:rPr>
              <w:t>a Nevada limited liability company</w:t>
            </w:r>
          </w:p>
        </w:tc>
        <w:tc>
          <w:tcPr>
            <w:tcW w:w="3320" w:type="dxa"/>
            <w:vAlign w:val="bottom"/>
          </w:tcPr>
          <w:p>
            <w:pPr>
              <w:spacing w:after="0"/>
              <w:rPr>
                <w:sz w:val="20"/>
                <w:szCs w:val="20"/>
                <w:color w:val="auto"/>
              </w:rPr>
            </w:pPr>
          </w:p>
        </w:tc>
      </w:tr>
      <w:tr>
        <w:trPr>
          <w:trHeight w:val="418"/>
        </w:trPr>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700" w:type="dxa"/>
            <w:vAlign w:val="bottom"/>
            <w:gridSpan w:val="2"/>
          </w:tcPr>
          <w:p>
            <w:pPr>
              <w:ind w:left="2400"/>
              <w:spacing w:after="0"/>
              <w:rPr>
                <w:sz w:val="20"/>
                <w:szCs w:val="20"/>
                <w:color w:val="auto"/>
              </w:rPr>
            </w:pPr>
            <w:r>
              <w:rPr>
                <w:rFonts w:ascii="Arial" w:cs="Arial" w:eastAsia="Arial" w:hAnsi="Arial"/>
                <w:sz w:val="18"/>
                <w:szCs w:val="18"/>
                <w:color w:val="auto"/>
              </w:rPr>
              <w:t>By:  Wynn Resorts Holdings, LLC,</w:t>
            </w:r>
          </w:p>
        </w:tc>
        <w:tc>
          <w:tcPr>
            <w:tcW w:w="332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700" w:type="dxa"/>
            <w:vAlign w:val="bottom"/>
            <w:gridSpan w:val="2"/>
          </w:tcPr>
          <w:p>
            <w:pPr>
              <w:ind w:left="2860"/>
              <w:spacing w:after="0"/>
              <w:rPr>
                <w:sz w:val="20"/>
                <w:szCs w:val="20"/>
                <w:color w:val="auto"/>
              </w:rPr>
            </w:pPr>
            <w:r>
              <w:rPr>
                <w:rFonts w:ascii="Arial" w:cs="Arial" w:eastAsia="Arial" w:hAnsi="Arial"/>
                <w:sz w:val="18"/>
                <w:szCs w:val="18"/>
                <w:color w:val="auto"/>
              </w:rPr>
              <w:t>a Nevada limited liability company,</w:t>
            </w:r>
          </w:p>
        </w:tc>
        <w:tc>
          <w:tcPr>
            <w:tcW w:w="332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700" w:type="dxa"/>
            <w:vAlign w:val="bottom"/>
            <w:gridSpan w:val="2"/>
          </w:tcPr>
          <w:p>
            <w:pPr>
              <w:ind w:left="2860"/>
              <w:spacing w:after="0"/>
              <w:rPr>
                <w:sz w:val="20"/>
                <w:szCs w:val="20"/>
                <w:color w:val="auto"/>
              </w:rPr>
            </w:pPr>
            <w:r>
              <w:rPr>
                <w:rFonts w:ascii="Arial" w:cs="Arial" w:eastAsia="Arial" w:hAnsi="Arial"/>
                <w:sz w:val="18"/>
                <w:szCs w:val="18"/>
                <w:color w:val="auto"/>
              </w:rPr>
              <w:t>its sole member</w:t>
            </w:r>
          </w:p>
        </w:tc>
        <w:tc>
          <w:tcPr>
            <w:tcW w:w="3320" w:type="dxa"/>
            <w:vAlign w:val="bottom"/>
          </w:tcPr>
          <w:p>
            <w:pPr>
              <w:spacing w:after="0"/>
              <w:rPr>
                <w:sz w:val="20"/>
                <w:szCs w:val="20"/>
                <w:color w:val="auto"/>
              </w:rPr>
            </w:pPr>
          </w:p>
        </w:tc>
      </w:tr>
      <w:tr>
        <w:trPr>
          <w:trHeight w:val="418"/>
        </w:trPr>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700" w:type="dxa"/>
            <w:vAlign w:val="bottom"/>
            <w:gridSpan w:val="2"/>
          </w:tcPr>
          <w:p>
            <w:pPr>
              <w:ind w:left="2860"/>
              <w:spacing w:after="0"/>
              <w:rPr>
                <w:sz w:val="20"/>
                <w:szCs w:val="20"/>
                <w:color w:val="auto"/>
              </w:rPr>
            </w:pPr>
            <w:r>
              <w:rPr>
                <w:rFonts w:ascii="Arial" w:cs="Arial" w:eastAsia="Arial" w:hAnsi="Arial"/>
                <w:sz w:val="18"/>
                <w:szCs w:val="18"/>
                <w:color w:val="auto"/>
                <w:w w:val="94"/>
              </w:rPr>
              <w:t>By: Wynn Resorts, Limited, a Nevada</w:t>
            </w:r>
          </w:p>
        </w:tc>
        <w:tc>
          <w:tcPr>
            <w:tcW w:w="3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700" w:type="dxa"/>
            <w:vAlign w:val="bottom"/>
            <w:gridSpan w:val="2"/>
          </w:tcPr>
          <w:p>
            <w:pPr>
              <w:ind w:left="3200"/>
              <w:spacing w:after="0"/>
              <w:rPr>
                <w:sz w:val="20"/>
                <w:szCs w:val="20"/>
                <w:color w:val="auto"/>
              </w:rPr>
            </w:pPr>
            <w:r>
              <w:rPr>
                <w:rFonts w:ascii="Arial" w:cs="Arial" w:eastAsia="Arial" w:hAnsi="Arial"/>
                <w:sz w:val="18"/>
                <w:szCs w:val="18"/>
                <w:color w:val="auto"/>
              </w:rPr>
              <w:t>corporation, its sole member</w:t>
            </w:r>
          </w:p>
        </w:tc>
        <w:tc>
          <w:tcPr>
            <w:tcW w:w="3320" w:type="dxa"/>
            <w:vAlign w:val="bottom"/>
          </w:tcPr>
          <w:p>
            <w:pPr>
              <w:spacing w:after="0"/>
              <w:rPr>
                <w:sz w:val="20"/>
                <w:szCs w:val="20"/>
                <w:color w:val="auto"/>
              </w:rPr>
            </w:pPr>
          </w:p>
        </w:tc>
      </w:tr>
      <w:tr>
        <w:trPr>
          <w:trHeight w:val="439"/>
        </w:trPr>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700" w:type="dxa"/>
            <w:vAlign w:val="bottom"/>
            <w:gridSpan w:val="2"/>
          </w:tcPr>
          <w:p>
            <w:pPr>
              <w:ind w:left="3200"/>
              <w:spacing w:after="0"/>
              <w:rPr>
                <w:sz w:val="20"/>
                <w:szCs w:val="20"/>
                <w:color w:val="auto"/>
              </w:rPr>
            </w:pPr>
            <w:r>
              <w:rPr>
                <w:rFonts w:ascii="Arial" w:cs="Arial" w:eastAsia="Arial" w:hAnsi="Arial"/>
                <w:sz w:val="18"/>
                <w:szCs w:val="18"/>
                <w:color w:val="auto"/>
              </w:rPr>
              <w:t>By:</w:t>
            </w:r>
          </w:p>
        </w:tc>
        <w:tc>
          <w:tcPr>
            <w:tcW w:w="3320" w:type="dxa"/>
            <w:vAlign w:val="bottom"/>
          </w:tcPr>
          <w:p>
            <w:pPr>
              <w:spacing w:after="0"/>
              <w:rPr>
                <w:sz w:val="24"/>
                <w:szCs w:val="24"/>
                <w:color w:val="auto"/>
              </w:rPr>
            </w:pPr>
          </w:p>
        </w:tc>
      </w:tr>
      <w:tr>
        <w:trPr>
          <w:trHeight w:val="202"/>
        </w:trPr>
        <w:tc>
          <w:tcPr>
            <w:tcW w:w="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332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Title:</w:t>
            </w:r>
          </w:p>
        </w:tc>
        <w:tc>
          <w:tcPr>
            <w:tcW w:w="3320" w:type="dxa"/>
            <w:vAlign w:val="bottom"/>
          </w:tcPr>
          <w:p>
            <w:pPr>
              <w:spacing w:after="0"/>
              <w:rPr>
                <w:sz w:val="20"/>
                <w:szCs w:val="20"/>
                <w:color w:val="auto"/>
              </w:rPr>
            </w:pPr>
          </w:p>
        </w:tc>
      </w:tr>
      <w:tr>
        <w:trPr>
          <w:trHeight w:val="439"/>
        </w:trPr>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700" w:type="dxa"/>
            <w:vAlign w:val="bottom"/>
            <w:gridSpan w:val="2"/>
          </w:tcPr>
          <w:p>
            <w:pPr>
              <w:ind w:left="3200"/>
              <w:spacing w:after="0"/>
              <w:rPr>
                <w:sz w:val="20"/>
                <w:szCs w:val="20"/>
                <w:color w:val="auto"/>
              </w:rPr>
            </w:pPr>
            <w:r>
              <w:rPr>
                <w:rFonts w:ascii="Arial" w:cs="Arial" w:eastAsia="Arial" w:hAnsi="Arial"/>
                <w:sz w:val="18"/>
                <w:szCs w:val="18"/>
                <w:color w:val="auto"/>
              </w:rPr>
              <w:t>By:</w:t>
            </w:r>
          </w:p>
        </w:tc>
        <w:tc>
          <w:tcPr>
            <w:tcW w:w="3320" w:type="dxa"/>
            <w:vAlign w:val="bottom"/>
          </w:tcPr>
          <w:p>
            <w:pPr>
              <w:spacing w:after="0"/>
              <w:rPr>
                <w:sz w:val="24"/>
                <w:szCs w:val="24"/>
                <w:color w:val="auto"/>
              </w:rPr>
            </w:pPr>
          </w:p>
        </w:tc>
      </w:tr>
      <w:tr>
        <w:trPr>
          <w:trHeight w:val="202"/>
        </w:trPr>
        <w:tc>
          <w:tcPr>
            <w:tcW w:w="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332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Title:</w:t>
            </w:r>
          </w:p>
        </w:tc>
        <w:tc>
          <w:tcPr>
            <w:tcW w:w="3320" w:type="dxa"/>
            <w:vAlign w:val="bottom"/>
          </w:tcPr>
          <w:p>
            <w:pPr>
              <w:spacing w:after="0"/>
              <w:rPr>
                <w:sz w:val="20"/>
                <w:szCs w:val="20"/>
                <w:color w:val="auto"/>
              </w:rPr>
            </w:pPr>
          </w:p>
        </w:tc>
      </w:tr>
      <w:tr>
        <w:trPr>
          <w:trHeight w:val="634"/>
        </w:trPr>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700" w:type="dxa"/>
            <w:vAlign w:val="bottom"/>
            <w:gridSpan w:val="2"/>
          </w:tcPr>
          <w:p>
            <w:pPr>
              <w:ind w:left="2400"/>
              <w:spacing w:after="0"/>
              <w:rPr>
                <w:sz w:val="20"/>
                <w:szCs w:val="20"/>
                <w:color w:val="auto"/>
              </w:rPr>
            </w:pPr>
            <w:r>
              <w:rPr>
                <w:rFonts w:ascii="Arial" w:cs="Arial" w:eastAsia="Arial" w:hAnsi="Arial"/>
                <w:sz w:val="18"/>
                <w:szCs w:val="18"/>
                <w:b w:val="1"/>
                <w:bCs w:val="1"/>
                <w:color w:val="auto"/>
              </w:rPr>
              <w:t>WYNN LAS VEGAS CAPITAL CORP.</w:t>
            </w:r>
            <w:r>
              <w:rPr>
                <w:rFonts w:ascii="Arial" w:cs="Arial" w:eastAsia="Arial" w:hAnsi="Arial"/>
                <w:sz w:val="18"/>
                <w:szCs w:val="18"/>
                <w:color w:val="auto"/>
              </w:rPr>
              <w:t>,</w:t>
            </w:r>
          </w:p>
        </w:tc>
        <w:tc>
          <w:tcPr>
            <w:tcW w:w="3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700" w:type="dxa"/>
            <w:vAlign w:val="bottom"/>
            <w:gridSpan w:val="2"/>
          </w:tcPr>
          <w:p>
            <w:pPr>
              <w:ind w:left="2400"/>
              <w:spacing w:after="0"/>
              <w:rPr>
                <w:sz w:val="20"/>
                <w:szCs w:val="20"/>
                <w:color w:val="auto"/>
              </w:rPr>
            </w:pPr>
            <w:r>
              <w:rPr>
                <w:rFonts w:ascii="Arial" w:cs="Arial" w:eastAsia="Arial" w:hAnsi="Arial"/>
                <w:sz w:val="18"/>
                <w:szCs w:val="18"/>
                <w:color w:val="auto"/>
              </w:rPr>
              <w:t>a Nevada corporation</w:t>
            </w:r>
          </w:p>
        </w:tc>
        <w:tc>
          <w:tcPr>
            <w:tcW w:w="3320" w:type="dxa"/>
            <w:vAlign w:val="bottom"/>
          </w:tcPr>
          <w:p>
            <w:pPr>
              <w:spacing w:after="0"/>
              <w:rPr>
                <w:sz w:val="20"/>
                <w:szCs w:val="20"/>
                <w:color w:val="auto"/>
              </w:rPr>
            </w:pPr>
          </w:p>
        </w:tc>
      </w:tr>
      <w:tr>
        <w:trPr>
          <w:trHeight w:val="418"/>
        </w:trPr>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700" w:type="dxa"/>
            <w:vAlign w:val="bottom"/>
            <w:gridSpan w:val="2"/>
          </w:tcPr>
          <w:p>
            <w:pPr>
              <w:ind w:left="2400"/>
              <w:spacing w:after="0"/>
              <w:rPr>
                <w:sz w:val="20"/>
                <w:szCs w:val="20"/>
                <w:color w:val="auto"/>
              </w:rPr>
            </w:pPr>
            <w:r>
              <w:rPr>
                <w:rFonts w:ascii="Arial" w:cs="Arial" w:eastAsia="Arial" w:hAnsi="Arial"/>
                <w:sz w:val="18"/>
                <w:szCs w:val="18"/>
                <w:color w:val="auto"/>
              </w:rPr>
              <w:t>By:</w:t>
            </w:r>
          </w:p>
        </w:tc>
        <w:tc>
          <w:tcPr>
            <w:tcW w:w="332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700" w:type="dxa"/>
            <w:vAlign w:val="bottom"/>
            <w:gridSpan w:val="2"/>
          </w:tcPr>
          <w:p>
            <w:pPr>
              <w:ind w:left="2860"/>
              <w:spacing w:after="0"/>
              <w:rPr>
                <w:sz w:val="20"/>
                <w:szCs w:val="20"/>
                <w:color w:val="auto"/>
              </w:rPr>
            </w:pPr>
            <w:r>
              <w:rPr>
                <w:rFonts w:ascii="Arial" w:cs="Arial" w:eastAsia="Arial" w:hAnsi="Arial"/>
                <w:sz w:val="18"/>
                <w:szCs w:val="18"/>
                <w:color w:val="auto"/>
              </w:rPr>
              <w:t>Name:</w:t>
            </w:r>
          </w:p>
        </w:tc>
        <w:tc>
          <w:tcPr>
            <w:tcW w:w="332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700" w:type="dxa"/>
            <w:vAlign w:val="bottom"/>
            <w:gridSpan w:val="2"/>
          </w:tcPr>
          <w:p>
            <w:pPr>
              <w:ind w:left="2860"/>
              <w:spacing w:after="0"/>
              <w:rPr>
                <w:sz w:val="20"/>
                <w:szCs w:val="20"/>
                <w:color w:val="auto"/>
              </w:rPr>
            </w:pPr>
            <w:r>
              <w:rPr>
                <w:rFonts w:ascii="Arial" w:cs="Arial" w:eastAsia="Arial" w:hAnsi="Arial"/>
                <w:sz w:val="18"/>
                <w:szCs w:val="18"/>
                <w:color w:val="auto"/>
              </w:rPr>
              <w:t>Title:</w:t>
            </w:r>
          </w:p>
        </w:tc>
        <w:tc>
          <w:tcPr>
            <w:tcW w:w="332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700" w:type="dxa"/>
            <w:vAlign w:val="bottom"/>
            <w:gridSpan w:val="2"/>
          </w:tcPr>
          <w:p>
            <w:pPr>
              <w:ind w:left="2400"/>
              <w:spacing w:after="0"/>
              <w:rPr>
                <w:sz w:val="20"/>
                <w:szCs w:val="20"/>
                <w:color w:val="auto"/>
              </w:rPr>
            </w:pPr>
            <w:r>
              <w:rPr>
                <w:rFonts w:ascii="Arial" w:cs="Arial" w:eastAsia="Arial" w:hAnsi="Arial"/>
                <w:sz w:val="18"/>
                <w:szCs w:val="18"/>
                <w:color w:val="auto"/>
              </w:rPr>
              <w:t>By:</w:t>
            </w:r>
          </w:p>
        </w:tc>
        <w:tc>
          <w:tcPr>
            <w:tcW w:w="332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700" w:type="dxa"/>
            <w:vAlign w:val="bottom"/>
            <w:gridSpan w:val="2"/>
          </w:tcPr>
          <w:p>
            <w:pPr>
              <w:ind w:left="2860"/>
              <w:spacing w:after="0"/>
              <w:rPr>
                <w:sz w:val="20"/>
                <w:szCs w:val="20"/>
                <w:color w:val="auto"/>
              </w:rPr>
            </w:pPr>
            <w:r>
              <w:rPr>
                <w:rFonts w:ascii="Arial" w:cs="Arial" w:eastAsia="Arial" w:hAnsi="Arial"/>
                <w:sz w:val="18"/>
                <w:szCs w:val="18"/>
                <w:color w:val="auto"/>
              </w:rPr>
              <w:t>Name:</w:t>
            </w:r>
          </w:p>
        </w:tc>
        <w:tc>
          <w:tcPr>
            <w:tcW w:w="332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700" w:type="dxa"/>
            <w:vAlign w:val="bottom"/>
            <w:gridSpan w:val="2"/>
          </w:tcPr>
          <w:p>
            <w:pPr>
              <w:ind w:left="2860"/>
              <w:spacing w:after="0"/>
              <w:rPr>
                <w:sz w:val="20"/>
                <w:szCs w:val="20"/>
                <w:color w:val="auto"/>
              </w:rPr>
            </w:pPr>
            <w:r>
              <w:rPr>
                <w:rFonts w:ascii="Arial" w:cs="Arial" w:eastAsia="Arial" w:hAnsi="Arial"/>
                <w:sz w:val="18"/>
                <w:szCs w:val="18"/>
                <w:color w:val="auto"/>
              </w:rPr>
              <w:t>Title:</w:t>
            </w:r>
          </w:p>
        </w:tc>
        <w:tc>
          <w:tcPr>
            <w:tcW w:w="3320" w:type="dxa"/>
            <w:vAlign w:val="bottom"/>
          </w:tcPr>
          <w:p>
            <w:pPr>
              <w:spacing w:after="0"/>
              <w:rPr>
                <w:sz w:val="20"/>
                <w:szCs w:val="20"/>
                <w:color w:val="auto"/>
              </w:rPr>
            </w:pPr>
          </w:p>
        </w:tc>
      </w:tr>
      <w:tr>
        <w:trPr>
          <w:trHeight w:val="418"/>
        </w:trPr>
        <w:tc>
          <w:tcPr>
            <w:tcW w:w="8120" w:type="dxa"/>
            <w:vAlign w:val="bottom"/>
            <w:gridSpan w:val="4"/>
          </w:tcPr>
          <w:p>
            <w:pPr>
              <w:spacing w:after="0"/>
              <w:rPr>
                <w:sz w:val="20"/>
                <w:szCs w:val="20"/>
                <w:color w:val="auto"/>
              </w:rPr>
            </w:pPr>
            <w:r>
              <w:rPr>
                <w:rFonts w:ascii="Arial" w:cs="Arial" w:eastAsia="Arial" w:hAnsi="Arial"/>
                <w:sz w:val="18"/>
                <w:szCs w:val="18"/>
                <w:color w:val="auto"/>
              </w:rPr>
              <w:t>This is one of the Notes referred to</w:t>
            </w:r>
          </w:p>
        </w:tc>
        <w:tc>
          <w:tcPr>
            <w:tcW w:w="3320" w:type="dxa"/>
            <w:vAlign w:val="bottom"/>
          </w:tcPr>
          <w:p>
            <w:pPr>
              <w:spacing w:after="0"/>
              <w:rPr>
                <w:sz w:val="24"/>
                <w:szCs w:val="24"/>
                <w:color w:val="auto"/>
              </w:rPr>
            </w:pPr>
          </w:p>
        </w:tc>
      </w:tr>
      <w:tr>
        <w:trPr>
          <w:trHeight w:val="230"/>
        </w:trPr>
        <w:tc>
          <w:tcPr>
            <w:tcW w:w="8120" w:type="dxa"/>
            <w:vAlign w:val="bottom"/>
            <w:gridSpan w:val="4"/>
          </w:tcPr>
          <w:p>
            <w:pPr>
              <w:spacing w:after="0"/>
              <w:rPr>
                <w:sz w:val="20"/>
                <w:szCs w:val="20"/>
                <w:color w:val="auto"/>
              </w:rPr>
            </w:pPr>
            <w:r>
              <w:rPr>
                <w:rFonts w:ascii="Arial" w:cs="Arial" w:eastAsia="Arial" w:hAnsi="Arial"/>
                <w:sz w:val="18"/>
                <w:szCs w:val="18"/>
                <w:color w:val="auto"/>
              </w:rPr>
              <w:t>in the within-mentioned Indenture:</w:t>
            </w:r>
          </w:p>
        </w:tc>
        <w:tc>
          <w:tcPr>
            <w:tcW w:w="3320" w:type="dxa"/>
            <w:vAlign w:val="bottom"/>
          </w:tcPr>
          <w:p>
            <w:pPr>
              <w:spacing w:after="0"/>
              <w:rPr>
                <w:sz w:val="20"/>
                <w:szCs w:val="20"/>
                <w:color w:val="auto"/>
              </w:rPr>
            </w:pPr>
          </w:p>
        </w:tc>
      </w:tr>
      <w:tr>
        <w:trPr>
          <w:trHeight w:val="445"/>
        </w:trPr>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w:t>
            </w:r>
          </w:p>
        </w:tc>
        <w:tc>
          <w:tcPr>
            <w:tcW w:w="3320" w:type="dxa"/>
            <w:vAlign w:val="bottom"/>
          </w:tcPr>
          <w:p>
            <w:pPr>
              <w:spacing w:after="0"/>
              <w:rPr>
                <w:sz w:val="24"/>
                <w:szCs w:val="24"/>
                <w:color w:val="auto"/>
              </w:rPr>
            </w:pPr>
          </w:p>
        </w:tc>
      </w:tr>
      <w:tr>
        <w:trPr>
          <w:trHeight w:val="230"/>
        </w:trPr>
        <w:tc>
          <w:tcPr>
            <w:tcW w:w="8120" w:type="dxa"/>
            <w:vAlign w:val="bottom"/>
            <w:gridSpan w:val="4"/>
          </w:tcPr>
          <w:p>
            <w:pPr>
              <w:spacing w:after="0"/>
              <w:rPr>
                <w:sz w:val="20"/>
                <w:szCs w:val="20"/>
                <w:color w:val="auto"/>
              </w:rPr>
            </w:pPr>
            <w:r>
              <w:rPr>
                <w:rFonts w:ascii="Arial" w:cs="Arial" w:eastAsia="Arial" w:hAnsi="Arial"/>
                <w:sz w:val="18"/>
                <w:szCs w:val="18"/>
                <w:color w:val="auto"/>
              </w:rPr>
              <w:t>as Trustee</w:t>
            </w:r>
          </w:p>
        </w:tc>
        <w:tc>
          <w:tcPr>
            <w:tcW w:w="3320" w:type="dxa"/>
            <w:vAlign w:val="bottom"/>
          </w:tcPr>
          <w:p>
            <w:pPr>
              <w:spacing w:after="0"/>
              <w:rPr>
                <w:sz w:val="20"/>
                <w:szCs w:val="20"/>
                <w:color w:val="auto"/>
              </w:rPr>
            </w:pPr>
          </w:p>
        </w:tc>
      </w:tr>
      <w:tr>
        <w:trPr>
          <w:trHeight w:val="466"/>
        </w:trPr>
        <w:tc>
          <w:tcPr>
            <w:tcW w:w="8120" w:type="dxa"/>
            <w:vAlign w:val="bottom"/>
            <w:gridSpan w:val="4"/>
          </w:tcPr>
          <w:p>
            <w:pPr>
              <w:spacing w:after="0"/>
              <w:rPr>
                <w:sz w:val="20"/>
                <w:szCs w:val="20"/>
                <w:color w:val="auto"/>
              </w:rPr>
            </w:pPr>
            <w:r>
              <w:rPr>
                <w:rFonts w:ascii="Arial" w:cs="Arial" w:eastAsia="Arial" w:hAnsi="Arial"/>
                <w:sz w:val="18"/>
                <w:szCs w:val="18"/>
                <w:color w:val="auto"/>
              </w:rPr>
              <w:t>By:</w:t>
            </w:r>
          </w:p>
        </w:tc>
        <w:tc>
          <w:tcPr>
            <w:tcW w:w="332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5700" w:type="dxa"/>
            <w:vAlign w:val="bottom"/>
            <w:gridSpan w:val="2"/>
          </w:tcPr>
          <w:p>
            <w:pPr>
              <w:spacing w:after="0"/>
              <w:rPr>
                <w:sz w:val="20"/>
                <w:szCs w:val="20"/>
                <w:color w:val="auto"/>
              </w:rPr>
            </w:pPr>
          </w:p>
        </w:tc>
        <w:tc>
          <w:tcPr>
            <w:tcW w:w="3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-8271510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-8271510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747" w:right="219" w:bottom="633" w:gutter="0" w:footer="0" w:header="0"/>
        </w:sectPr>
      </w:pPr>
    </w:p>
    <w:bookmarkStart w:id="172" w:name="page173"/>
    <w:bookmarkEnd w:id="172"/>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558800</wp:posOffset>
            </wp:positionV>
            <wp:extent cx="726757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t>[Back of Regulation S Temporary Global Note]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r>
        <w:rPr>
          <w:rFonts w:ascii="Arial" w:cs="Arial" w:eastAsia="Arial" w:hAnsi="Arial"/>
          <w:sz w:val="30"/>
          <w:szCs w:val="30"/>
          <w:color w:val="auto"/>
          <w:vertAlign w:val="superscript"/>
        </w:rPr>
        <w:t>7</w:t>
      </w:r>
      <w:r>
        <w:rPr>
          <w:rFonts w:ascii="Arial" w:cs="Arial" w:eastAsia="Arial" w:hAnsi="Arial"/>
          <w:sz w:val="22"/>
          <w:szCs w:val="22"/>
          <w:color w:val="auto"/>
        </w:rPr>
        <w:t>/</w:t>
      </w:r>
      <w:r>
        <w:rPr>
          <w:rFonts w:ascii="Arial" w:cs="Arial" w:eastAsia="Arial" w:hAnsi="Arial"/>
          <w:sz w:val="30"/>
          <w:szCs w:val="30"/>
          <w:color w:val="auto"/>
          <w:vertAlign w:val="subscript"/>
        </w:rPr>
        <w:t>8</w:t>
      </w:r>
      <w:r>
        <w:rPr>
          <w:rFonts w:ascii="Arial" w:cs="Arial" w:eastAsia="Arial" w:hAnsi="Arial"/>
          <w:sz w:val="22"/>
          <w:szCs w:val="22"/>
          <w:color w:val="auto"/>
        </w:rPr>
        <w:t>% [Series A] [Series B] First Mortgage Notes due 2020</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Private Placement Legend, if applicable, pursuant to Section 2.06(g)(1) of the Indenture</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Global Notes Legend, if applicable, pursuant to Section 2.06(g)(2) of the Indenture</w:t>
      </w:r>
      <w:r>
        <w:rPr>
          <w:rFonts w:ascii="Arial" w:cs="Arial" w:eastAsia="Arial" w:hAnsi="Arial"/>
          <w:sz w:val="22"/>
          <w:szCs w:val="22"/>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Regulation S Temporary Global Note Legend pursuant to Section 2.06(g)(3) of the Indenture</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Capitalized terms used herein have the meanings assigned to them in the Indenture referred to below unless otherwise indicated.</w:t>
      </w:r>
    </w:p>
    <w:p>
      <w:pPr>
        <w:spacing w:after="0" w:line="200" w:lineRule="exact"/>
        <w:rPr>
          <w:sz w:val="20"/>
          <w:szCs w:val="20"/>
          <w:color w:val="auto"/>
        </w:rPr>
      </w:pPr>
    </w:p>
    <w:p>
      <w:pPr>
        <w:jc w:val="both"/>
        <w:ind w:firstLine="1305"/>
        <w:spacing w:after="0" w:line="266" w:lineRule="auto"/>
        <w:tabs>
          <w:tab w:leader="none" w:pos="2237" w:val="left"/>
        </w:tabs>
        <w:numPr>
          <w:ilvl w:val="0"/>
          <w:numId w:val="234"/>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and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as joint and several obligors, promise to pay interest on the principal amount of this Note at 7</w:t>
      </w:r>
      <w:r>
        <w:rPr>
          <w:rFonts w:ascii="Arial" w:cs="Arial" w:eastAsia="Arial" w:hAnsi="Arial"/>
          <w:sz w:val="26"/>
          <w:szCs w:val="26"/>
          <w:color w:val="auto"/>
          <w:vertAlign w:val="superscript"/>
        </w:rPr>
        <w:t>7</w:t>
      </w:r>
      <w:r>
        <w:rPr>
          <w:rFonts w:ascii="Arial" w:cs="Arial" w:eastAsia="Arial" w:hAnsi="Arial"/>
          <w:sz w:val="19"/>
          <w:szCs w:val="19"/>
          <w:color w:val="auto"/>
        </w:rPr>
        <w:t>/</w:t>
      </w:r>
      <w:r>
        <w:rPr>
          <w:rFonts w:ascii="Arial" w:cs="Arial" w:eastAsia="Arial" w:hAnsi="Arial"/>
          <w:sz w:val="26"/>
          <w:szCs w:val="26"/>
          <w:color w:val="auto"/>
          <w:vertAlign w:val="subscript"/>
        </w:rPr>
        <w:t>8</w:t>
      </w:r>
      <w:r>
        <w:rPr>
          <w:rFonts w:ascii="Arial" w:cs="Arial" w:eastAsia="Arial" w:hAnsi="Arial"/>
          <w:sz w:val="19"/>
          <w:szCs w:val="19"/>
          <w:color w:val="auto"/>
        </w:rPr>
        <w:t>% per annum from April 28, 2010 until maturity and shall pay the Liquidated Damages, if any, payable pursuant to Section 5 of the Registration Rights Agreement referred to below. The Issuers shall pay interest and Liquidated Damages, if any, semi-annually in arrears on May 1 and November 1 of each year, or if any such day is not a Business Day, on the next succeeding Business Day (each, an “</w:t>
      </w:r>
      <w:r>
        <w:rPr>
          <w:rFonts w:ascii="Arial" w:cs="Arial" w:eastAsia="Arial" w:hAnsi="Arial"/>
          <w:sz w:val="19"/>
          <w:szCs w:val="19"/>
          <w:i w:val="1"/>
          <w:iCs w:val="1"/>
          <w:u w:val="single" w:color="auto"/>
          <w:color w:val="auto"/>
        </w:rPr>
        <w:t>Interest Payment Date</w:t>
      </w:r>
      <w:r>
        <w:rPr>
          <w:rFonts w:ascii="Arial" w:cs="Arial" w:eastAsia="Arial" w:hAnsi="Arial"/>
          <w:sz w:val="19"/>
          <w:szCs w:val="19"/>
          <w:color w:val="auto"/>
        </w:rPr>
        <w:t xml:space="preserve">”). Interest on the Notes shall accrue from the most recent date to which interest has been paid or, if no interest has been paid, from the date of issuance;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there is no existing Default in the payment of interest, and if this Note is authenticated between a record date referred to on the face hereof and the next succeeding Interest Payment Date, interest s hall accrue from such next succeeding Interest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first Interest Payment Date shall be November 1, 2010. The Issuers shall pay interest (including post-petition 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and Liquidated Damages, if any, (without regard to any applicable grace periods) from time to time on demand at the same rate to the extent lawful. Interest shall be computed on the basis of a 360-day year of twelve 30-day months.</w:t>
      </w:r>
    </w:p>
    <w:p>
      <w:pPr>
        <w:spacing w:after="0" w:line="19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Until this Regulation S Temporary Global Note is exchanged for one or more Regulation S Permanent Global Notes, the Holder hereof shall not be entitled to receive payments of interest hereon; until so exchanged in full, this Regulation S Temporary Global Note shall in all other respects be entitled to the same benefits as other Notes under the Indenture.</w:t>
      </w:r>
    </w:p>
    <w:p>
      <w:pPr>
        <w:spacing w:after="0" w:line="161" w:lineRule="exact"/>
        <w:rPr>
          <w:sz w:val="20"/>
          <w:szCs w:val="20"/>
          <w:color w:val="auto"/>
        </w:rPr>
      </w:pPr>
    </w:p>
    <w:p>
      <w:pPr>
        <w:jc w:val="both"/>
        <w:ind w:firstLine="1305"/>
        <w:spacing w:after="0" w:line="236" w:lineRule="auto"/>
        <w:tabs>
          <w:tab w:leader="none" w:pos="2170" w:val="left"/>
        </w:tabs>
        <w:numPr>
          <w:ilvl w:val="0"/>
          <w:numId w:val="235"/>
        </w:numPr>
        <w:rPr>
          <w:rFonts w:ascii="Arial" w:cs="Arial" w:eastAsia="Arial" w:hAnsi="Arial"/>
          <w:sz w:val="22"/>
          <w:szCs w:val="22"/>
          <w:color w:val="auto"/>
        </w:rPr>
      </w:pPr>
      <w:r>
        <w:rPr>
          <w:rFonts w:ascii="Arial" w:cs="Arial" w:eastAsia="Arial" w:hAnsi="Arial"/>
          <w:sz w:val="22"/>
          <w:szCs w:val="22"/>
          <w:i w:val="1"/>
          <w:iCs w:val="1"/>
          <w:color w:val="auto"/>
        </w:rPr>
        <w:t>Method of Payment</w:t>
      </w:r>
      <w:r>
        <w:rPr>
          <w:rFonts w:ascii="Arial" w:cs="Arial" w:eastAsia="Arial" w:hAnsi="Arial"/>
          <w:sz w:val="22"/>
          <w:szCs w:val="22"/>
          <w:color w:val="auto"/>
        </w:rPr>
        <w:t>. The Issuers shall pay interest on the Notes (except defaulted interest) and Liquidated</w:t>
      </w:r>
      <w:r>
        <w:rPr>
          <w:rFonts w:ascii="Arial" w:cs="Arial" w:eastAsia="Arial" w:hAnsi="Arial"/>
          <w:sz w:val="22"/>
          <w:szCs w:val="22"/>
          <w:i w:val="1"/>
          <w:iCs w:val="1"/>
          <w:color w:val="auto"/>
        </w:rPr>
        <w:t xml:space="preserve"> </w:t>
      </w:r>
      <w:r>
        <w:rPr>
          <w:rFonts w:ascii="Arial" w:cs="Arial" w:eastAsia="Arial" w:hAnsi="Arial"/>
          <w:sz w:val="22"/>
          <w:szCs w:val="22"/>
          <w:color w:val="auto"/>
        </w:rPr>
        <w:t>Damages, if any, to the Persons who are registered Holders of Notes at the close of business on the October 15 or April 15 next preceding the Interest Payment Date, even if such Notes are canceled after such record date and on or before such Interest Payment Date, except as provided in Section 2.12 of the Indenture with respect to defaulted interest. The Notes shall be payable as to principal, premium and Liquidated Damages, if 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6" w:right="239" w:bottom="1440" w:gutter="0" w:footer="0" w:header="0"/>
        </w:sectPr>
      </w:pPr>
    </w:p>
    <w:bookmarkStart w:id="173" w:name="page174"/>
    <w:bookmarkEnd w:id="173"/>
    <w:p>
      <w:pPr>
        <w:jc w:val="both"/>
        <w:spacing w:after="0" w:line="234" w:lineRule="auto"/>
        <w:rPr>
          <w:sz w:val="20"/>
          <w:szCs w:val="20"/>
          <w:color w:val="auto"/>
        </w:rPr>
      </w:pPr>
      <w:r>
        <w:rPr>
          <w:rFonts w:ascii="Arial" w:cs="Arial" w:eastAsia="Arial" w:hAnsi="Arial"/>
          <w:sz w:val="22"/>
          <w:szCs w:val="22"/>
          <w:color w:val="auto"/>
        </w:rPr>
        <w:t xml:space="preserve">and interest at the office or agency of the Issuers maintained for such purpose within or without the City and State of New York, or, at the option of the Issuers, payment of interest and Liquidated Damages, if any, may be made by check mailed to the Holders at their addresses set forth in the register of Holders;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payment by wire transfer of immediately available funds shall be required with respect to principal of and interest, premium and Liquidated Damages,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 ic and private debts.</w:t>
      </w:r>
    </w:p>
    <w:p>
      <w:pPr>
        <w:spacing w:after="0" w:line="218" w:lineRule="exact"/>
        <w:rPr>
          <w:sz w:val="20"/>
          <w:szCs w:val="20"/>
          <w:color w:val="auto"/>
        </w:rPr>
      </w:pPr>
    </w:p>
    <w:p>
      <w:pPr>
        <w:jc w:val="both"/>
        <w:ind w:firstLine="1305"/>
        <w:spacing w:after="0"/>
        <w:tabs>
          <w:tab w:leader="none" w:pos="2264" w:val="left"/>
        </w:tabs>
        <w:numPr>
          <w:ilvl w:val="0"/>
          <w:numId w:val="236"/>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r>
        <w:rPr>
          <w:rFonts w:ascii="Arial" w:cs="Arial" w:eastAsia="Arial" w:hAnsi="Arial"/>
          <w:sz w:val="22"/>
          <w:szCs w:val="22"/>
          <w:color w:val="auto"/>
        </w:rPr>
        <w:t>. Initially, U.S. Bank National Association, the Trustee under the Indenture,</w:t>
      </w:r>
      <w:r>
        <w:rPr>
          <w:rFonts w:ascii="Arial" w:cs="Arial" w:eastAsia="Arial" w:hAnsi="Arial"/>
          <w:sz w:val="22"/>
          <w:szCs w:val="22"/>
          <w:i w:val="1"/>
          <w:iCs w:val="1"/>
          <w:color w:val="auto"/>
        </w:rPr>
        <w:t xml:space="preserve"> </w:t>
      </w:r>
      <w:r>
        <w:rPr>
          <w:rFonts w:ascii="Arial" w:cs="Arial" w:eastAsia="Arial" w:hAnsi="Arial"/>
          <w:sz w:val="22"/>
          <w:szCs w:val="22"/>
          <w:color w:val="auto"/>
        </w:rPr>
        <w:t>shall act as Paying Agent and Registrar. The Issuers may change any Paying Agent or Registrar without notice to any Holder. Either Issuer or any of their Restricted Subsidiaries may act in any such capacity.</w:t>
      </w:r>
    </w:p>
    <w:p>
      <w:pPr>
        <w:spacing w:after="0" w:line="213" w:lineRule="exact"/>
        <w:rPr>
          <w:rFonts w:ascii="Arial" w:cs="Arial" w:eastAsia="Arial" w:hAnsi="Arial"/>
          <w:sz w:val="22"/>
          <w:szCs w:val="22"/>
          <w:color w:val="auto"/>
        </w:rPr>
      </w:pPr>
    </w:p>
    <w:p>
      <w:pPr>
        <w:jc w:val="both"/>
        <w:ind w:firstLine="1305"/>
        <w:spacing w:after="0" w:line="273" w:lineRule="auto"/>
        <w:tabs>
          <w:tab w:leader="none" w:pos="2251" w:val="left"/>
        </w:tabs>
        <w:numPr>
          <w:ilvl w:val="0"/>
          <w:numId w:val="236"/>
        </w:numPr>
        <w:rPr>
          <w:rFonts w:ascii="Arial" w:cs="Arial" w:eastAsia="Arial" w:hAnsi="Arial"/>
          <w:sz w:val="19"/>
          <w:szCs w:val="19"/>
          <w:color w:val="auto"/>
        </w:rPr>
      </w:pPr>
      <w:r>
        <w:rPr>
          <w:rFonts w:ascii="Arial" w:cs="Arial" w:eastAsia="Arial" w:hAnsi="Arial"/>
          <w:sz w:val="19"/>
          <w:szCs w:val="19"/>
          <w:i w:val="1"/>
          <w:iCs w:val="1"/>
          <w:color w:val="auto"/>
        </w:rPr>
        <w:t>Indenture and Collateral Documents</w:t>
      </w:r>
      <w:r>
        <w:rPr>
          <w:rFonts w:ascii="Arial" w:cs="Arial" w:eastAsia="Arial" w:hAnsi="Arial"/>
          <w:sz w:val="19"/>
          <w:szCs w:val="19"/>
          <w:color w:val="auto"/>
        </w:rPr>
        <w:t>. The Issuers issued the Notes under an Indenture dated as of April</w:t>
      </w:r>
      <w:r>
        <w:rPr>
          <w:rFonts w:ascii="Arial" w:cs="Arial" w:eastAsia="Arial" w:hAnsi="Arial"/>
          <w:sz w:val="19"/>
          <w:szCs w:val="19"/>
          <w:i w:val="1"/>
          <w:iCs w:val="1"/>
          <w:color w:val="auto"/>
        </w:rPr>
        <w:t xml:space="preserve"> </w:t>
      </w:r>
      <w:r>
        <w:rPr>
          <w:rFonts w:ascii="Arial" w:cs="Arial" w:eastAsia="Arial" w:hAnsi="Arial"/>
          <w:sz w:val="19"/>
          <w:szCs w:val="19"/>
          <w:color w:val="auto"/>
        </w:rPr>
        <w:t>28, 2010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the Issuers, the Guarantors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 ss provisions of the Indenture, the provisions of the Indenture shall govern and be controlling. The Notes are secured obligations of the Issuers. The Notes and the Note Guarantees are secured by a grant of a security interest in Collateral pursuant to the Collateral Documents referred to in the Indenture. The Indenture does not limit the aggregate principal amount of Notes that may be issued thereunder. Notes (other than Exchange Notes) issued after the date of the Indenture in compliance with the applicable requirements of the Indenture are referred to as “</w:t>
      </w:r>
      <w:r>
        <w:rPr>
          <w:rFonts w:ascii="Arial" w:cs="Arial" w:eastAsia="Arial" w:hAnsi="Arial"/>
          <w:sz w:val="19"/>
          <w:szCs w:val="19"/>
          <w:i w:val="1"/>
          <w:iCs w:val="1"/>
          <w:u w:val="single" w:color="auto"/>
          <w:color w:val="auto"/>
        </w:rPr>
        <w:t>Additional Notes</w:t>
      </w:r>
      <w:r>
        <w:rPr>
          <w:rFonts w:ascii="Arial" w:cs="Arial" w:eastAsia="Arial" w:hAnsi="Arial"/>
          <w:sz w:val="19"/>
          <w:szCs w:val="19"/>
          <w:color w:val="auto"/>
        </w:rPr>
        <w:t>.” The term “</w:t>
      </w:r>
      <w:r>
        <w:rPr>
          <w:rFonts w:ascii="Arial" w:cs="Arial" w:eastAsia="Arial" w:hAnsi="Arial"/>
          <w:sz w:val="19"/>
          <w:szCs w:val="19"/>
          <w:i w:val="1"/>
          <w:iCs w:val="1"/>
          <w:u w:val="single" w:color="auto"/>
          <w:color w:val="auto"/>
        </w:rPr>
        <w:t>Notes</w:t>
      </w:r>
      <w:r>
        <w:rPr>
          <w:rFonts w:ascii="Arial" w:cs="Arial" w:eastAsia="Arial" w:hAnsi="Arial"/>
          <w:sz w:val="19"/>
          <w:szCs w:val="19"/>
          <w:color w:val="auto"/>
        </w:rPr>
        <w:t>” includes any Additional Notes hereafter issued.</w:t>
      </w:r>
    </w:p>
    <w:p>
      <w:pPr>
        <w:spacing w:after="0" w:line="188" w:lineRule="exact"/>
        <w:rPr>
          <w:rFonts w:ascii="Arial" w:cs="Arial" w:eastAsia="Arial" w:hAnsi="Arial"/>
          <w:sz w:val="19"/>
          <w:szCs w:val="19"/>
          <w:color w:val="auto"/>
        </w:rPr>
      </w:pPr>
    </w:p>
    <w:p>
      <w:pPr>
        <w:ind w:left="2160" w:hanging="855"/>
        <w:spacing w:after="0"/>
        <w:tabs>
          <w:tab w:leader="none" w:pos="2160" w:val="left"/>
        </w:tabs>
        <w:numPr>
          <w:ilvl w:val="0"/>
          <w:numId w:val="236"/>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82" w:lineRule="auto"/>
        <w:tabs>
          <w:tab w:leader="none" w:pos="2840" w:val="left"/>
        </w:tabs>
        <w:numPr>
          <w:ilvl w:val="1"/>
          <w:numId w:val="236"/>
        </w:numPr>
        <w:rPr>
          <w:rFonts w:ascii="Arial" w:cs="Arial" w:eastAsia="Arial" w:hAnsi="Arial"/>
          <w:sz w:val="19"/>
          <w:szCs w:val="19"/>
          <w:color w:val="auto"/>
        </w:rPr>
      </w:pPr>
      <w:r>
        <w:rPr>
          <w:rFonts w:ascii="Arial" w:cs="Arial" w:eastAsia="Arial" w:hAnsi="Arial"/>
          <w:sz w:val="19"/>
          <w:szCs w:val="19"/>
          <w:color w:val="auto"/>
        </w:rPr>
        <w:t>Except as set forth in subparagraph (b) of this Paragraph 5, the Issuers shall not have the option to redeem the Notes prior to May 1, 2015. On or after May 1, 2015, the Issuers shall have the option to redeem the Notes, in whole or in part,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May 1 of the years indicated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60" w:type="dxa"/>
            <w:vAlign w:val="bottom"/>
          </w:tcPr>
          <w:p>
            <w:pPr>
              <w:ind w:left="2820"/>
              <w:spacing w:after="0"/>
              <w:rPr>
                <w:sz w:val="20"/>
                <w:szCs w:val="20"/>
                <w:color w:val="auto"/>
              </w:rPr>
            </w:pPr>
            <w:r>
              <w:rPr>
                <w:rFonts w:ascii="Arial" w:cs="Arial" w:eastAsia="Arial" w:hAnsi="Arial"/>
                <w:sz w:val="22"/>
                <w:szCs w:val="22"/>
                <w:b w:val="1"/>
                <w:bCs w:val="1"/>
                <w:color w:val="auto"/>
              </w:rPr>
              <w:t>Year</w:t>
            </w:r>
          </w:p>
        </w:tc>
        <w:tc>
          <w:tcPr>
            <w:tcW w:w="7060" w:type="dxa"/>
            <w:vAlign w:val="bottom"/>
          </w:tcPr>
          <w:p>
            <w:pPr>
              <w:jc w:val="center"/>
              <w:ind w:left="573"/>
              <w:spacing w:after="0"/>
              <w:rPr>
                <w:sz w:val="20"/>
                <w:szCs w:val="20"/>
                <w:color w:val="auto"/>
              </w:rPr>
            </w:pPr>
            <w:r>
              <w:rPr>
                <w:rFonts w:ascii="Arial" w:cs="Arial" w:eastAsia="Arial" w:hAnsi="Arial"/>
                <w:sz w:val="22"/>
                <w:szCs w:val="22"/>
                <w:b w:val="1"/>
                <w:bCs w:val="1"/>
                <w:color w:val="auto"/>
                <w:w w:val="85"/>
              </w:rPr>
              <w:t>Percentage</w:t>
            </w:r>
          </w:p>
        </w:tc>
      </w:tr>
      <w:tr>
        <w:trPr>
          <w:trHeight w:val="243"/>
        </w:trPr>
        <w:tc>
          <w:tcPr>
            <w:tcW w:w="4360" w:type="dxa"/>
            <w:vAlign w:val="bottom"/>
          </w:tcPr>
          <w:p>
            <w:pPr>
              <w:ind w:left="1040"/>
              <w:spacing w:after="0" w:line="243" w:lineRule="exact"/>
              <w:rPr>
                <w:sz w:val="20"/>
                <w:szCs w:val="20"/>
                <w:color w:val="auto"/>
              </w:rPr>
            </w:pPr>
            <w:r>
              <w:rPr>
                <w:rFonts w:ascii="Arial" w:cs="Arial" w:eastAsia="Arial" w:hAnsi="Arial"/>
                <w:sz w:val="22"/>
                <w:szCs w:val="22"/>
                <w:color w:val="auto"/>
              </w:rPr>
              <w:t>2015</w:t>
            </w:r>
          </w:p>
        </w:tc>
        <w:tc>
          <w:tcPr>
            <w:tcW w:w="7060" w:type="dxa"/>
            <w:vAlign w:val="bottom"/>
          </w:tcPr>
          <w:p>
            <w:pPr>
              <w:jc w:val="center"/>
              <w:ind w:left="553"/>
              <w:spacing w:after="0" w:line="243" w:lineRule="exact"/>
              <w:rPr>
                <w:sz w:val="20"/>
                <w:szCs w:val="20"/>
                <w:color w:val="auto"/>
              </w:rPr>
            </w:pPr>
            <w:r>
              <w:rPr>
                <w:rFonts w:ascii="Arial" w:cs="Arial" w:eastAsia="Arial" w:hAnsi="Arial"/>
                <w:sz w:val="22"/>
                <w:szCs w:val="22"/>
                <w:color w:val="auto"/>
                <w:w w:val="88"/>
              </w:rPr>
              <w:t>103.938%</w:t>
            </w:r>
          </w:p>
        </w:tc>
      </w:tr>
      <w:tr>
        <w:trPr>
          <w:trHeight w:val="243"/>
        </w:trPr>
        <w:tc>
          <w:tcPr>
            <w:tcW w:w="4360" w:type="dxa"/>
            <w:vAlign w:val="bottom"/>
          </w:tcPr>
          <w:p>
            <w:pPr>
              <w:ind w:left="1040"/>
              <w:spacing w:after="0" w:line="243" w:lineRule="exact"/>
              <w:rPr>
                <w:sz w:val="20"/>
                <w:szCs w:val="20"/>
                <w:color w:val="auto"/>
              </w:rPr>
            </w:pPr>
            <w:r>
              <w:rPr>
                <w:rFonts w:ascii="Arial" w:cs="Arial" w:eastAsia="Arial" w:hAnsi="Arial"/>
                <w:sz w:val="22"/>
                <w:szCs w:val="22"/>
                <w:color w:val="auto"/>
              </w:rPr>
              <w:t>2016</w:t>
            </w:r>
          </w:p>
        </w:tc>
        <w:tc>
          <w:tcPr>
            <w:tcW w:w="7060" w:type="dxa"/>
            <w:vAlign w:val="bottom"/>
          </w:tcPr>
          <w:p>
            <w:pPr>
              <w:jc w:val="center"/>
              <w:ind w:left="553"/>
              <w:spacing w:after="0" w:line="243" w:lineRule="exact"/>
              <w:rPr>
                <w:sz w:val="20"/>
                <w:szCs w:val="20"/>
                <w:color w:val="auto"/>
              </w:rPr>
            </w:pPr>
            <w:r>
              <w:rPr>
                <w:rFonts w:ascii="Arial" w:cs="Arial" w:eastAsia="Arial" w:hAnsi="Arial"/>
                <w:sz w:val="22"/>
                <w:szCs w:val="22"/>
                <w:color w:val="auto"/>
                <w:w w:val="88"/>
              </w:rPr>
              <w:t>102.625%</w:t>
            </w:r>
          </w:p>
        </w:tc>
      </w:tr>
      <w:tr>
        <w:trPr>
          <w:trHeight w:val="243"/>
        </w:trPr>
        <w:tc>
          <w:tcPr>
            <w:tcW w:w="4360" w:type="dxa"/>
            <w:vAlign w:val="bottom"/>
          </w:tcPr>
          <w:p>
            <w:pPr>
              <w:ind w:left="1040"/>
              <w:spacing w:after="0" w:line="243" w:lineRule="exact"/>
              <w:rPr>
                <w:sz w:val="20"/>
                <w:szCs w:val="20"/>
                <w:color w:val="auto"/>
              </w:rPr>
            </w:pPr>
            <w:r>
              <w:rPr>
                <w:rFonts w:ascii="Arial" w:cs="Arial" w:eastAsia="Arial" w:hAnsi="Arial"/>
                <w:sz w:val="22"/>
                <w:szCs w:val="22"/>
                <w:color w:val="auto"/>
              </w:rPr>
              <w:t>2017</w:t>
            </w:r>
          </w:p>
        </w:tc>
        <w:tc>
          <w:tcPr>
            <w:tcW w:w="7060" w:type="dxa"/>
            <w:vAlign w:val="bottom"/>
          </w:tcPr>
          <w:p>
            <w:pPr>
              <w:jc w:val="center"/>
              <w:ind w:left="553"/>
              <w:spacing w:after="0" w:line="243" w:lineRule="exact"/>
              <w:rPr>
                <w:sz w:val="20"/>
                <w:szCs w:val="20"/>
                <w:color w:val="auto"/>
              </w:rPr>
            </w:pPr>
            <w:r>
              <w:rPr>
                <w:rFonts w:ascii="Arial" w:cs="Arial" w:eastAsia="Arial" w:hAnsi="Arial"/>
                <w:sz w:val="22"/>
                <w:szCs w:val="22"/>
                <w:color w:val="auto"/>
                <w:w w:val="88"/>
              </w:rPr>
              <w:t>101.313%</w:t>
            </w:r>
          </w:p>
        </w:tc>
      </w:tr>
      <w:tr>
        <w:trPr>
          <w:trHeight w:val="275"/>
        </w:trPr>
        <w:tc>
          <w:tcPr>
            <w:tcW w:w="4360" w:type="dxa"/>
            <w:vAlign w:val="bottom"/>
          </w:tcPr>
          <w:p>
            <w:pPr>
              <w:ind w:left="1040"/>
              <w:spacing w:after="0"/>
              <w:rPr>
                <w:sz w:val="20"/>
                <w:szCs w:val="20"/>
                <w:color w:val="auto"/>
              </w:rPr>
            </w:pPr>
            <w:r>
              <w:rPr>
                <w:rFonts w:ascii="Arial" w:cs="Arial" w:eastAsia="Arial" w:hAnsi="Arial"/>
                <w:sz w:val="22"/>
                <w:szCs w:val="22"/>
                <w:color w:val="auto"/>
              </w:rPr>
              <w:t>2018 and thereafter</w:t>
            </w:r>
          </w:p>
        </w:tc>
        <w:tc>
          <w:tcPr>
            <w:tcW w:w="7060" w:type="dxa"/>
            <w:vAlign w:val="bottom"/>
          </w:tcPr>
          <w:p>
            <w:pPr>
              <w:jc w:val="center"/>
              <w:ind w:left="553"/>
              <w:spacing w:after="0"/>
              <w:rPr>
                <w:sz w:val="20"/>
                <w:szCs w:val="20"/>
                <w:color w:val="auto"/>
              </w:rPr>
            </w:pPr>
            <w:r>
              <w:rPr>
                <w:rFonts w:ascii="Arial" w:cs="Arial" w:eastAsia="Arial" w:hAnsi="Arial"/>
                <w:sz w:val="22"/>
                <w:szCs w:val="22"/>
                <w:color w:val="auto"/>
                <w:w w:val="88"/>
              </w:rPr>
              <w:t>100.000%</w:t>
            </w:r>
          </w:p>
        </w:tc>
      </w:tr>
      <w:tr>
        <w:trPr>
          <w:trHeight w:val="831"/>
        </w:trPr>
        <w:tc>
          <w:tcPr>
            <w:tcW w:w="4360" w:type="dxa"/>
            <w:vAlign w:val="bottom"/>
          </w:tcPr>
          <w:p>
            <w:pPr>
              <w:spacing w:after="0"/>
              <w:rPr>
                <w:sz w:val="24"/>
                <w:szCs w:val="24"/>
                <w:color w:val="auto"/>
              </w:rPr>
            </w:pPr>
          </w:p>
        </w:tc>
        <w:tc>
          <w:tcPr>
            <w:tcW w:w="7060" w:type="dxa"/>
            <w:vAlign w:val="bottom"/>
          </w:tcPr>
          <w:p>
            <w:pPr>
              <w:ind w:left="1120"/>
              <w:spacing w:after="0"/>
              <w:rPr>
                <w:sz w:val="20"/>
                <w:szCs w:val="20"/>
                <w:color w:val="auto"/>
              </w:rPr>
            </w:pPr>
            <w:r>
              <w:rPr>
                <w:rFonts w:ascii="Arial" w:cs="Arial" w:eastAsia="Arial" w:hAnsi="Arial"/>
                <w:sz w:val="20"/>
                <w:szCs w:val="20"/>
                <w:color w:val="auto"/>
              </w:rPr>
              <w:t>A-2-3</w:t>
            </w:r>
          </w:p>
        </w:tc>
      </w:tr>
      <w:tr>
        <w:trPr>
          <w:trHeight w:val="114"/>
        </w:trPr>
        <w:tc>
          <w:tcPr>
            <w:tcW w:w="4360" w:type="dxa"/>
            <w:vAlign w:val="bottom"/>
            <w:tcBorders>
              <w:bottom w:val="single" w:sz="8" w:color="808080"/>
            </w:tcBorders>
          </w:tcPr>
          <w:p>
            <w:pPr>
              <w:spacing w:after="0"/>
              <w:rPr>
                <w:sz w:val="9"/>
                <w:szCs w:val="9"/>
                <w:color w:val="auto"/>
              </w:rPr>
            </w:pPr>
          </w:p>
        </w:tc>
        <w:tc>
          <w:tcPr>
            <w:tcW w:w="70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74" w:name="page175"/>
    <w:bookmarkEnd w:id="174"/>
    <w:p>
      <w:pPr>
        <w:ind w:left="660" w:firstLine="1297"/>
        <w:spacing w:after="0" w:line="251" w:lineRule="auto"/>
        <w:rPr>
          <w:sz w:val="20"/>
          <w:szCs w:val="20"/>
          <w:color w:val="auto"/>
        </w:rPr>
      </w:pPr>
      <w:r>
        <w:rPr>
          <w:rFonts w:ascii="Arial" w:cs="Arial" w:eastAsia="Arial" w:hAnsi="Arial"/>
          <w:sz w:val="22"/>
          <w:szCs w:val="22"/>
          <w:color w:val="auto"/>
        </w:rPr>
        <w:t>Unless the Issuers defaults in the payment of the redemption price, interest shall cease to accrue on the Notes or portions thereof called for redemption on the applicable redemption date.</w:t>
      </w:r>
    </w:p>
    <w:p>
      <w:pPr>
        <w:spacing w:after="0" w:line="200" w:lineRule="exact"/>
        <w:rPr>
          <w:sz w:val="20"/>
          <w:szCs w:val="20"/>
          <w:color w:val="auto"/>
        </w:rPr>
      </w:pPr>
    </w:p>
    <w:p>
      <w:pPr>
        <w:jc w:val="both"/>
        <w:ind w:firstLine="2070"/>
        <w:spacing w:after="0" w:line="277" w:lineRule="auto"/>
        <w:tabs>
          <w:tab w:leader="none" w:pos="2962" w:val="left"/>
        </w:tabs>
        <w:numPr>
          <w:ilvl w:val="1"/>
          <w:numId w:val="237"/>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subparagraph (a) of this Paragraph 5, at any time prior to May 1, 2013, the Issuers may on one or more occasions redeem up to 35% of the aggregate principal amount of Notes with the net cash proceeds of one or more Qualified Equity Offerings of Wynn Resorts that are contributed to Wynn Las Vegas; at a redemption price equal to 107.875% of the principal amount redeemed, plus accrued and unpaid interest and Liquidated Damages, if any, thereon to the redemption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least 65% of the aggregate principal amount of the Notes issued under the Indenture (including Additional Notes) remain outstanding immediately after the occurrence of such redemption, and that such redemption occurs within 60 days of the date of the closing of such Qualified Equity Offering.</w:t>
      </w:r>
    </w:p>
    <w:p>
      <w:pPr>
        <w:spacing w:after="0" w:line="179" w:lineRule="exact"/>
        <w:rPr>
          <w:rFonts w:ascii="Arial" w:cs="Arial" w:eastAsia="Arial" w:hAnsi="Arial"/>
          <w:sz w:val="19"/>
          <w:szCs w:val="19"/>
          <w:color w:val="auto"/>
        </w:rPr>
      </w:pPr>
    </w:p>
    <w:p>
      <w:pPr>
        <w:ind w:right="20" w:firstLine="1305"/>
        <w:spacing w:after="0" w:line="251" w:lineRule="auto"/>
        <w:tabs>
          <w:tab w:leader="none" w:pos="2210" w:val="left"/>
        </w:tabs>
        <w:numPr>
          <w:ilvl w:val="0"/>
          <w:numId w:val="238"/>
        </w:numPr>
        <w:rPr>
          <w:rFonts w:ascii="Arial" w:cs="Arial" w:eastAsia="Arial" w:hAnsi="Arial"/>
          <w:sz w:val="22"/>
          <w:szCs w:val="22"/>
          <w:color w:val="auto"/>
        </w:rPr>
      </w:pPr>
      <w:r>
        <w:rPr>
          <w:rFonts w:ascii="Arial" w:cs="Arial" w:eastAsia="Arial" w:hAnsi="Arial"/>
          <w:sz w:val="22"/>
          <w:szCs w:val="22"/>
          <w:i w:val="1"/>
          <w:iCs w:val="1"/>
          <w:color w:val="auto"/>
        </w:rPr>
        <w:t>Mandatory Redemption</w:t>
      </w:r>
      <w:r>
        <w:rPr>
          <w:rFonts w:ascii="Arial" w:cs="Arial" w:eastAsia="Arial" w:hAnsi="Arial"/>
          <w:sz w:val="22"/>
          <w:szCs w:val="22"/>
          <w:color w:val="auto"/>
        </w:rPr>
        <w:t>. Other than as set forth in Paragraph 7 below, the Issuers shall not be required to</w:t>
      </w:r>
      <w:r>
        <w:rPr>
          <w:rFonts w:ascii="Arial" w:cs="Arial" w:eastAsia="Arial" w:hAnsi="Arial"/>
          <w:sz w:val="22"/>
          <w:szCs w:val="22"/>
          <w:i w:val="1"/>
          <w:iCs w:val="1"/>
          <w:color w:val="auto"/>
        </w:rPr>
        <w:t xml:space="preserve"> </w:t>
      </w:r>
      <w:r>
        <w:rPr>
          <w:rFonts w:ascii="Arial" w:cs="Arial" w:eastAsia="Arial" w:hAnsi="Arial"/>
          <w:sz w:val="22"/>
          <w:szCs w:val="22"/>
          <w:color w:val="auto"/>
        </w:rPr>
        <w:t>make mandatory redemption or sinking fund payments with respect to the Notes.</w:t>
      </w:r>
    </w:p>
    <w:p>
      <w:pPr>
        <w:spacing w:after="0" w:line="200" w:lineRule="exact"/>
        <w:rPr>
          <w:rFonts w:ascii="Arial" w:cs="Arial" w:eastAsia="Arial" w:hAnsi="Arial"/>
          <w:sz w:val="22"/>
          <w:szCs w:val="22"/>
          <w:color w:val="auto"/>
        </w:rPr>
      </w:pPr>
    </w:p>
    <w:p>
      <w:pPr>
        <w:jc w:val="both"/>
        <w:ind w:firstLine="1305"/>
        <w:spacing w:after="0" w:line="271" w:lineRule="auto"/>
        <w:tabs>
          <w:tab w:leader="none" w:pos="2143" w:val="left"/>
        </w:tabs>
        <w:numPr>
          <w:ilvl w:val="0"/>
          <w:numId w:val="238"/>
        </w:numPr>
        <w:rPr>
          <w:rFonts w:ascii="Arial" w:cs="Arial" w:eastAsia="Arial" w:hAnsi="Arial"/>
          <w:sz w:val="19"/>
          <w:szCs w:val="19"/>
          <w:color w:val="auto"/>
        </w:rPr>
      </w:pPr>
      <w:r>
        <w:rPr>
          <w:rFonts w:ascii="Arial" w:cs="Arial" w:eastAsia="Arial" w:hAnsi="Arial"/>
          <w:sz w:val="19"/>
          <w:szCs w:val="19"/>
          <w:i w:val="1"/>
          <w:iCs w:val="1"/>
          <w:color w:val="auto"/>
        </w:rPr>
        <w:t>Mandatory Disposition or Redemption Pursuant to Gaming Laws</w:t>
      </w:r>
      <w:r>
        <w:rPr>
          <w:rFonts w:ascii="Arial" w:cs="Arial" w:eastAsia="Arial" w:hAnsi="Arial"/>
          <w:sz w:val="19"/>
          <w:szCs w:val="19"/>
          <w:color w:val="auto"/>
        </w:rPr>
        <w:t>. Notwithstanding any other provision of</w:t>
      </w:r>
      <w:r>
        <w:rPr>
          <w:rFonts w:ascii="Arial" w:cs="Arial" w:eastAsia="Arial" w:hAnsi="Arial"/>
          <w:sz w:val="19"/>
          <w:szCs w:val="19"/>
          <w:i w:val="1"/>
          <w:iCs w:val="1"/>
          <w:color w:val="auto"/>
        </w:rPr>
        <w:t xml:space="preserve"> </w:t>
      </w:r>
      <w:r>
        <w:rPr>
          <w:rFonts w:ascii="Arial" w:cs="Arial" w:eastAsia="Arial" w:hAnsi="Arial"/>
          <w:sz w:val="19"/>
          <w:szCs w:val="19"/>
          <w:color w:val="auto"/>
        </w:rPr>
        <w:t>the Indenture or this Note, if any Gaming Authority requires a Holder or Beneficial Owner of Notes to be licensed, qualified or found suitable under any applicable Gaming Law and the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 Issuers shall have the right, at their option, to: (1) require the Holder or Beneficial Owner to dispose o 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and Liquidated Damages, if any, on the Notes to the earlier of (A) the date of redemption or such earlier date as is require 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200" w:lineRule="exact"/>
        <w:rPr>
          <w:sz w:val="20"/>
          <w:szCs w:val="20"/>
          <w:color w:val="auto"/>
        </w:rPr>
      </w:pPr>
    </w:p>
    <w:p>
      <w:pPr>
        <w:spacing w:after="0" w:line="232" w:lineRule="exact"/>
        <w:rPr>
          <w:sz w:val="20"/>
          <w:szCs w:val="20"/>
          <w:color w:val="auto"/>
        </w:rPr>
      </w:pPr>
    </w:p>
    <w:p>
      <w:pPr>
        <w:jc w:val="both"/>
        <w:ind w:left="660" w:firstLine="648"/>
        <w:spacing w:after="0" w:line="238" w:lineRule="auto"/>
        <w:rPr>
          <w:sz w:val="20"/>
          <w:szCs w:val="20"/>
          <w:color w:val="auto"/>
        </w:rPr>
      </w:pPr>
      <w:r>
        <w:rPr>
          <w:rFonts w:ascii="Arial" w:cs="Arial" w:eastAsia="Arial" w:hAnsi="Arial"/>
          <w:sz w:val="22"/>
          <w:szCs w:val="22"/>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75" w:name="page176"/>
    <w:bookmarkEnd w:id="175"/>
    <w:p>
      <w:pPr>
        <w:ind w:left="660"/>
        <w:spacing w:after="0"/>
        <w:rPr>
          <w:sz w:val="20"/>
          <w:szCs w:val="20"/>
          <w:color w:val="auto"/>
        </w:rPr>
      </w:pPr>
      <w:r>
        <w:rPr>
          <w:rFonts w:ascii="Arial" w:cs="Arial" w:eastAsia="Arial" w:hAnsi="Arial"/>
          <w:sz w:val="19"/>
          <w:szCs w:val="19"/>
          <w:color w:val="auto"/>
        </w:rPr>
        <w:t>any remuneration in any form from the Issuers for services rendered or otherwise, except the redemption price of the Notes.</w:t>
      </w:r>
    </w:p>
    <w:p>
      <w:pPr>
        <w:spacing w:after="0" w:line="268" w:lineRule="exact"/>
        <w:rPr>
          <w:sz w:val="20"/>
          <w:szCs w:val="20"/>
          <w:color w:val="auto"/>
        </w:rPr>
      </w:pPr>
    </w:p>
    <w:p>
      <w:pPr>
        <w:jc w:val="both"/>
        <w:ind w:left="660" w:firstLine="648"/>
        <w:spacing w:after="0"/>
        <w:rPr>
          <w:sz w:val="20"/>
          <w:szCs w:val="20"/>
          <w:color w:val="auto"/>
        </w:rPr>
      </w:pPr>
      <w:r>
        <w:rPr>
          <w:rFonts w:ascii="Arial" w:cs="Arial" w:eastAsia="Arial" w:hAnsi="Arial"/>
          <w:sz w:val="22"/>
          <w:szCs w:val="22"/>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213" w:lineRule="exact"/>
        <w:rPr>
          <w:sz w:val="20"/>
          <w:szCs w:val="20"/>
          <w:color w:val="auto"/>
        </w:rPr>
      </w:pPr>
    </w:p>
    <w:p>
      <w:pPr>
        <w:ind w:left="2100" w:hanging="795"/>
        <w:spacing w:after="0"/>
        <w:tabs>
          <w:tab w:leader="none" w:pos="2100" w:val="left"/>
        </w:tabs>
        <w:numPr>
          <w:ilvl w:val="0"/>
          <w:numId w:val="239"/>
        </w:numPr>
        <w:rPr>
          <w:rFonts w:ascii="Arial" w:cs="Arial" w:eastAsia="Arial" w:hAnsi="Arial"/>
          <w:sz w:val="22"/>
          <w:szCs w:val="22"/>
          <w:color w:val="auto"/>
        </w:rPr>
      </w:pPr>
      <w:r>
        <w:rPr>
          <w:rFonts w:ascii="Arial" w:cs="Arial" w:eastAsia="Arial" w:hAnsi="Arial"/>
          <w:sz w:val="22"/>
          <w:szCs w:val="22"/>
          <w:i w:val="1"/>
          <w:iCs w:val="1"/>
          <w:color w:val="auto"/>
        </w:rPr>
        <w:t>Repurchase at Option of Holder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078"/>
        <w:spacing w:after="0" w:line="235" w:lineRule="auto"/>
        <w:tabs>
          <w:tab w:leader="none" w:pos="3002" w:val="left"/>
        </w:tabs>
        <w:numPr>
          <w:ilvl w:val="1"/>
          <w:numId w:val="239"/>
        </w:numPr>
        <w:rPr>
          <w:rFonts w:ascii="Arial" w:cs="Arial" w:eastAsia="Arial" w:hAnsi="Arial"/>
          <w:sz w:val="22"/>
          <w:szCs w:val="22"/>
          <w:color w:val="auto"/>
        </w:rPr>
      </w:pPr>
      <w:r>
        <w:rPr>
          <w:rFonts w:ascii="Arial" w:cs="Arial" w:eastAsia="Arial" w:hAnsi="Arial"/>
          <w:sz w:val="22"/>
          <w:szCs w:val="22"/>
          <w:color w:val="auto"/>
        </w:rPr>
        <w:t>If a Change of Control, occurs, the Issuers shall make an offer (a “</w:t>
      </w:r>
      <w:r>
        <w:rPr>
          <w:rFonts w:ascii="Arial" w:cs="Arial" w:eastAsia="Arial" w:hAnsi="Arial"/>
          <w:sz w:val="22"/>
          <w:szCs w:val="22"/>
          <w:i w:val="1"/>
          <w:iCs w:val="1"/>
          <w:u w:val="single" w:color="auto"/>
          <w:color w:val="auto"/>
        </w:rPr>
        <w:t>Change of Control Offer</w:t>
      </w:r>
      <w:r>
        <w:rPr>
          <w:rFonts w:ascii="Arial" w:cs="Arial" w:eastAsia="Arial" w:hAnsi="Arial"/>
          <w:sz w:val="22"/>
          <w:szCs w:val="22"/>
          <w:color w:val="auto"/>
        </w:rPr>
        <w:t>”) to repurchase all or any part (equal to $2,000 or an integral multiple of $1,000 in excess of $2,000) of each Holder’s Notes at a purchase price equal to 101% of the aggregate principal amount thereof plus accrued and unpaid interest and Liquidated Damages thereon, if any, to the date of purchase (the “</w:t>
      </w:r>
      <w:r>
        <w:rPr>
          <w:rFonts w:ascii="Arial" w:cs="Arial" w:eastAsia="Arial" w:hAnsi="Arial"/>
          <w:sz w:val="22"/>
          <w:szCs w:val="22"/>
          <w:i w:val="1"/>
          <w:iCs w:val="1"/>
          <w:u w:val="single" w:color="auto"/>
          <w:color w:val="auto"/>
        </w:rPr>
        <w:t>Change of Control Payment</w:t>
      </w:r>
      <w:r>
        <w:rPr>
          <w:rFonts w:ascii="Arial" w:cs="Arial" w:eastAsia="Arial" w:hAnsi="Arial"/>
          <w:sz w:val="22"/>
          <w:szCs w:val="22"/>
          <w:color w:val="auto"/>
        </w:rPr>
        <w:t>”). Within 10 days following any Change of Control, the Issuers shall mail a notice to each Holder setting forth the procedures governing the Change of Control Offer as required by the Indenture.</w:t>
      </w:r>
    </w:p>
    <w:p>
      <w:pPr>
        <w:spacing w:after="0" w:line="215" w:lineRule="exact"/>
        <w:rPr>
          <w:rFonts w:ascii="Arial" w:cs="Arial" w:eastAsia="Arial" w:hAnsi="Arial"/>
          <w:sz w:val="22"/>
          <w:szCs w:val="22"/>
          <w:color w:val="auto"/>
        </w:rPr>
      </w:pPr>
    </w:p>
    <w:p>
      <w:pPr>
        <w:jc w:val="both"/>
        <w:ind w:firstLine="2073"/>
        <w:spacing w:after="0" w:line="270" w:lineRule="auto"/>
        <w:tabs>
          <w:tab w:leader="none" w:pos="2981" w:val="left"/>
        </w:tabs>
        <w:numPr>
          <w:ilvl w:val="1"/>
          <w:numId w:val="239"/>
        </w:numPr>
        <w:rPr>
          <w:rFonts w:ascii="Arial" w:cs="Arial" w:eastAsia="Arial" w:hAnsi="Arial"/>
          <w:sz w:val="19"/>
          <w:szCs w:val="19"/>
          <w:color w:val="auto"/>
        </w:rPr>
      </w:pPr>
      <w:r>
        <w:rPr>
          <w:rFonts w:ascii="Arial" w:cs="Arial" w:eastAsia="Arial" w:hAnsi="Arial"/>
          <w:sz w:val="19"/>
          <w:szCs w:val="19"/>
          <w:color w:val="auto"/>
        </w:rPr>
        <w:t>If Wynn Las Vegas or any of the Restricted Subsidiaries consummate any Asset Sales,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Wynn Las Vegas shall allocate a portion of the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 en outstanding and all Indebtedness then outstanding under the Credit Agreement (such amount being the “</w:t>
      </w:r>
      <w:r>
        <w:rPr>
          <w:rFonts w:ascii="Arial" w:cs="Arial" w:eastAsia="Arial" w:hAnsi="Arial"/>
          <w:sz w:val="19"/>
          <w:szCs w:val="19"/>
          <w:i w:val="1"/>
          <w:iCs w:val="1"/>
          <w:u w:val="single" w:color="auto"/>
          <w:color w:val="auto"/>
        </w:rPr>
        <w:t>Asset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Sale Offer Amount</w:t>
      </w:r>
      <w:r>
        <w:rPr>
          <w:rFonts w:ascii="Arial" w:cs="Arial" w:eastAsia="Arial" w:hAnsi="Arial"/>
          <w:sz w:val="19"/>
          <w:szCs w:val="19"/>
          <w:color w:val="auto"/>
        </w:rPr>
        <w:t>”), to make an offer (an “</w:t>
      </w:r>
      <w:r>
        <w:rPr>
          <w:rFonts w:ascii="Arial" w:cs="Arial" w:eastAsia="Arial" w:hAnsi="Arial"/>
          <w:sz w:val="19"/>
          <w:szCs w:val="19"/>
          <w:i w:val="1"/>
          <w:iCs w:val="1"/>
          <w:u w:val="single" w:color="auto"/>
          <w:color w:val="auto"/>
        </w:rPr>
        <w:t>Asset Sale Offer</w:t>
      </w:r>
      <w:r>
        <w:rPr>
          <w:rFonts w:ascii="Arial" w:cs="Arial" w:eastAsia="Arial" w:hAnsi="Arial"/>
          <w:sz w:val="19"/>
          <w:szCs w:val="19"/>
          <w:color w:val="auto"/>
        </w:rPr>
        <w:t>”) to all holders of Notes and, to the extent required, the holders of such</w:t>
      </w:r>
      <w:r>
        <w:rPr>
          <w:rFonts w:ascii="Arial" w:cs="Arial" w:eastAsia="Arial" w:hAnsi="Arial"/>
          <w:sz w:val="19"/>
          <w:szCs w:val="19"/>
          <w:i w:val="1"/>
          <w:iCs w:val="1"/>
          <w:color w:val="auto"/>
        </w:rPr>
        <w:t xml:space="preserve"> </w:t>
      </w:r>
      <w:r>
        <w:rPr>
          <w:rFonts w:ascii="Arial" w:cs="Arial" w:eastAsia="Arial" w:hAnsi="Arial"/>
          <w:sz w:val="19"/>
          <w:szCs w:val="19"/>
          <w:color w:val="auto"/>
        </w:rPr>
        <w:t>Pari Passu Debt pursuant to Sections 3.10 and 4.10 of the Indenture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shall be payable in cash. The amount of any such Excess Proceeds less the Asset Sale Offer Amount (the “</w:t>
      </w:r>
      <w:r>
        <w:rPr>
          <w:rFonts w:ascii="Arial" w:cs="Arial" w:eastAsia="Arial" w:hAnsi="Arial"/>
          <w:sz w:val="19"/>
          <w:szCs w:val="19"/>
          <w:i w:val="1"/>
          <w:iCs w:val="1"/>
          <w:u w:val="single" w:color="auto"/>
          <w:color w:val="auto"/>
        </w:rPr>
        <w:t>Ass et Sale Repayment Amount</w:t>
      </w:r>
      <w:r>
        <w:rPr>
          <w:rFonts w:ascii="Arial" w:cs="Arial" w:eastAsia="Arial" w:hAnsi="Arial"/>
          <w:sz w:val="19"/>
          <w:szCs w:val="19"/>
          <w:color w:val="auto"/>
        </w:rPr>
        <w:t xml:space="preserve">”) shall concurrently be applied to repay any term Indebtedness outstanding under the Credit Agreement in accordance with the requirements of the Credit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Holders of Notes that are the subject of an offer to purchase shall receive an Asset Sale Offer from Wynn Las Vegas prior to any related purchase date and may elect to have such Notes purchased by completing the form entitled “</w:t>
      </w:r>
      <w:r>
        <w:rPr>
          <w:rFonts w:ascii="Arial" w:cs="Arial" w:eastAsia="Arial" w:hAnsi="Arial"/>
          <w:sz w:val="19"/>
          <w:szCs w:val="19"/>
          <w:i w:val="1"/>
          <w:iCs w:val="1"/>
          <w:color w:val="auto"/>
        </w:rPr>
        <w:t>Option of Holder to Elect Purchase</w:t>
      </w:r>
      <w:r>
        <w:rPr>
          <w:rFonts w:ascii="Arial" w:cs="Arial" w:eastAsia="Arial" w:hAnsi="Arial"/>
          <w:sz w:val="19"/>
          <w:szCs w:val="19"/>
          <w:color w:val="auto"/>
        </w:rPr>
        <w:t>” attached to the Notes.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76" w:name="page177"/>
    <w:bookmarkEnd w:id="176"/>
    <w:p>
      <w:pPr>
        <w:jc w:val="both"/>
        <w:ind w:firstLine="2107"/>
        <w:spacing w:after="0" w:line="269" w:lineRule="auto"/>
        <w:tabs>
          <w:tab w:leader="none" w:pos="3188" w:val="left"/>
        </w:tabs>
        <w:numPr>
          <w:ilvl w:val="1"/>
          <w:numId w:val="240"/>
        </w:numPr>
        <w:rPr>
          <w:rFonts w:ascii="Arial" w:cs="Arial" w:eastAsia="Arial" w:hAnsi="Arial"/>
          <w:sz w:val="19"/>
          <w:szCs w:val="19"/>
          <w:color w:val="auto"/>
        </w:rPr>
      </w:pPr>
      <w:r>
        <w:rPr>
          <w:rFonts w:ascii="Arial" w:cs="Arial" w:eastAsia="Arial" w:hAnsi="Arial"/>
          <w:sz w:val="19"/>
          <w:szCs w:val="19"/>
          <w:color w:val="auto"/>
        </w:rPr>
        <w:t>If Wynn Las Vegas or any of the Restricted Subsidiaries experiences an Event of Loss with respect to Collateral (other than Events of Loss with respect to Collateral comprising Encore at Wynn Las Vegas, if applicable, at any time prior to the completion of the construction of Encore at Wynn Las Vegas), within 10 days following the earlier of (i) the date on which the aggregate amount of Excess Loss Proceeds exceeds $500.0 million or (ii) the date when, pursuant to the Credit Agreement, Excess Loss Proceeds are required to be applied to reduce Indebtedness of Wynn Las Vegas, Wynn Las Vegas shall allocate a portion of such Excess Loss Proceeds determined by multiplying the amount of such Excess Loss Proceeds by a fraction, the numerator of which is the t 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9"/>
          <w:szCs w:val="19"/>
          <w:i w:val="1"/>
          <w:iCs w:val="1"/>
          <w:u w:val="single" w:color="auto"/>
          <w:color w:val="auto"/>
        </w:rPr>
        <w:t>Event of Loss Offer</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Amount</w:t>
      </w:r>
      <w:r>
        <w:rPr>
          <w:rFonts w:ascii="Arial" w:cs="Arial" w:eastAsia="Arial" w:hAnsi="Arial"/>
          <w:sz w:val="19"/>
          <w:szCs w:val="19"/>
          <w:color w:val="auto"/>
        </w:rPr>
        <w:t>”), to make an offer (an “</w:t>
      </w:r>
      <w:r>
        <w:rPr>
          <w:rFonts w:ascii="Arial" w:cs="Arial" w:eastAsia="Arial" w:hAnsi="Arial"/>
          <w:sz w:val="19"/>
          <w:szCs w:val="19"/>
          <w:i w:val="1"/>
          <w:iCs w:val="1"/>
          <w:u w:val="single" w:color="auto"/>
          <w:color w:val="auto"/>
        </w:rPr>
        <w:t>Event of Loss Offer</w:t>
      </w:r>
      <w:r>
        <w:rPr>
          <w:rFonts w:ascii="Arial" w:cs="Arial" w:eastAsia="Arial" w:hAnsi="Arial"/>
          <w:sz w:val="19"/>
          <w:szCs w:val="19"/>
          <w:color w:val="auto"/>
        </w:rPr>
        <w:t>”) to all Holders of Notes and, to the extent required, the holders of such Pari</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Passu Debt pursuant to Sections 3.10 and 4.16 of the Indenture to repurchase such Notes and such Pari Passu Debt at an offer price equal to 100% of the principal amount of the Notes and such Pari Passu Debt to be purchased </w:t>
      </w:r>
      <w:r>
        <w:rPr>
          <w:rFonts w:ascii="Arial" w:cs="Arial" w:eastAsia="Arial" w:hAnsi="Arial"/>
          <w:sz w:val="19"/>
          <w:szCs w:val="19"/>
          <w:i w:val="1"/>
          <w:iCs w:val="1"/>
          <w:color w:val="auto"/>
        </w:rPr>
        <w:t>plus</w:t>
      </w:r>
      <w:r>
        <w:rPr>
          <w:rFonts w:ascii="Arial" w:cs="Arial" w:eastAsia="Arial" w:hAnsi="Arial"/>
          <w:sz w:val="19"/>
          <w:szCs w:val="19"/>
          <w:color w:val="auto"/>
        </w:rPr>
        <w:t xml:space="preserve"> accrued and unpaid interest and Liquidated Damages, if any, on the Not es and such other Pari Passu Debt to the date of repurchase, which offer price shall be payable in cash. The amount of any such Excess Loss Proceeds less the Event of Loss Offer Amount (the “</w:t>
      </w:r>
      <w:r>
        <w:rPr>
          <w:rFonts w:ascii="Arial" w:cs="Arial" w:eastAsia="Arial" w:hAnsi="Arial"/>
          <w:sz w:val="19"/>
          <w:szCs w:val="19"/>
          <w:i w:val="1"/>
          <w:iCs w:val="1"/>
          <w:u w:val="single" w:color="auto"/>
          <w:color w:val="auto"/>
        </w:rPr>
        <w:t>Event of Loss</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Repayment Amount</w:t>
      </w:r>
      <w:r>
        <w:rPr>
          <w:rFonts w:ascii="Arial" w:cs="Arial" w:eastAsia="Arial" w:hAnsi="Arial"/>
          <w:sz w:val="19"/>
          <w:szCs w:val="19"/>
          <w:color w:val="auto"/>
        </w:rPr>
        <w:t>”) shall concurrently be applied to repay any term Indebtedness outstanding under the Credit Agreement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accordance with the requirements of the Credit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 ponding permanent reduction of the commitments thereunder), such excess amount (after repayment in full of the term Indebtedness under the Credit Agreement) shall be added to the Event of Loss Offer Amount and offered to the Holders of Notes and, to the extent required, the holders of such Pari Passu Debt pursuant to the Event of Loss Offer as provided in the previous sentence above. Any Event of Loss Offer made pursuant to the terms of the indenture governing the 2014 Notes or the 2017 Notes shall be required to be made to the Holders of Notes, as holders of Pari Passu Debt (as defined in those indentures). Holders of Notes that are the subject of an offer to purchase shall receive an Event of Loss Offer from Wynn Las Vegas prior to any related purchase date and may elect to have such Notes purchased by completing the form entitled “</w:t>
      </w:r>
      <w:r>
        <w:rPr>
          <w:rFonts w:ascii="Arial" w:cs="Arial" w:eastAsia="Arial" w:hAnsi="Arial"/>
          <w:sz w:val="19"/>
          <w:szCs w:val="19"/>
          <w:i w:val="1"/>
          <w:iCs w:val="1"/>
          <w:color w:val="auto"/>
        </w:rPr>
        <w:t>Option of Holder to Elect Purchase</w:t>
      </w:r>
      <w:r>
        <w:rPr>
          <w:rFonts w:ascii="Arial" w:cs="Arial" w:eastAsia="Arial" w:hAnsi="Arial"/>
          <w:sz w:val="19"/>
          <w:szCs w:val="19"/>
          <w:color w:val="auto"/>
        </w:rPr>
        <w:t>” attached to the Notes.</w:t>
      </w:r>
    </w:p>
    <w:p>
      <w:pPr>
        <w:spacing w:after="0" w:line="196" w:lineRule="exact"/>
        <w:rPr>
          <w:rFonts w:ascii="Arial" w:cs="Arial" w:eastAsia="Arial" w:hAnsi="Arial"/>
          <w:sz w:val="19"/>
          <w:szCs w:val="19"/>
          <w:color w:val="auto"/>
        </w:rPr>
      </w:pPr>
    </w:p>
    <w:p>
      <w:pPr>
        <w:jc w:val="both"/>
        <w:ind w:firstLine="1305"/>
        <w:spacing w:after="0" w:line="279" w:lineRule="auto"/>
        <w:tabs>
          <w:tab w:leader="none" w:pos="2264" w:val="left"/>
        </w:tabs>
        <w:numPr>
          <w:ilvl w:val="0"/>
          <w:numId w:val="241"/>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Notice of redemption shall be mailed at least 30 days but not more than 60 days</w:t>
      </w:r>
      <w:r>
        <w:rPr>
          <w:rFonts w:ascii="Arial" w:cs="Arial" w:eastAsia="Arial" w:hAnsi="Arial"/>
          <w:sz w:val="19"/>
          <w:szCs w:val="19"/>
          <w:i w:val="1"/>
          <w:iCs w:val="1"/>
          <w:color w:val="auto"/>
        </w:rPr>
        <w:t xml:space="preserve"> </w:t>
      </w:r>
      <w:r>
        <w:rPr>
          <w:rFonts w:ascii="Arial" w:cs="Arial" w:eastAsia="Arial" w:hAnsi="Arial"/>
          <w:sz w:val="19"/>
          <w:szCs w:val="19"/>
          <w:color w:val="auto"/>
        </w:rPr>
        <w:t>before the redemption date to each Holder whose Notes are to be redeemed at its registered address, except that redemption notices may be mailed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 reof called for redemption.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77" w:name="page178"/>
    <w:bookmarkEnd w:id="177"/>
    <w:p>
      <w:pPr>
        <w:jc w:val="both"/>
        <w:ind w:firstLine="1305"/>
        <w:spacing w:after="0" w:line="246" w:lineRule="auto"/>
        <w:tabs>
          <w:tab w:leader="none" w:pos="2170" w:val="left"/>
        </w:tabs>
        <w:numPr>
          <w:ilvl w:val="0"/>
          <w:numId w:val="242"/>
        </w:numPr>
        <w:rPr>
          <w:rFonts w:ascii="Arial" w:cs="Arial" w:eastAsia="Arial" w:hAnsi="Arial"/>
          <w:sz w:val="21"/>
          <w:szCs w:val="21"/>
          <w:color w:val="auto"/>
        </w:rPr>
      </w:pPr>
      <w:r>
        <w:rPr>
          <w:rFonts w:ascii="Arial" w:cs="Arial" w:eastAsia="Arial" w:hAnsi="Arial"/>
          <w:sz w:val="21"/>
          <w:szCs w:val="21"/>
          <w:i w:val="1"/>
          <w:iCs w:val="1"/>
          <w:color w:val="auto"/>
        </w:rPr>
        <w:t>Denominations, Transfer, Exchange</w:t>
      </w:r>
      <w:r>
        <w:rPr>
          <w:rFonts w:ascii="Arial" w:cs="Arial" w:eastAsia="Arial" w:hAnsi="Arial"/>
          <w:sz w:val="21"/>
          <w:szCs w:val="21"/>
          <w:color w:val="auto"/>
        </w:rPr>
        <w:t>. The Notes are in registered form without coupons in denominations</w:t>
      </w:r>
      <w:r>
        <w:rPr>
          <w:rFonts w:ascii="Arial" w:cs="Arial" w:eastAsia="Arial" w:hAnsi="Arial"/>
          <w:sz w:val="21"/>
          <w:szCs w:val="21"/>
          <w:i w:val="1"/>
          <w:iCs w:val="1"/>
          <w:color w:val="auto"/>
        </w:rPr>
        <w:t xml:space="preserve"> </w:t>
      </w:r>
      <w:r>
        <w:rPr>
          <w:rFonts w:ascii="Arial" w:cs="Arial" w:eastAsia="Arial" w:hAnsi="Arial"/>
          <w:sz w:val="21"/>
          <w:szCs w:val="21"/>
          <w:color w:val="auto"/>
        </w:rPr>
        <w:t>of $2,000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part.&amp; #160; Also, the Issuers need not exchange or register the transfer of any Notes for a period of 15 days before a selection of Notes to be redeemed or during the period between a record date and the corresponding Interest Payment Date.</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This Regulation S Temporary Global Note is exchangeable in whole or in part for one or more Global Notes only (i) on or after the termination of the 40-day distribution compliance period (as defined in Regulation S) and (ii) upon presentation of certificates (accompanied by an Opinion of Counsel, if applicable) required by Article 2 of the Indenture. Upon exchange of this Regulation S Temporary Global Note for one or more Global Notes, the Trustee shall cancel this Regulation S Temporary Global Note.</w:t>
      </w:r>
    </w:p>
    <w:p>
      <w:pPr>
        <w:spacing w:after="0" w:line="215" w:lineRule="exact"/>
        <w:rPr>
          <w:sz w:val="20"/>
          <w:szCs w:val="20"/>
          <w:color w:val="auto"/>
        </w:rPr>
      </w:pPr>
    </w:p>
    <w:p>
      <w:pPr>
        <w:ind w:left="2080" w:hanging="775"/>
        <w:spacing w:after="0"/>
        <w:tabs>
          <w:tab w:leader="none" w:pos="2080" w:val="left"/>
        </w:tabs>
        <w:numPr>
          <w:ilvl w:val="0"/>
          <w:numId w:val="243"/>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a Note may be treated as its owner for all purposes.</w:t>
      </w:r>
    </w:p>
    <w:p>
      <w:pPr>
        <w:spacing w:after="0" w:line="267" w:lineRule="exact"/>
        <w:rPr>
          <w:rFonts w:ascii="Arial" w:cs="Arial" w:eastAsia="Arial" w:hAnsi="Arial"/>
          <w:sz w:val="19"/>
          <w:szCs w:val="19"/>
          <w:color w:val="auto"/>
        </w:rPr>
      </w:pPr>
    </w:p>
    <w:p>
      <w:pPr>
        <w:ind w:left="2100" w:hanging="795"/>
        <w:spacing w:after="0"/>
        <w:tabs>
          <w:tab w:leader="none" w:pos="2100" w:val="left"/>
        </w:tabs>
        <w:numPr>
          <w:ilvl w:val="0"/>
          <w:numId w:val="243"/>
        </w:numPr>
        <w:rPr>
          <w:rFonts w:ascii="Arial" w:cs="Arial" w:eastAsia="Arial" w:hAnsi="Arial"/>
          <w:sz w:val="22"/>
          <w:szCs w:val="22"/>
          <w:color w:val="auto"/>
        </w:rPr>
      </w:pPr>
      <w:r>
        <w:rPr>
          <w:rFonts w:ascii="Arial" w:cs="Arial" w:eastAsia="Arial" w:hAnsi="Arial"/>
          <w:sz w:val="22"/>
          <w:szCs w:val="22"/>
          <w:i w:val="1"/>
          <w:iCs w:val="1"/>
          <w:color w:val="auto"/>
        </w:rPr>
        <w:t>Amendment, Supplement and Waiver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2087"/>
        <w:spacing w:after="0" w:line="244" w:lineRule="auto"/>
        <w:tabs>
          <w:tab w:leader="none" w:pos="3056" w:val="left"/>
        </w:tabs>
        <w:numPr>
          <w:ilvl w:val="1"/>
          <w:numId w:val="243"/>
        </w:numPr>
        <w:rPr>
          <w:rFonts w:ascii="Arial" w:cs="Arial" w:eastAsia="Arial" w:hAnsi="Arial"/>
          <w:sz w:val="21"/>
          <w:szCs w:val="21"/>
          <w:color w:val="auto"/>
        </w:rPr>
      </w:pPr>
      <w:r>
        <w:rPr>
          <w:rFonts w:ascii="Arial" w:cs="Arial" w:eastAsia="Arial" w:hAnsi="Arial"/>
          <w:sz w:val="21"/>
          <w:szCs w:val="21"/>
          <w:color w:val="auto"/>
        </w:rPr>
        <w:t>Subject to certain exceptions, the Indenture, the Notes, the Note Guarantees and, subject to the terms of the Intercreditor Agreement and the Indenture, the Collateral Documents may be amended or supplemented with the consent of the Holders of at least a majority in principal amount of the then outstanding Notes, voting as a single class, and any existing Default or Event of Default or compliance with any provision of the Indenture, the Notes, the Note Guarantees or, subject to the terms of the Intercreditor Agreement and the Indenture, the Collateral Documents may be waived with the consent of the Holders of a majority in principal amount of the then outstanding Notes, voting as a single class. Notwithstanding any other provision in the Ind enture, the Notes, the Note Guarantees or the Collateral Documents, any amendment or modification to the definition of "Excluded Assets" in the Pledge and Security Agreement or the definition of "Excluded Property" in the Deeds of Trust shall require, in addition to the other consents required pursuant to Section 10.01(b) of the Indenture and the Intercreditor Agreement, the consent of at least a majority in principal amount of the then outstanding Notes voting as a single class, if as a result of such amendment or modification, the Notes will not be secured by substantially all of the assets of the Issuers and the Guarantors.</w:t>
      </w:r>
    </w:p>
    <w:p>
      <w:pPr>
        <w:spacing w:after="0" w:line="214" w:lineRule="exact"/>
        <w:rPr>
          <w:rFonts w:ascii="Arial" w:cs="Arial" w:eastAsia="Arial" w:hAnsi="Arial"/>
          <w:sz w:val="21"/>
          <w:szCs w:val="21"/>
          <w:color w:val="auto"/>
        </w:rPr>
      </w:pPr>
    </w:p>
    <w:p>
      <w:pPr>
        <w:jc w:val="both"/>
        <w:ind w:firstLine="2071"/>
        <w:spacing w:after="0" w:line="236" w:lineRule="auto"/>
        <w:tabs>
          <w:tab w:leader="none" w:pos="2963" w:val="left"/>
        </w:tabs>
        <w:numPr>
          <w:ilvl w:val="1"/>
          <w:numId w:val="243"/>
        </w:numPr>
        <w:rPr>
          <w:rFonts w:ascii="Arial" w:cs="Arial" w:eastAsia="Arial" w:hAnsi="Arial"/>
          <w:sz w:val="22"/>
          <w:szCs w:val="22"/>
          <w:color w:val="auto"/>
        </w:rPr>
      </w:pPr>
      <w:r>
        <w:rPr>
          <w:rFonts w:ascii="Arial" w:cs="Arial" w:eastAsia="Arial" w:hAnsi="Arial"/>
          <w:sz w:val="22"/>
          <w:szCs w:val="22"/>
          <w:color w:val="auto"/>
        </w:rPr>
        <w:t>Without the consent of each Holder of Notes affected or, in the case of clauses (viii), (ix) and (x) below only, without the consent of the Holders of at least 95% in the aggregate principal amount of the Notes then outstanding,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the provisions with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78" w:name="page179"/>
    <w:bookmarkEnd w:id="178"/>
    <w:p>
      <w:pPr>
        <w:jc w:val="both"/>
        <w:spacing w:after="0" w:line="272" w:lineRule="auto"/>
        <w:rPr>
          <w:sz w:val="20"/>
          <w:szCs w:val="20"/>
          <w:color w:val="auto"/>
        </w:rPr>
      </w:pPr>
      <w:r>
        <w:rPr>
          <w:rFonts w:ascii="Arial" w:cs="Arial" w:eastAsia="Arial" w:hAnsi="Arial"/>
          <w:sz w:val="19"/>
          <w:szCs w:val="19"/>
          <w:color w:val="auto"/>
        </w:rPr>
        <w:t>respect to the redemption of the Notes (other than Sections 3.10, 4.10, 4.15 and 4.16 of the Indenture), (iii) reduce the rate of or change the time for payment of interest, including default interest, on any Note; (iv) waive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or Liquidated Damages, if any, on, the Notes, (vii ) waive a redemption payment with respect to any Note (other than a payment required by Section 3.10, 4.10, 4.15 or 4.16 of the Indenture), (viii) release all or substantially all of the Collateral except in accordance with the provisions of the Collateral Documents, (ix) release any Guarantor from any of its obligations under its Note Guarantee or the Indenture if the assets or properties of that Guarantor constitute all or substantially all of the Collateral, except in accordance with the terms of the indenture, (x) amend Section 10.03 of the Indenture, or (xi) make any change in the preceding amendment and waiver provisions.</w:t>
      </w:r>
    </w:p>
    <w:p>
      <w:pPr>
        <w:spacing w:after="0" w:line="200" w:lineRule="exact"/>
        <w:rPr>
          <w:sz w:val="20"/>
          <w:szCs w:val="20"/>
          <w:color w:val="auto"/>
        </w:rPr>
      </w:pPr>
    </w:p>
    <w:p>
      <w:pPr>
        <w:spacing w:after="0" w:line="236" w:lineRule="exact"/>
        <w:rPr>
          <w:sz w:val="20"/>
          <w:szCs w:val="20"/>
          <w:color w:val="auto"/>
        </w:rPr>
      </w:pPr>
    </w:p>
    <w:p>
      <w:pPr>
        <w:jc w:val="both"/>
        <w:ind w:firstLine="2093"/>
        <w:spacing w:after="0" w:line="271" w:lineRule="auto"/>
        <w:tabs>
          <w:tab w:leader="none" w:pos="3089" w:val="left"/>
        </w:tabs>
        <w:numPr>
          <w:ilvl w:val="1"/>
          <w:numId w:val="244"/>
        </w:numPr>
        <w:rPr>
          <w:rFonts w:ascii="Arial" w:cs="Arial" w:eastAsia="Arial" w:hAnsi="Arial"/>
          <w:sz w:val="19"/>
          <w:szCs w:val="19"/>
          <w:color w:val="auto"/>
        </w:rPr>
      </w:pPr>
      <w:r>
        <w:rPr>
          <w:rFonts w:ascii="Arial" w:cs="Arial" w:eastAsia="Arial" w:hAnsi="Arial"/>
          <w:sz w:val="19"/>
          <w:szCs w:val="19"/>
          <w:color w:val="auto"/>
        </w:rPr>
        <w:t>Without the consent of any Holder of a Note, the Issuers, the Guarantors and the Trustee may amend or supplement the Indenture, the Notes, the Note Guarantees or the Collateral Documents to (i) cure any ambiguity, defect or inconsistency, (ii) 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Las Vegas’ or such Guarantor’s assets pursuant to Article 5 of the Indenture, (iv) make any change that would provide any additional rights or benefits to the Holders of the Notes or that does not adversely affect the legal rights of any such Holder under the Indenture, including any amendment or modification to the Intercreditor Agreement that gives or provides for any additional rights to the Holders to direct the Collateral Agent to enforce remedies against the Collateral and/or participate in other decisions regarding collateral and/or the enforcement of security documents, (v) comply with requirements of the SEC in order to effect or maintain the qualification of the Indenture under the TIA, (vi) provide for the issuance of Additional Notes in accordance with the limitations set forth in the Indenture as of the date of the Indenture, (vii) allow any Guarantor to execute a supplemental indenture to the Indenture and/or a Note Guarantee with respect to the Notes or (viii) enter into additional or supplemental Collateral Documents or Guarantees or an intercreditor agreement with respect thereto.</w:t>
      </w:r>
    </w:p>
    <w:p>
      <w:pPr>
        <w:spacing w:after="0" w:line="192" w:lineRule="exact"/>
        <w:rPr>
          <w:rFonts w:ascii="Arial" w:cs="Arial" w:eastAsia="Arial" w:hAnsi="Arial"/>
          <w:sz w:val="19"/>
          <w:szCs w:val="19"/>
          <w:color w:val="auto"/>
        </w:rPr>
      </w:pPr>
    </w:p>
    <w:p>
      <w:pPr>
        <w:jc w:val="both"/>
        <w:ind w:firstLine="1305"/>
        <w:spacing w:after="0" w:line="246" w:lineRule="auto"/>
        <w:tabs>
          <w:tab w:leader="none" w:pos="2237" w:val="left"/>
        </w:tabs>
        <w:numPr>
          <w:ilvl w:val="0"/>
          <w:numId w:val="245"/>
        </w:numPr>
        <w:rPr>
          <w:rFonts w:ascii="Arial" w:cs="Arial" w:eastAsia="Arial" w:hAnsi="Arial"/>
          <w:sz w:val="21"/>
          <w:szCs w:val="21"/>
          <w:color w:val="auto"/>
        </w:rPr>
      </w:pPr>
      <w:r>
        <w:rPr>
          <w:rFonts w:ascii="Arial" w:cs="Arial" w:eastAsia="Arial" w:hAnsi="Arial"/>
          <w:sz w:val="21"/>
          <w:szCs w:val="21"/>
          <w:i w:val="1"/>
          <w:iCs w:val="1"/>
          <w:color w:val="auto"/>
        </w:rPr>
        <w:t>Defaults and Remedies</w:t>
      </w:r>
      <w:r>
        <w:rPr>
          <w:rFonts w:ascii="Arial" w:cs="Arial" w:eastAsia="Arial" w:hAnsi="Arial"/>
          <w:sz w:val="21"/>
          <w:szCs w:val="21"/>
          <w:color w:val="auto"/>
        </w:rPr>
        <w:t>. Events of Default include: (i) default for 30 days in the payment when due of</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on and Liquidated Damages, if any, with respect to the Notes; (ii) default in payment when due of principal of, or premium, if any, on the Notes when the same becomes due and payable at maturity, upon redemption (including in connection with an offer to purchase) or otherwise, (iii) failure by Wynn Capital, Wynn Las Vegas or any of its Restricted Subsidiaries to comply with Sections 4.07, 4.09, 4.10, 4.15, 4.16 or 5.01 of the Indenture; (iv) failure by Wynn Capital, Wynn Las Vegas or any of its Restricted Subsidiaries for 60 days after written notice from the Trustee or Holders of at least 25% in aggre gate principal amount of the Notes then outstanding voting as a single class to comply with any of the other agreements in the Indenture or the Notes, not set forth in clause (iii) above; (v) failure by Wynn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79" w:name="page180"/>
    <w:bookmarkEnd w:id="179"/>
    <w:p>
      <w:pPr>
        <w:jc w:val="both"/>
        <w:spacing w:after="0" w:line="268" w:lineRule="auto"/>
        <w:rPr>
          <w:sz w:val="20"/>
          <w:szCs w:val="20"/>
          <w:color w:val="auto"/>
        </w:rPr>
      </w:pPr>
      <w:r>
        <w:rPr>
          <w:rFonts w:ascii="Arial" w:cs="Arial" w:eastAsia="Arial" w:hAnsi="Arial"/>
          <w:sz w:val="19"/>
          <w:szCs w:val="19"/>
          <w:color w:val="auto"/>
        </w:rPr>
        <w:t xml:space="preserve">Capital, Wynn Las Vegas or any of its Restricted Subsidiaries, the Completion Guarantor or any other party thereto (other than the Trustee or any representative of the lenders under the Credit Agreement or other lenders party thereto) for 60 days after receipt of written notice from the Trustee or Holders of at least 25% in aggregate principal amount of the Notes then outstanding voting as a single class to comply with any of its agreements, as applicable, in any Collateral Document; (vi) 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now exists, or is created after the date of the Indenture, if that default (a) is caused by a Payment Default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 (vii) 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 (viii) any event of default under any of the Collateral Documents or any of the Collateral Documents shall cease, for any reason (other than pursuant to their terms), to be in full force and effect, o 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 (ix) 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inaccuracy of any representation or warranty contained only in the Disbur sement Agreement shall constitute an Event of Default under the Indenture only to the extent such inaccuracy constitutes an event of default under a Disbursement Agreement; (x) except as expressly provided therein or by the Indenture, any Note Guarantee issued by a Significant Restricted Subsidiary of Wynn Las Vegas shall be held in any judicial proceeding to be unenforceable or invalid or shall cease for any reason to be in full force and effect or any Restricted Subsidiary of Wynn Las Vegas, or any Person acting on behalf of any such Person, shall deny or disaffirm its obligations under its Note Guarantee; (xi) 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 (xii) the revocation, termination, suspension or other cessation of effectiveness of any Gaming License which results in the cessation or suspension of gaming operations at any Gaming Facility for a period of more than 90 consecutive days; or (xiii) if Wynn Las Vegas ever fails to own, directly or indirectly, 100% of the issued and outstanding Equity Interests of Wynn Capital.</w:t>
      </w:r>
    </w:p>
    <w:p>
      <w:pPr>
        <w:spacing w:after="0" w:line="200" w:lineRule="exact"/>
        <w:rPr>
          <w:sz w:val="20"/>
          <w:szCs w:val="20"/>
          <w:color w:val="auto"/>
        </w:rPr>
      </w:pPr>
    </w:p>
    <w:p>
      <w:pPr>
        <w:spacing w:after="0" w:line="258" w:lineRule="exact"/>
        <w:rPr>
          <w:sz w:val="20"/>
          <w:szCs w:val="20"/>
          <w:color w:val="auto"/>
        </w:rPr>
      </w:pPr>
    </w:p>
    <w:p>
      <w:pPr>
        <w:ind w:left="660" w:firstLine="648"/>
        <w:spacing w:after="0" w:line="251" w:lineRule="auto"/>
        <w:rPr>
          <w:sz w:val="20"/>
          <w:szCs w:val="20"/>
          <w:color w:val="auto"/>
        </w:rPr>
      </w:pPr>
      <w:r>
        <w:rPr>
          <w:rFonts w:ascii="Arial" w:cs="Arial" w:eastAsia="Arial" w:hAnsi="Arial"/>
          <w:sz w:val="22"/>
          <w:szCs w:val="22"/>
          <w:color w:val="auto"/>
        </w:rPr>
        <w:t>In the case of an Event of Default arising from certain events of bankruptcy or insolvency with respect to (a) either Issuer, (b) any Significant Restricted Subsidiary of</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80" w:name="page181"/>
    <w:bookmarkEnd w:id="180"/>
    <w:p>
      <w:pPr>
        <w:jc w:val="both"/>
        <w:ind w:left="660"/>
        <w:spacing w:after="0" w:line="270" w:lineRule="auto"/>
        <w:rPr>
          <w:sz w:val="20"/>
          <w:szCs w:val="20"/>
          <w:color w:val="auto"/>
        </w:rPr>
      </w:pPr>
      <w:r>
        <w:rPr>
          <w:rFonts w:ascii="Arial" w:cs="Arial" w:eastAsia="Arial" w:hAnsi="Arial"/>
          <w:sz w:val="19"/>
          <w:szCs w:val="19"/>
          <w:color w:val="auto"/>
        </w:rPr>
        <w:t>Wynn Las Vegas or (c) any group of Restricted Subsidiaries of Wynn Las Vegas that, taken together,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the Intercreditor Agreement and in the other Collateral Documents. Subject to certain limitations, Holders of a majority in principal amount of the then outstanding Notes may direct the Trustee in its exercise of any trust or power. However, as long as any Indebtedness is outstanding und er the Credit Agreement or any of the 2014 Notes remain outstanding, the Holders will not have any right to direct the Collateral Agent to enforce remedies against the Collateral. The Trustee may withhold from Holders of the Notes notice of any continuing Default or Event of Default if it determines that withholding notice is in their interest, except a Default or Event of Default relating to the payment of principal or interest or premium or Liquidated Damages,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or Liquidated Damages, if any, on, or the principal of, the Notes. 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200" w:lineRule="exact"/>
        <w:rPr>
          <w:sz w:val="20"/>
          <w:szCs w:val="20"/>
          <w:color w:val="auto"/>
        </w:rPr>
      </w:pPr>
    </w:p>
    <w:p>
      <w:pPr>
        <w:spacing w:after="0" w:line="243" w:lineRule="exact"/>
        <w:rPr>
          <w:sz w:val="20"/>
          <w:szCs w:val="20"/>
          <w:color w:val="auto"/>
        </w:rPr>
      </w:pPr>
    </w:p>
    <w:p>
      <w:pPr>
        <w:jc w:val="both"/>
        <w:ind w:firstLine="1305"/>
        <w:spacing w:after="0" w:line="245" w:lineRule="auto"/>
        <w:tabs>
          <w:tab w:leader="none" w:pos="2116" w:val="left"/>
        </w:tabs>
        <w:numPr>
          <w:ilvl w:val="0"/>
          <w:numId w:val="246"/>
        </w:numPr>
        <w:rPr>
          <w:rFonts w:ascii="Arial" w:cs="Arial" w:eastAsia="Arial" w:hAnsi="Arial"/>
          <w:sz w:val="21"/>
          <w:szCs w:val="21"/>
          <w:color w:val="auto"/>
        </w:rPr>
      </w:pPr>
      <w:r>
        <w:rPr>
          <w:rFonts w:ascii="Arial" w:cs="Arial" w:eastAsia="Arial" w:hAnsi="Arial"/>
          <w:sz w:val="21"/>
          <w:szCs w:val="21"/>
          <w:i w:val="1"/>
          <w:iCs w:val="1"/>
          <w:color w:val="auto"/>
        </w:rPr>
        <w:t>Intercreditor Agreement</w:t>
      </w:r>
      <w:r>
        <w:rPr>
          <w:rFonts w:ascii="Arial" w:cs="Arial" w:eastAsia="Arial" w:hAnsi="Arial"/>
          <w:sz w:val="21"/>
          <w:szCs w:val="21"/>
          <w:color w:val="auto"/>
        </w:rPr>
        <w:t>. The Indenture authorizes the Trustee to enter into the Intercreditor Agreement on</w:t>
      </w:r>
      <w:r>
        <w:rPr>
          <w:rFonts w:ascii="Arial" w:cs="Arial" w:eastAsia="Arial" w:hAnsi="Arial"/>
          <w:sz w:val="21"/>
          <w:szCs w:val="21"/>
          <w:i w:val="1"/>
          <w:iCs w:val="1"/>
          <w:color w:val="auto"/>
        </w:rPr>
        <w:t xml:space="preserve"> </w:t>
      </w:r>
      <w:r>
        <w:rPr>
          <w:rFonts w:ascii="Arial" w:cs="Arial" w:eastAsia="Arial" w:hAnsi="Arial"/>
          <w:sz w:val="21"/>
          <w:szCs w:val="21"/>
          <w:color w:val="auto"/>
        </w:rPr>
        <w:t>behalf of itself and the Holders of the Notes. The Intercreditor Agreement will restrict the ability of the Trustee and the Holders of the Notes to exercise certain rights and remedies with respect to the Collateral. Under the Intercreditor Agreement, the agent under the Credit Agreement will have the right, subject to certain limited exceptions, to direct the Collateral Agent to enter into amendments of, or waive defaults under, the Collateral Documents that grant Liens on the Collateral without obtaining consent of the Trustee or the Holders of the Notes. At any time whe n at least $100.0 million in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w:t>
      </w:r>
    </w:p>
    <w:p>
      <w:pPr>
        <w:spacing w:after="0" w:line="208" w:lineRule="exact"/>
        <w:rPr>
          <w:rFonts w:ascii="Arial" w:cs="Arial" w:eastAsia="Arial" w:hAnsi="Arial"/>
          <w:sz w:val="21"/>
          <w:szCs w:val="21"/>
          <w:color w:val="auto"/>
        </w:rPr>
      </w:pPr>
    </w:p>
    <w:p>
      <w:pPr>
        <w:jc w:val="both"/>
        <w:ind w:firstLine="1305"/>
        <w:spacing w:after="0" w:line="249" w:lineRule="auto"/>
        <w:tabs>
          <w:tab w:leader="none" w:pos="2129" w:val="left"/>
        </w:tabs>
        <w:numPr>
          <w:ilvl w:val="0"/>
          <w:numId w:val="246"/>
        </w:numPr>
        <w:rPr>
          <w:rFonts w:ascii="Arial" w:cs="Arial" w:eastAsia="Arial" w:hAnsi="Arial"/>
          <w:sz w:val="21"/>
          <w:szCs w:val="21"/>
          <w:color w:val="auto"/>
        </w:rPr>
      </w:pPr>
      <w:r>
        <w:rPr>
          <w:rFonts w:ascii="Arial" w:cs="Arial" w:eastAsia="Arial" w:hAnsi="Arial"/>
          <w:sz w:val="21"/>
          <w:szCs w:val="21"/>
          <w:i w:val="1"/>
          <w:iCs w:val="1"/>
          <w:color w:val="auto"/>
        </w:rPr>
        <w:t>Trustee Dealings with Issuers</w:t>
      </w:r>
      <w:r>
        <w:rPr>
          <w:rFonts w:ascii="Arial" w:cs="Arial" w:eastAsia="Arial" w:hAnsi="Arial"/>
          <w:sz w:val="21"/>
          <w:szCs w:val="21"/>
          <w:color w:val="auto"/>
        </w:rPr>
        <w:t>. The Trustee, in its individual or any other capacity, may become the owner</w:t>
      </w:r>
      <w:r>
        <w:rPr>
          <w:rFonts w:ascii="Arial" w:cs="Arial" w:eastAsia="Arial" w:hAnsi="Arial"/>
          <w:sz w:val="21"/>
          <w:szCs w:val="21"/>
          <w:i w:val="1"/>
          <w:iCs w:val="1"/>
          <w:color w:val="auto"/>
        </w:rPr>
        <w:t xml:space="preserve"> </w:t>
      </w:r>
      <w:r>
        <w:rPr>
          <w:rFonts w:ascii="Arial" w:cs="Arial" w:eastAsia="Arial" w:hAnsi="Arial"/>
          <w:sz w:val="21"/>
          <w:szCs w:val="21"/>
          <w:color w:val="auto"/>
        </w:rPr>
        <w:t>or 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The Trustee is also subject to Sections 7.10 and 7.11 of the Indenture.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81" w:name="page182"/>
    <w:bookmarkEnd w:id="181"/>
    <w:p>
      <w:pPr>
        <w:jc w:val="both"/>
        <w:ind w:firstLine="1305"/>
        <w:spacing w:after="0" w:line="279" w:lineRule="auto"/>
        <w:tabs>
          <w:tab w:leader="none" w:pos="2089" w:val="left"/>
        </w:tabs>
        <w:numPr>
          <w:ilvl w:val="0"/>
          <w:numId w:val="247"/>
        </w:numPr>
        <w:rPr>
          <w:rFonts w:ascii="Arial" w:cs="Arial" w:eastAsia="Arial" w:hAnsi="Arial"/>
          <w:sz w:val="19"/>
          <w:szCs w:val="19"/>
          <w:color w:val="auto"/>
        </w:rPr>
      </w:pPr>
      <w:r>
        <w:rPr>
          <w:rFonts w:ascii="Arial" w:cs="Arial" w:eastAsia="Arial" w:hAnsi="Arial"/>
          <w:sz w:val="19"/>
          <w:szCs w:val="19"/>
          <w:i w:val="1"/>
          <w:iCs w:val="1"/>
          <w:color w:val="auto"/>
        </w:rPr>
        <w:t>No Recourse Against Others</w:t>
      </w:r>
      <w:r>
        <w:rPr>
          <w:rFonts w:ascii="Arial" w:cs="Arial" w:eastAsia="Arial" w:hAnsi="Arial"/>
          <w:sz w:val="19"/>
          <w:szCs w:val="19"/>
          <w:color w:val="auto"/>
        </w:rPr>
        <w:t>. No past, present or future director, officer, employee, incorporator, organizer,</w:t>
      </w:r>
      <w:r>
        <w:rPr>
          <w:rFonts w:ascii="Arial" w:cs="Arial" w:eastAsia="Arial" w:hAnsi="Arial"/>
          <w:sz w:val="19"/>
          <w:szCs w:val="19"/>
          <w:i w:val="1"/>
          <w:iCs w:val="1"/>
          <w:color w:val="auto"/>
        </w:rPr>
        <w:t xml:space="preserve"> </w:t>
      </w:r>
      <w:r>
        <w:rPr>
          <w:rFonts w:ascii="Arial" w:cs="Arial" w:eastAsia="Arial" w:hAnsi="Arial"/>
          <w:sz w:val="19"/>
          <w:szCs w:val="19"/>
          <w:color w:val="auto"/>
        </w:rPr>
        <w:t>equity holder or member of either Issuer, any of the Restricted Subsidiaries of Wynn Las Vegas or any Guarantor, as such, shall have any liability for any obligations of either Issuer, any such Restricted Subsidiary or any Guarantor under the Notes, the Note Guarantees,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77" w:lineRule="exact"/>
        <w:rPr>
          <w:rFonts w:ascii="Arial" w:cs="Arial" w:eastAsia="Arial" w:hAnsi="Arial"/>
          <w:sz w:val="19"/>
          <w:szCs w:val="19"/>
          <w:color w:val="auto"/>
        </w:rPr>
      </w:pPr>
    </w:p>
    <w:p>
      <w:pPr>
        <w:ind w:left="2160" w:hanging="855"/>
        <w:spacing w:after="0"/>
        <w:tabs>
          <w:tab w:leader="none" w:pos="2160" w:val="left"/>
        </w:tabs>
        <w:numPr>
          <w:ilvl w:val="0"/>
          <w:numId w:val="247"/>
        </w:numPr>
        <w:rPr>
          <w:rFonts w:ascii="Arial" w:cs="Arial" w:eastAsia="Arial" w:hAnsi="Arial"/>
          <w:sz w:val="19"/>
          <w:szCs w:val="19"/>
          <w:color w:val="auto"/>
        </w:rPr>
      </w:pPr>
      <w:r>
        <w:rPr>
          <w:rFonts w:ascii="Arial" w:cs="Arial" w:eastAsia="Arial" w:hAnsi="Arial"/>
          <w:sz w:val="19"/>
          <w:szCs w:val="19"/>
          <w:i w:val="1"/>
          <w:iCs w:val="1"/>
          <w:color w:val="auto"/>
        </w:rPr>
        <w:t>Authentication</w:t>
      </w:r>
      <w:r>
        <w:rPr>
          <w:rFonts w:ascii="Arial" w:cs="Arial" w:eastAsia="Arial" w:hAnsi="Arial"/>
          <w:sz w:val="19"/>
          <w:szCs w:val="19"/>
          <w:color w:val="auto"/>
        </w:rPr>
        <w:t>. This Note shall not be valid until authenticated by the manual signature of the Trustee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 authenticating agent.</w:t>
      </w:r>
    </w:p>
    <w:p>
      <w:pPr>
        <w:spacing w:after="0" w:line="215" w:lineRule="exact"/>
        <w:rPr>
          <w:rFonts w:ascii="Arial" w:cs="Arial" w:eastAsia="Arial" w:hAnsi="Arial"/>
          <w:sz w:val="19"/>
          <w:szCs w:val="19"/>
          <w:color w:val="auto"/>
        </w:rPr>
      </w:pPr>
    </w:p>
    <w:p>
      <w:pPr>
        <w:jc w:val="both"/>
        <w:ind w:firstLine="1305"/>
        <w:spacing w:after="0"/>
        <w:tabs>
          <w:tab w:leader="none" w:pos="2089" w:val="left"/>
        </w:tabs>
        <w:numPr>
          <w:ilvl w:val="0"/>
          <w:numId w:val="247"/>
        </w:numPr>
        <w:rPr>
          <w:rFonts w:ascii="Arial" w:cs="Arial" w:eastAsia="Arial" w:hAnsi="Arial"/>
          <w:sz w:val="22"/>
          <w:szCs w:val="22"/>
          <w:color w:val="auto"/>
        </w:rPr>
      </w:pPr>
      <w:r>
        <w:rPr>
          <w:rFonts w:ascii="Arial" w:cs="Arial" w:eastAsia="Arial" w:hAnsi="Arial"/>
          <w:sz w:val="22"/>
          <w:szCs w:val="22"/>
          <w:i w:val="1"/>
          <w:iCs w:val="1"/>
          <w:color w:val="auto"/>
        </w:rPr>
        <w:t>Abbreviations</w:t>
      </w:r>
      <w:r>
        <w:rPr>
          <w:rFonts w:ascii="Arial" w:cs="Arial" w:eastAsia="Arial" w:hAnsi="Arial"/>
          <w:sz w:val="22"/>
          <w:szCs w:val="22"/>
          <w:color w:val="auto"/>
        </w:rPr>
        <w:t>. Customary abbreviations may be used in the name of a Holder or an assignee, such as: TEN</w:t>
      </w:r>
      <w:r>
        <w:rPr>
          <w:rFonts w:ascii="Arial" w:cs="Arial" w:eastAsia="Arial" w:hAnsi="Arial"/>
          <w:sz w:val="22"/>
          <w:szCs w:val="22"/>
          <w:i w:val="1"/>
          <w:iCs w:val="1"/>
          <w:color w:val="auto"/>
        </w:rPr>
        <w:t xml:space="preserve"> </w:t>
      </w:r>
      <w:r>
        <w:rPr>
          <w:rFonts w:ascii="Arial" w:cs="Arial" w:eastAsia="Arial" w:hAnsi="Arial"/>
          <w:sz w:val="22"/>
          <w:szCs w:val="22"/>
          <w:color w:val="auto"/>
        </w:rPr>
        <w:t>COM (= tenants in common), TEN ENT (= tenants by the entireties), JT TEN (= joint tenants with right of survivorship and not as tenants in common), CUST (= Custodian), and U/G/M/A (= Uniform Gifts to Minors Act).</w:t>
      </w:r>
    </w:p>
    <w:p>
      <w:pPr>
        <w:spacing w:after="0" w:line="213" w:lineRule="exact"/>
        <w:rPr>
          <w:rFonts w:ascii="Arial" w:cs="Arial" w:eastAsia="Arial" w:hAnsi="Arial"/>
          <w:sz w:val="22"/>
          <w:szCs w:val="22"/>
          <w:color w:val="auto"/>
        </w:rPr>
      </w:pPr>
    </w:p>
    <w:p>
      <w:pPr>
        <w:jc w:val="both"/>
        <w:ind w:firstLine="1305"/>
        <w:spacing w:after="0" w:line="247" w:lineRule="auto"/>
        <w:tabs>
          <w:tab w:leader="none" w:pos="2102" w:val="left"/>
        </w:tabs>
        <w:numPr>
          <w:ilvl w:val="0"/>
          <w:numId w:val="247"/>
        </w:numPr>
        <w:rPr>
          <w:rFonts w:ascii="Arial" w:cs="Arial" w:eastAsia="Arial" w:hAnsi="Arial"/>
          <w:sz w:val="21"/>
          <w:szCs w:val="21"/>
          <w:color w:val="auto"/>
        </w:rPr>
      </w:pPr>
      <w:r>
        <w:rPr>
          <w:rFonts w:ascii="Arial" w:cs="Arial" w:eastAsia="Arial" w:hAnsi="Arial"/>
          <w:sz w:val="21"/>
          <w:szCs w:val="21"/>
          <w:i w:val="1"/>
          <w:iCs w:val="1"/>
          <w:color w:val="auto"/>
        </w:rPr>
        <w:t>Additional Rights of Holders of Restricted Global Notes and Restricted Definitive Notes</w:t>
      </w:r>
      <w:r>
        <w:rPr>
          <w:rFonts w:ascii="Arial" w:cs="Arial" w:eastAsia="Arial" w:hAnsi="Arial"/>
          <w:sz w:val="21"/>
          <w:szCs w:val="21"/>
          <w:color w:val="auto"/>
        </w:rPr>
        <w:t>. In addition to the</w:t>
      </w:r>
      <w:r>
        <w:rPr>
          <w:rFonts w:ascii="Arial" w:cs="Arial" w:eastAsia="Arial" w:hAnsi="Arial"/>
          <w:sz w:val="21"/>
          <w:szCs w:val="21"/>
          <w:i w:val="1"/>
          <w:iCs w:val="1"/>
          <w:color w:val="auto"/>
        </w:rPr>
        <w:t xml:space="preserve"> </w:t>
      </w:r>
      <w:r>
        <w:rPr>
          <w:rFonts w:ascii="Arial" w:cs="Arial" w:eastAsia="Arial" w:hAnsi="Arial"/>
          <w:sz w:val="21"/>
          <w:szCs w:val="21"/>
          <w:color w:val="auto"/>
        </w:rPr>
        <w:t>rights provided to Holders of Notes under the Indenture, Holders of Restricted Global Notes and Restricted Definitive Notes shall have all the rights set forth in the Registration Rights Agreement dated as of April 28, 2010, among the Issuers, the Guarantors and the other parties named on the signature pages thereof or, in the case of Additional Notes, Holders of Restricted Global Notes and Restricted Definitive Notes shall have the rights set forth in one or more registration rights agreements, if any, among the Issuers, the Guarantors and the other parties thereto, relating to rights given by the Issue rs and the Guarantors to the purchasers of any Additional Notes (collectively, the “</w:t>
      </w:r>
      <w:r>
        <w:rPr>
          <w:rFonts w:ascii="Arial" w:cs="Arial" w:eastAsia="Arial" w:hAnsi="Arial"/>
          <w:sz w:val="21"/>
          <w:szCs w:val="21"/>
          <w:i w:val="1"/>
          <w:iCs w:val="1"/>
          <w:u w:val="single" w:color="auto"/>
          <w:color w:val="auto"/>
        </w:rPr>
        <w:t>Registration Rights Agreement</w:t>
      </w:r>
      <w:r>
        <w:rPr>
          <w:rFonts w:ascii="Arial" w:cs="Arial" w:eastAsia="Arial" w:hAnsi="Arial"/>
          <w:sz w:val="21"/>
          <w:szCs w:val="21"/>
          <w:color w:val="auto"/>
        </w:rPr>
        <w:t>”).</w:t>
      </w:r>
    </w:p>
    <w:p>
      <w:pPr>
        <w:spacing w:after="0" w:line="205" w:lineRule="exact"/>
        <w:rPr>
          <w:rFonts w:ascii="Arial" w:cs="Arial" w:eastAsia="Arial" w:hAnsi="Arial"/>
          <w:sz w:val="21"/>
          <w:szCs w:val="21"/>
          <w:color w:val="auto"/>
        </w:rPr>
      </w:pPr>
    </w:p>
    <w:p>
      <w:pPr>
        <w:jc w:val="both"/>
        <w:ind w:firstLine="1305"/>
        <w:spacing w:after="0"/>
        <w:tabs>
          <w:tab w:leader="none" w:pos="2359" w:val="left"/>
        </w:tabs>
        <w:numPr>
          <w:ilvl w:val="0"/>
          <w:numId w:val="247"/>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INDENTURE, THIS NOTE AND THE NOTE GUARANTEES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GOVERNED BY AND CONSTRUED IN ACCORDANCE WITH THE LAWS OF THE STATE OF NEW YORK, INCLUDING, WITHOUT LIMITATION, SECTION 4-1401 OF THE NEW YORK OBLIGATIONS LAW.</w:t>
      </w:r>
    </w:p>
    <w:p>
      <w:pPr>
        <w:spacing w:after="0" w:line="213" w:lineRule="exact"/>
        <w:rPr>
          <w:rFonts w:ascii="Arial" w:cs="Arial" w:eastAsia="Arial" w:hAnsi="Arial"/>
          <w:sz w:val="22"/>
          <w:szCs w:val="22"/>
          <w:color w:val="auto"/>
        </w:rPr>
      </w:pPr>
    </w:p>
    <w:p>
      <w:pPr>
        <w:jc w:val="both"/>
        <w:ind w:firstLine="1305"/>
        <w:spacing w:after="0" w:line="236" w:lineRule="auto"/>
        <w:tabs>
          <w:tab w:leader="none" w:pos="2264" w:val="left"/>
        </w:tabs>
        <w:numPr>
          <w:ilvl w:val="0"/>
          <w:numId w:val="247"/>
        </w:numPr>
        <w:rPr>
          <w:rFonts w:ascii="Arial" w:cs="Arial" w:eastAsia="Arial" w:hAnsi="Arial"/>
          <w:sz w:val="22"/>
          <w:szCs w:val="22"/>
          <w:color w:val="auto"/>
        </w:rPr>
      </w:pPr>
      <w:r>
        <w:rPr>
          <w:rFonts w:ascii="Arial" w:cs="Arial" w:eastAsia="Arial" w:hAnsi="Arial"/>
          <w:sz w:val="22"/>
          <w:szCs w:val="22"/>
          <w:i w:val="1"/>
          <w:iCs w:val="1"/>
          <w:color w:val="auto"/>
        </w:rPr>
        <w:t>CUSIP Numbers</w:t>
      </w:r>
      <w:r>
        <w:rPr>
          <w:rFonts w:ascii="Arial" w:cs="Arial" w:eastAsia="Arial" w:hAnsi="Arial"/>
          <w:sz w:val="22"/>
          <w:szCs w:val="22"/>
          <w:color w:val="auto"/>
        </w:rPr>
        <w:t>. Pursuant to a recommendation promulgated by the Committee on Uniform Security</w:t>
      </w:r>
      <w:r>
        <w:rPr>
          <w:rFonts w:ascii="Arial" w:cs="Arial" w:eastAsia="Arial" w:hAnsi="Arial"/>
          <w:sz w:val="22"/>
          <w:szCs w:val="22"/>
          <w:i w:val="1"/>
          <w:iCs w:val="1"/>
          <w:color w:val="auto"/>
        </w:rPr>
        <w:t xml:space="preserve"> </w:t>
      </w:r>
      <w:r>
        <w:rPr>
          <w:rFonts w:ascii="Arial" w:cs="Arial" w:eastAsia="Arial" w:hAnsi="Arial"/>
          <w:sz w:val="22"/>
          <w:szCs w:val="22"/>
          <w:color w:val="auto"/>
        </w:rPr>
        <w:t>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21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Issuers shall furnish to any Holder upon written request and without charge a copy of the Indenture, the Registration Rights Agreement and/or the Collateral Documents. Requests may be made to:</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Las Vegas, LLC</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3131 Las Vegas Boulevard, South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color w:val="auto"/>
        </w:rPr>
        <w:t>Las Vegas, NV 89109</w:t>
      </w:r>
    </w:p>
    <w:p>
      <w:pPr>
        <w:spacing w:after="0" w:line="238" w:lineRule="auto"/>
        <w:rPr>
          <w:sz w:val="20"/>
          <w:szCs w:val="20"/>
          <w:color w:val="auto"/>
        </w:rPr>
      </w:pPr>
      <w:r>
        <w:rPr>
          <w:rFonts w:ascii="Arial" w:cs="Arial" w:eastAsia="Arial" w:hAnsi="Arial"/>
          <w:sz w:val="22"/>
          <w:szCs w:val="22"/>
          <w:color w:val="auto"/>
        </w:rPr>
        <w:t>Telecopier No.: (702) 770-1520</w:t>
      </w:r>
    </w:p>
    <w:p>
      <w:pPr>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4219"/>
        <w:spacing w:after="0"/>
        <w:rPr>
          <w:sz w:val="20"/>
          <w:szCs w:val="20"/>
          <w:color w:val="auto"/>
        </w:rPr>
      </w:pPr>
      <w:r>
        <w:rPr>
          <w:rFonts w:ascii="Arial" w:cs="Arial" w:eastAsia="Arial" w:hAnsi="Arial"/>
          <w:sz w:val="20"/>
          <w:szCs w:val="20"/>
          <w:color w:val="auto"/>
        </w:rPr>
        <w:t>A-2-12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76835</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753" w:right="1440"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b w:val="1"/>
          <w:bCs w:val="1"/>
          <w:color w:val="auto"/>
        </w:rPr>
        <w:t>EXHIBIT A-2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Assignment Form</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36"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(Insert assignee’s legal name)</w:t>
      </w:r>
    </w:p>
    <w:p>
      <w:pPr>
        <w:spacing w:after="0" w:line="231"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(Insert assignee’s soc. sec. or tax I.D. no.)</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(Print or type assignee’s name, address and zip code)</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to transfer this Note on the books of the Issuers. The agent may substitute another to act for him.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Your Signature:</w:t>
      </w:r>
    </w:p>
    <w:p>
      <w:pPr>
        <w:spacing w:after="0" w:line="60"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33" w:lineRule="exact"/>
        <w:rPr>
          <w:sz w:val="20"/>
          <w:szCs w:val="20"/>
          <w:color w:val="auto"/>
        </w:rPr>
      </w:pPr>
    </w:p>
    <w:p>
      <w:pPr>
        <w:ind w:left="1060" w:hanging="1052"/>
        <w:spacing w:after="0"/>
        <w:tabs>
          <w:tab w:leader="none" w:pos="106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22"/>
          <w:szCs w:val="22"/>
          <w:b w:val="1"/>
          <w:bCs w:val="1"/>
          <w:color w:val="auto"/>
        </w:rPr>
        <w:t>EXHIBIT A-2</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Option of Holder to Elect Purchase</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If you want to elect to have this Note purchased by the Issuers pursuant to Section 4.10, 4.15 or 4.16 of the Indenture, check the appropriate box below:</w:t>
      </w:r>
    </w:p>
    <w:p>
      <w:pPr>
        <w:spacing w:after="0" w:line="200" w:lineRule="exact"/>
        <w:rPr>
          <w:sz w:val="20"/>
          <w:szCs w:val="20"/>
          <w:color w:val="auto"/>
        </w:rPr>
      </w:pPr>
    </w:p>
    <w:p>
      <w:pPr>
        <w:ind w:left="2900"/>
        <w:spacing w:after="0"/>
        <w:tabs>
          <w:tab w:leader="none" w:pos="5160" w:val="left"/>
          <w:tab w:leader="none" w:pos="7420"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22"/>
          <w:szCs w:val="22"/>
          <w:color w:val="auto"/>
        </w:rPr>
        <w:t>Section 4.15</w:t>
      </w:r>
      <w:r>
        <w:rPr>
          <w:sz w:val="20"/>
          <w:szCs w:val="20"/>
          <w:color w:val="auto"/>
        </w:rPr>
        <w:tab/>
      </w:r>
      <w:r>
        <w:rPr>
          <w:rFonts w:ascii="Arial" w:cs="Arial" w:eastAsia="Arial" w:hAnsi="Arial"/>
          <w:sz w:val="19"/>
          <w:szCs w:val="19"/>
          <w:color w:val="auto"/>
        </w:rPr>
        <w:t>Section 4.16</w:t>
      </w:r>
    </w:p>
    <w:p>
      <w:pPr>
        <w:spacing w:after="0" w:line="233"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If you want to elect to have only part of the Note purchased by the Issuers pursuant to Section 4.10, Section 4.15 or Section 4.16 of the Indenture, state the amount you elect to have purchased:</w:t>
      </w:r>
    </w:p>
    <w:p>
      <w:pPr>
        <w:spacing w:after="0" w:line="200"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Your Signature:</w:t>
      </w:r>
    </w:p>
    <w:p>
      <w:pPr>
        <w:spacing w:after="0" w:line="60"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5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Tax Identification No.: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33" w:lineRule="exact"/>
        <w:rPr>
          <w:sz w:val="20"/>
          <w:szCs w:val="20"/>
          <w:color w:val="auto"/>
        </w:rPr>
      </w:pPr>
    </w:p>
    <w:p>
      <w:pPr>
        <w:ind w:left="1060" w:hanging="1052"/>
        <w:spacing w:after="0"/>
        <w:tabs>
          <w:tab w:leader="none" w:pos="1060" w:val="left"/>
        </w:tabs>
        <w:numPr>
          <w:ilvl w:val="0"/>
          <w:numId w:val="249"/>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2"/>
          <w:szCs w:val="22"/>
          <w:b w:val="1"/>
          <w:bCs w:val="1"/>
          <w:color w:val="auto"/>
        </w:rPr>
        <w:t>EXHIBIT A-2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OF EXCHANGES OF INTERESTS IN THE GLOBAL NOTE*</w:t>
      </w:r>
    </w:p>
    <w:p>
      <w:pPr>
        <w:spacing w:after="0" w:line="233"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64"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1640" w:type="dxa"/>
            <w:vAlign w:val="bottom"/>
          </w:tcPr>
          <w:p>
            <w:pPr>
              <w:spacing w:after="0"/>
              <w:rPr>
                <w:sz w:val="20"/>
                <w:szCs w:val="20"/>
                <w:color w:val="auto"/>
              </w:rPr>
            </w:pPr>
            <w:r>
              <w:rPr>
                <w:rFonts w:ascii="Arial" w:cs="Arial" w:eastAsia="Arial" w:hAnsi="Arial"/>
                <w:sz w:val="14"/>
                <w:szCs w:val="14"/>
                <w:b w:val="1"/>
                <w:bCs w:val="1"/>
                <w:color w:val="auto"/>
              </w:rPr>
              <w:t>Date of Exchange</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0"/>
              </w:rPr>
              <w:t>Amount of decrease</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increase in</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6"/>
              </w:rPr>
              <w:t>Principal Amount</w:t>
            </w:r>
          </w:p>
        </w:tc>
        <w:tc>
          <w:tcPr>
            <w:tcW w:w="1780" w:type="dxa"/>
            <w:vAlign w:val="bottom"/>
          </w:tcPr>
          <w:p>
            <w:pPr>
              <w:jc w:val="center"/>
              <w:ind w:left="428"/>
              <w:spacing w:after="0"/>
              <w:rPr>
                <w:sz w:val="20"/>
                <w:szCs w:val="20"/>
                <w:color w:val="auto"/>
              </w:rPr>
            </w:pPr>
            <w:r>
              <w:rPr>
                <w:rFonts w:ascii="Arial" w:cs="Arial" w:eastAsia="Arial" w:hAnsi="Arial"/>
                <w:sz w:val="14"/>
                <w:szCs w:val="14"/>
                <w:b w:val="1"/>
                <w:bCs w:val="1"/>
                <w:color w:val="auto"/>
                <w:w w:val="92"/>
              </w:rPr>
              <w:t>Signature of</w:t>
            </w:r>
          </w:p>
        </w:tc>
      </w:tr>
      <w:tr>
        <w:trPr>
          <w:trHeight w:val="149"/>
        </w:trPr>
        <w:tc>
          <w:tcPr>
            <w:tcW w:w="16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 Principal Amount</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Global Note</w:t>
            </w:r>
          </w:p>
        </w:tc>
        <w:tc>
          <w:tcPr>
            <w:tcW w:w="178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92"/>
              </w:rPr>
              <w:t>authorized officer of</w:t>
            </w:r>
          </w:p>
        </w:tc>
      </w:tr>
      <w:tr>
        <w:trPr>
          <w:trHeight w:val="149"/>
        </w:trPr>
        <w:tc>
          <w:tcPr>
            <w:tcW w:w="16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this Global Note</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Global Note</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78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2"/>
              </w:rPr>
              <w:t>Trustee or Custodian</w:t>
            </w:r>
          </w:p>
        </w:tc>
      </w:tr>
      <w:tr>
        <w:trPr>
          <w:trHeight w:val="186"/>
        </w:trPr>
        <w:tc>
          <w:tcPr>
            <w:tcW w:w="1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 (or increase)</w:t>
            </w:r>
          </w:p>
        </w:tc>
        <w:tc>
          <w:tcPr>
            <w:tcW w:w="17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0" w:hanging="332"/>
        <w:spacing w:after="0"/>
        <w:tabs>
          <w:tab w:leader="none" w:pos="340" w:val="left"/>
        </w:tabs>
        <w:numPr>
          <w:ilvl w:val="0"/>
          <w:numId w:val="250"/>
        </w:numPr>
        <w:rPr>
          <w:rFonts w:ascii="Arial" w:cs="Arial" w:eastAsia="Arial" w:hAnsi="Arial"/>
          <w:sz w:val="22"/>
          <w:szCs w:val="22"/>
          <w:color w:val="auto"/>
        </w:rPr>
      </w:pPr>
      <w:r>
        <w:rPr>
          <w:rFonts w:ascii="Arial" w:cs="Arial" w:eastAsia="Arial" w:hAnsi="Arial"/>
          <w:sz w:val="22"/>
          <w:szCs w:val="22"/>
          <w:i w:val="1"/>
          <w:iCs w:val="1"/>
          <w:color w:val="auto"/>
        </w:rPr>
        <w:t>This schedule should be included only if the Note is issued in global form.</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9" w:lineRule="exact"/>
        <w:rPr>
          <w:rFonts w:ascii="Arial" w:cs="Arial" w:eastAsia="Arial" w:hAnsi="Arial"/>
          <w:sz w:val="22"/>
          <w:szCs w:val="22"/>
          <w:color w:val="auto"/>
        </w:rPr>
      </w:pPr>
    </w:p>
    <w:p>
      <w:pPr>
        <w:ind w:left="5420"/>
        <w:spacing w:after="0"/>
        <w:rPr>
          <w:rFonts w:ascii="Arial" w:cs="Arial" w:eastAsia="Arial" w:hAnsi="Arial"/>
          <w:sz w:val="22"/>
          <w:szCs w:val="22"/>
          <w:color w:val="auto"/>
        </w:rPr>
      </w:pPr>
      <w:r>
        <w:rPr>
          <w:rFonts w:ascii="Arial" w:cs="Arial" w:eastAsia="Arial" w:hAnsi="Arial"/>
          <w:sz w:val="20"/>
          <w:szCs w:val="20"/>
          <w:color w:val="auto"/>
        </w:rPr>
        <w:t>A-2-15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2"/>
          <w:szCs w:val="22"/>
          <w:b w:val="1"/>
          <w:bCs w:val="1"/>
          <w:color w:val="auto"/>
        </w:rPr>
        <w:t>EXHIBIT B</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TRANSFER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238" w:lineRule="auto"/>
        <w:rPr>
          <w:sz w:val="20"/>
          <w:szCs w:val="20"/>
          <w:color w:val="auto"/>
        </w:rPr>
      </w:pPr>
      <w:r>
        <w:rPr>
          <w:rFonts w:ascii="Arial" w:cs="Arial" w:eastAsia="Arial" w:hAnsi="Arial"/>
          <w:sz w:val="22"/>
          <w:szCs w:val="22"/>
          <w:color w:val="auto"/>
        </w:rPr>
        <w:t>Wynn Las Vegas Capital Corp.</w:t>
      </w:r>
    </w:p>
    <w:p>
      <w:pPr>
        <w:spacing w:after="0" w:line="230" w:lineRule="auto"/>
        <w:rPr>
          <w:sz w:val="20"/>
          <w:szCs w:val="20"/>
          <w:color w:val="auto"/>
        </w:rPr>
      </w:pPr>
      <w:r>
        <w:rPr>
          <w:rFonts w:ascii="Arial" w:cs="Arial" w:eastAsia="Arial" w:hAnsi="Arial"/>
          <w:sz w:val="22"/>
          <w:szCs w:val="22"/>
          <w:color w:val="auto"/>
        </w:rPr>
        <w:t>3131 Las Vegas Boulevard, South</w:t>
      </w:r>
    </w:p>
    <w:p>
      <w:pPr>
        <w:spacing w:after="0" w:line="231" w:lineRule="auto"/>
        <w:rPr>
          <w:sz w:val="20"/>
          <w:szCs w:val="20"/>
          <w:color w:val="auto"/>
        </w:rPr>
      </w:pPr>
      <w:r>
        <w:rPr>
          <w:rFonts w:ascii="Arial" w:cs="Arial" w:eastAsia="Arial" w:hAnsi="Arial"/>
          <w:sz w:val="22"/>
          <w:szCs w:val="22"/>
          <w:color w:val="auto"/>
        </w:rPr>
        <w:t>Las Vegas, Nevada 89109</w:t>
      </w:r>
    </w:p>
    <w:p>
      <w:pPr>
        <w:spacing w:after="0" w:line="231" w:lineRule="auto"/>
        <w:rPr>
          <w:sz w:val="20"/>
          <w:szCs w:val="20"/>
          <w:color w:val="auto"/>
        </w:rPr>
      </w:pPr>
      <w:r>
        <w:rPr>
          <w:rFonts w:ascii="Arial" w:cs="Arial" w:eastAsia="Arial" w:hAnsi="Arial"/>
          <w:sz w:val="22"/>
          <w:szCs w:val="22"/>
          <w:color w:val="auto"/>
        </w:rPr>
        <w:t>Telecopy: (702) 770-1100</w:t>
      </w:r>
    </w:p>
    <w:p>
      <w:pPr>
        <w:spacing w:after="0"/>
        <w:rPr>
          <w:sz w:val="20"/>
          <w:szCs w:val="20"/>
          <w:color w:val="auto"/>
        </w:rPr>
      </w:pPr>
      <w:r>
        <w:rPr>
          <w:rFonts w:ascii="Arial" w:cs="Arial" w:eastAsia="Arial" w:hAnsi="Arial"/>
          <w:sz w:val="22"/>
          <w:szCs w:val="22"/>
          <w:color w:val="auto"/>
        </w:rPr>
        <w:t>Attention: President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38" w:lineRule="auto"/>
        <w:rPr>
          <w:sz w:val="20"/>
          <w:szCs w:val="20"/>
          <w:color w:val="auto"/>
        </w:rPr>
      </w:pPr>
      <w:r>
        <w:rPr>
          <w:rFonts w:ascii="Arial" w:cs="Arial" w:eastAsia="Arial" w:hAnsi="Arial"/>
          <w:sz w:val="22"/>
          <w:szCs w:val="22"/>
          <w:color w:val="auto"/>
        </w:rPr>
        <w:t>EP-MN-WS3C</w:t>
      </w:r>
    </w:p>
    <w:p>
      <w:pPr>
        <w:spacing w:after="0" w:line="230" w:lineRule="auto"/>
        <w:rPr>
          <w:sz w:val="20"/>
          <w:szCs w:val="20"/>
          <w:color w:val="auto"/>
        </w:rPr>
      </w:pPr>
      <w:r>
        <w:rPr>
          <w:rFonts w:ascii="Arial" w:cs="Arial" w:eastAsia="Arial" w:hAnsi="Arial"/>
          <w:sz w:val="22"/>
          <w:szCs w:val="22"/>
          <w:color w:val="auto"/>
        </w:rPr>
        <w:t>60 Livingston Avenue</w:t>
      </w:r>
    </w:p>
    <w:p>
      <w:pPr>
        <w:spacing w:after="0" w:line="231" w:lineRule="auto"/>
        <w:rPr>
          <w:sz w:val="20"/>
          <w:szCs w:val="20"/>
          <w:color w:val="auto"/>
        </w:rPr>
      </w:pPr>
      <w:r>
        <w:rPr>
          <w:rFonts w:ascii="Arial" w:cs="Arial" w:eastAsia="Arial" w:hAnsi="Arial"/>
          <w:sz w:val="22"/>
          <w:szCs w:val="22"/>
          <w:color w:val="auto"/>
        </w:rPr>
        <w:t>St. Paul, Minnesota 55107</w:t>
      </w:r>
    </w:p>
    <w:p>
      <w:pPr>
        <w:spacing w:after="0" w:line="231" w:lineRule="auto"/>
        <w:rPr>
          <w:sz w:val="20"/>
          <w:szCs w:val="20"/>
          <w:color w:val="auto"/>
        </w:rPr>
      </w:pPr>
      <w:r>
        <w:rPr>
          <w:rFonts w:ascii="Arial" w:cs="Arial" w:eastAsia="Arial" w:hAnsi="Arial"/>
          <w:sz w:val="22"/>
          <w:szCs w:val="22"/>
          <w:color w:val="auto"/>
        </w:rPr>
        <w:t>Telecopy: (651) 495-8097</w:t>
      </w:r>
    </w:p>
    <w:p>
      <w:pPr>
        <w:spacing w:after="0"/>
        <w:rPr>
          <w:sz w:val="20"/>
          <w:szCs w:val="20"/>
          <w:color w:val="auto"/>
        </w:rPr>
      </w:pPr>
      <w:r>
        <w:rPr>
          <w:rFonts w:ascii="Arial" w:cs="Arial" w:eastAsia="Arial" w:hAnsi="Arial"/>
          <w:sz w:val="22"/>
          <w:szCs w:val="22"/>
          <w:color w:val="auto"/>
        </w:rPr>
        <w:t>Attention: Corporate Trust Department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7⅞% First Mortgage Notes due 2020</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Reference is hereby made to the Indenture, dated as of April 28, 2010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the Guarantors party thereto and U.S. Bank National Association, as trustee (the “</w:t>
      </w:r>
      <w:r>
        <w:rPr>
          <w:rFonts w:ascii="Arial" w:cs="Arial" w:eastAsia="Arial" w:hAnsi="Arial"/>
          <w:sz w:val="19"/>
          <w:szCs w:val="19"/>
          <w:i w:val="1"/>
          <w:iCs w:val="1"/>
          <w:color w:val="auto"/>
        </w:rPr>
        <w:t>Trustee</w:t>
      </w:r>
      <w:r>
        <w:rPr>
          <w:rFonts w:ascii="Arial" w:cs="Arial" w:eastAsia="Arial" w:hAnsi="Arial"/>
          <w:sz w:val="19"/>
          <w:szCs w:val="19"/>
          <w:color w:val="auto"/>
        </w:rPr>
        <w:t>”). Capitalized terms used but not defined herein shall have the meanings given to them in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___________________, (the “</w:t>
      </w:r>
      <w:r>
        <w:rPr>
          <w:rFonts w:ascii="Arial" w:cs="Arial" w:eastAsia="Arial" w:hAnsi="Arial"/>
          <w:sz w:val="19"/>
          <w:szCs w:val="19"/>
          <w:i w:val="1"/>
          <w:iCs w:val="1"/>
          <w:u w:val="single" w:color="auto"/>
          <w:color w:val="auto"/>
        </w:rPr>
        <w:t>Transferor</w:t>
      </w:r>
      <w:r>
        <w:rPr>
          <w:rFonts w:ascii="Arial" w:cs="Arial" w:eastAsia="Arial" w:hAnsi="Arial"/>
          <w:sz w:val="19"/>
          <w:szCs w:val="19"/>
          <w:color w:val="auto"/>
        </w:rPr>
        <w:t>”) owns and proposes to transfer the Note[s] or interest in such Note[s] specified in</w:t>
      </w:r>
    </w:p>
    <w:p>
      <w:pPr>
        <w:spacing w:after="0" w:line="33" w:lineRule="exact"/>
        <w:rPr>
          <w:sz w:val="20"/>
          <w:szCs w:val="20"/>
          <w:color w:val="auto"/>
        </w:rPr>
      </w:pPr>
    </w:p>
    <w:p>
      <w:pPr>
        <w:spacing w:after="0"/>
        <w:tabs>
          <w:tab w:leader="none" w:pos="760" w:val="left"/>
          <w:tab w:leader="none" w:pos="1140" w:val="left"/>
          <w:tab w:leader="none" w:pos="1940" w:val="left"/>
          <w:tab w:leader="none" w:pos="2320" w:val="left"/>
          <w:tab w:leader="none" w:pos="2800" w:val="left"/>
          <w:tab w:leader="none" w:pos="3780" w:val="left"/>
          <w:tab w:leader="none" w:pos="4640" w:val="left"/>
          <w:tab w:leader="none" w:pos="5040" w:val="left"/>
          <w:tab w:leader="none" w:pos="6240" w:val="left"/>
          <w:tab w:leader="none" w:pos="6620" w:val="left"/>
          <w:tab w:leader="none" w:pos="7220" w:val="left"/>
          <w:tab w:leader="none" w:pos="8080" w:val="left"/>
          <w:tab w:leader="none" w:pos="8480" w:val="left"/>
          <w:tab w:leader="none" w:pos="9420" w:val="left"/>
          <w:tab w:leader="none" w:pos="9960" w:val="left"/>
          <w:tab w:leader="none" w:pos="11220" w:val="left"/>
        </w:tabs>
        <w:rPr>
          <w:sz w:val="20"/>
          <w:szCs w:val="20"/>
          <w:color w:val="auto"/>
        </w:rPr>
      </w:pPr>
      <w:r>
        <w:rPr>
          <w:rFonts w:ascii="Arial" w:cs="Arial" w:eastAsia="Arial" w:hAnsi="Arial"/>
          <w:sz w:val="22"/>
          <w:szCs w:val="22"/>
          <w:u w:val="single" w:color="auto"/>
          <w:color w:val="auto"/>
        </w:rPr>
        <w:t>Annex</w:t>
      </w:r>
      <w:r>
        <w:rPr>
          <w:sz w:val="20"/>
          <w:szCs w:val="20"/>
          <w:color w:val="auto"/>
        </w:rPr>
        <w:tab/>
      </w:r>
      <w:r>
        <w:rPr>
          <w:rFonts w:ascii="Arial" w:cs="Arial" w:eastAsia="Arial" w:hAnsi="Arial"/>
          <w:sz w:val="22"/>
          <w:szCs w:val="22"/>
          <w:u w:val="single" w:color="auto"/>
          <w:color w:val="auto"/>
        </w:rPr>
        <w:t>A</w:t>
      </w:r>
      <w:r>
        <w:rPr>
          <w:sz w:val="20"/>
          <w:szCs w:val="20"/>
          <w:color w:val="auto"/>
        </w:rPr>
        <w:tab/>
      </w:r>
      <w:r>
        <w:rPr>
          <w:rFonts w:ascii="Arial" w:cs="Arial" w:eastAsia="Arial" w:hAnsi="Arial"/>
          <w:sz w:val="22"/>
          <w:szCs w:val="22"/>
          <w:color w:val="auto"/>
        </w:rPr>
        <w:t>hereto,</w:t>
        <w:tab/>
        <w:t>in</w:t>
        <w:tab/>
        <w:t>the</w:t>
        <w:tab/>
        <w:t>principal</w:t>
        <w:tab/>
        <w:t>amount</w:t>
        <w:tab/>
        <w:t>of</w:t>
        <w:tab/>
        <w:t>$________</w:t>
        <w:tab/>
        <w:t>in</w:t>
        <w:tab/>
        <w:t>such</w:t>
        <w:tab/>
        <w:t>Note[s]</w:t>
        <w:tab/>
        <w:t>or</w:t>
        <w:tab/>
        <w:t>interests</w:t>
        <w:tab/>
        <w:t>(the</w:t>
        <w:tab/>
        <w:t>“</w:t>
      </w:r>
      <w:r>
        <w:rPr>
          <w:rFonts w:ascii="Arial" w:cs="Arial" w:eastAsia="Arial" w:hAnsi="Arial"/>
          <w:sz w:val="22"/>
          <w:szCs w:val="22"/>
          <w:i w:val="1"/>
          <w:iCs w:val="1"/>
          <w:u w:val="single" w:color="auto"/>
          <w:color w:val="auto"/>
        </w:rPr>
        <w:t>Transfer</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to</w:t>
      </w:r>
    </w:p>
    <w:p>
      <w:pPr>
        <w:spacing w:after="0"/>
        <w:rPr>
          <w:sz w:val="20"/>
          <w:szCs w:val="20"/>
          <w:color w:val="auto"/>
        </w:rPr>
      </w:pPr>
      <w:r>
        <w:rPr>
          <w:rFonts w:ascii="Arial" w:cs="Arial" w:eastAsia="Arial" w:hAnsi="Arial"/>
          <w:sz w:val="19"/>
          <w:szCs w:val="19"/>
          <w:color w:val="auto"/>
        </w:rPr>
        <w:t>___________________________ (the “</w:t>
      </w:r>
      <w:r>
        <w:rPr>
          <w:rFonts w:ascii="Arial" w:cs="Arial" w:eastAsia="Arial" w:hAnsi="Arial"/>
          <w:sz w:val="19"/>
          <w:szCs w:val="19"/>
          <w:i w:val="1"/>
          <w:iCs w:val="1"/>
          <w:u w:val="single" w:color="auto"/>
          <w:color w:val="auto"/>
        </w:rPr>
        <w:t>Transferee</w:t>
      </w:r>
      <w:r>
        <w:rPr>
          <w:rFonts w:ascii="Arial" w:cs="Arial" w:eastAsia="Arial" w:hAnsi="Arial"/>
          <w:sz w:val="19"/>
          <w:szCs w:val="19"/>
          <w:color w:val="auto"/>
        </w:rPr>
        <w:t xml:space="preserve">”), as further specified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In connection with the Transfer,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Transferor hereby certifies that: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[CHECK ALL THAT APPLY]</w:t>
      </w:r>
    </w:p>
    <w:p>
      <w:pPr>
        <w:spacing w:after="0" w:line="227" w:lineRule="exact"/>
        <w:rPr>
          <w:sz w:val="20"/>
          <w:szCs w:val="20"/>
          <w:color w:val="auto"/>
        </w:rPr>
      </w:pPr>
    </w:p>
    <w:p>
      <w:pPr>
        <w:jc w:val="both"/>
        <w:ind w:firstLine="656"/>
        <w:spacing w:after="0" w:line="245" w:lineRule="auto"/>
        <w:tabs>
          <w:tab w:leader="none" w:pos="1634" w:val="left"/>
        </w:tabs>
        <w:numPr>
          <w:ilvl w:val="0"/>
          <w:numId w:val="251"/>
        </w:numPr>
        <w:rPr>
          <w:rFonts w:ascii="Arial" w:cs="Arial" w:eastAsia="Arial" w:hAnsi="Arial"/>
          <w:sz w:val="21"/>
          <w:szCs w:val="21"/>
          <w:color w:val="auto"/>
        </w:rPr>
      </w:pPr>
      <w:r>
        <w:rPr>
          <w:rFonts w:ascii="Arial" w:cs="Arial" w:eastAsia="Arial" w:hAnsi="Arial"/>
          <w:sz w:val="21"/>
          <w:szCs w:val="21"/>
          <w:color w:val="auto"/>
        </w:rPr>
        <w:t xml:space="preserve">o </w:t>
      </w:r>
      <w:r>
        <w:rPr>
          <w:rFonts w:ascii="Arial" w:cs="Arial" w:eastAsia="Arial" w:hAnsi="Arial"/>
          <w:sz w:val="21"/>
          <w:szCs w:val="21"/>
          <w:b w:val="1"/>
          <w:bCs w:val="1"/>
          <w:u w:val="single" w:color="auto"/>
          <w:color w:val="auto"/>
        </w:rPr>
        <w:t>Check if Transferee will take delivery of a beneficial interest in the 144A Global Note or a Restricted</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Definitive Note pursuant to Rule 144A</w:t>
      </w:r>
      <w:r>
        <w:rPr>
          <w:rFonts w:ascii="Arial" w:cs="Arial" w:eastAsia="Arial" w:hAnsi="Arial"/>
          <w:sz w:val="21"/>
          <w:szCs w:val="21"/>
          <w:b w:val="1"/>
          <w:bCs w:val="1"/>
          <w:color w:val="auto"/>
        </w:rPr>
        <w:t xml:space="preserve">. </w:t>
      </w:r>
      <w:r>
        <w:rPr>
          <w:rFonts w:ascii="Arial" w:cs="Arial" w:eastAsia="Arial" w:hAnsi="Arial"/>
          <w:sz w:val="21"/>
          <w:szCs w:val="21"/>
          <w:color w:val="auto"/>
        </w:rPr>
        <w:t>The Transfer is being effected pursuant to and in accordance with Rule 144A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Securities Act of 1933, as amended (the “</w:t>
      </w:r>
      <w:r>
        <w:rPr>
          <w:rFonts w:ascii="Arial" w:cs="Arial" w:eastAsia="Arial" w:hAnsi="Arial"/>
          <w:sz w:val="21"/>
          <w:szCs w:val="21"/>
          <w:i w:val="1"/>
          <w:iCs w:val="1"/>
          <w:u w:val="single" w:color="auto"/>
          <w:color w:val="auto"/>
        </w:rPr>
        <w:t>Securities Act</w:t>
      </w:r>
      <w:r>
        <w:rPr>
          <w:rFonts w:ascii="Arial" w:cs="Arial" w:eastAsia="Arial" w:hAnsi="Arial"/>
          <w:sz w:val="21"/>
          <w:szCs w:val="21"/>
          <w:color w:val="auto"/>
        </w:rPr>
        <w:t>”), and, accordingly, the Transferor hereby further certifies that the beneficial interest or Definitive Note is being transferred to a Perso 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b w:val="1"/>
          <w:bCs w:val="1"/>
          <w:color w:val="auto"/>
        </w:rPr>
        <w:t>EXHIBIT B</w:t>
      </w:r>
    </w:p>
    <w:p>
      <w:pPr>
        <w:spacing w:after="0" w:line="233" w:lineRule="exact"/>
        <w:rPr>
          <w:sz w:val="20"/>
          <w:szCs w:val="20"/>
          <w:color w:val="auto"/>
        </w:rPr>
      </w:pPr>
    </w:p>
    <w:p>
      <w:pPr>
        <w:jc w:val="both"/>
        <w:ind w:firstLine="656"/>
        <w:spacing w:after="0" w:line="272" w:lineRule="auto"/>
        <w:tabs>
          <w:tab w:leader="none" w:pos="1472" w:val="left"/>
        </w:tabs>
        <w:numPr>
          <w:ilvl w:val="0"/>
          <w:numId w:val="252"/>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u w:val="single" w:color="auto"/>
          <w:color w:val="auto"/>
        </w:rPr>
        <w:t>Check if Transferee will take delivery of a beneficial interest in the Regulation S Temporary Global Note,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the Regulation S Permanent Global Note or a Restricted Definitive Note pursuant to Regulation S</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Transfer is being</w:t>
      </w:r>
      <w:r>
        <w:rPr>
          <w:rFonts w:ascii="Arial" w:cs="Arial" w:eastAsia="Arial" w:hAnsi="Arial"/>
          <w:sz w:val="19"/>
          <w:szCs w:val="19"/>
          <w:b w:val="1"/>
          <w:bCs w:val="1"/>
          <w:color w:val="auto"/>
        </w:rPr>
        <w:t xml:space="preserve"> </w:t>
      </w:r>
      <w:r>
        <w:rPr>
          <w:rFonts w:ascii="Arial" w:cs="Arial" w:eastAsia="Arial" w:hAnsi="Arial"/>
          <w:sz w:val="19"/>
          <w:szCs w:val="19"/>
          <w:color w:val="auto"/>
        </w:rPr>
        <w:t>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 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Upon consummation of the proposed transfer in accordance with the terms of the Indenture, the transferred beneficial interest or Defin itive Note will be subject to the restrictions on Transfer enumerated in the Private Placement Legend printed on the Regulation S Permanent Global Note, the Regulation S Temporary Global Note and/or the Restricted Definitive Note and in the Indenture and the Securities Act.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656"/>
        <w:spacing w:after="0" w:line="284" w:lineRule="auto"/>
        <w:tabs>
          <w:tab w:leader="none" w:pos="158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u w:val="single" w:color="auto"/>
          <w:color w:val="auto"/>
        </w:rPr>
        <w:t>Check and complete if Transferee will take delivery of a beneficial interest in the IAI Global Note or 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Restricted Definitive Note pursuant to any provision of the Securities Act other than Rule 144A or Regulation S</w:t>
      </w:r>
      <w:r>
        <w:rPr>
          <w:rFonts w:ascii="Arial" w:cs="Arial" w:eastAsia="Arial" w:hAnsi="Arial"/>
          <w:sz w:val="19"/>
          <w:szCs w:val="19"/>
          <w:b w:val="1"/>
          <w:bCs w:val="1"/>
          <w:color w:val="auto"/>
        </w:rPr>
        <w:t xml:space="preserve">. </w:t>
      </w:r>
      <w:r>
        <w:rPr>
          <w:rFonts w:ascii="Arial" w:cs="Arial" w:eastAsia="Arial" w:hAnsi="Arial"/>
          <w:sz w:val="19"/>
          <w:szCs w:val="19"/>
          <w:color w:val="auto"/>
        </w:rPr>
        <w:t>The</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 s, and accordingly the Transferor hereby further certifies that (check one):</w:t>
      </w:r>
    </w:p>
    <w:p>
      <w:pPr>
        <w:spacing w:after="0" w:line="171" w:lineRule="exact"/>
        <w:rPr>
          <w:rFonts w:ascii="Arial" w:cs="Arial" w:eastAsia="Arial" w:hAnsi="Arial"/>
          <w:sz w:val="19"/>
          <w:szCs w:val="19"/>
          <w:color w:val="auto"/>
        </w:rPr>
      </w:pPr>
    </w:p>
    <w:p>
      <w:pPr>
        <w:ind w:left="5620" w:right="200" w:hanging="4153"/>
        <w:spacing w:after="0" w:line="461" w:lineRule="auto"/>
        <w:tabs>
          <w:tab w:leader="none" w:pos="2297" w:val="left"/>
        </w:tabs>
        <w:numPr>
          <w:ilvl w:val="1"/>
          <w:numId w:val="252"/>
        </w:numPr>
        <w:rPr>
          <w:rFonts w:ascii="Arial" w:cs="Arial" w:eastAsia="Arial" w:hAnsi="Arial"/>
          <w:sz w:val="22"/>
          <w:szCs w:val="22"/>
          <w:color w:val="auto"/>
        </w:rPr>
      </w:pPr>
      <w:r>
        <w:rPr>
          <w:rFonts w:ascii="Arial" w:cs="Arial" w:eastAsia="Arial" w:hAnsi="Arial"/>
          <w:sz w:val="22"/>
          <w:szCs w:val="22"/>
          <w:color w:val="auto"/>
        </w:rPr>
        <w:t>o such Transfer is being effected pursuant to and in accordance with Rule 144 under the Securities Act; or</w:t>
      </w:r>
    </w:p>
    <w:p>
      <w:pPr>
        <w:ind w:left="2320" w:hanging="853"/>
        <w:spacing w:after="0"/>
        <w:tabs>
          <w:tab w:leader="none" w:pos="2320" w:val="left"/>
        </w:tabs>
        <w:numPr>
          <w:ilvl w:val="1"/>
          <w:numId w:val="252"/>
        </w:numPr>
        <w:rPr>
          <w:rFonts w:ascii="Arial" w:cs="Arial" w:eastAsia="Arial" w:hAnsi="Arial"/>
          <w:sz w:val="22"/>
          <w:szCs w:val="22"/>
          <w:color w:val="auto"/>
        </w:rPr>
      </w:pPr>
      <w:r>
        <w:rPr>
          <w:rFonts w:ascii="Arial" w:cs="Arial" w:eastAsia="Arial" w:hAnsi="Arial"/>
          <w:sz w:val="22"/>
          <w:szCs w:val="22"/>
          <w:color w:val="auto"/>
        </w:rPr>
        <w:t>o such Transfer is being effected to the Company or a subsidiary thereof;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w:t>
      </w:r>
    </w:p>
    <w:p>
      <w:pPr>
        <w:spacing w:after="0" w:line="233" w:lineRule="exact"/>
        <w:rPr>
          <w:sz w:val="20"/>
          <w:szCs w:val="20"/>
          <w:color w:val="auto"/>
        </w:rPr>
      </w:pPr>
    </w:p>
    <w:p>
      <w:pPr>
        <w:ind w:left="660" w:firstLine="821"/>
        <w:spacing w:after="0" w:line="251" w:lineRule="auto"/>
        <w:tabs>
          <w:tab w:leader="none" w:pos="2372" w:val="left"/>
        </w:tabs>
        <w:numPr>
          <w:ilvl w:val="0"/>
          <w:numId w:val="253"/>
        </w:numPr>
        <w:rPr>
          <w:rFonts w:ascii="Arial" w:cs="Arial" w:eastAsia="Arial" w:hAnsi="Arial"/>
          <w:sz w:val="22"/>
          <w:szCs w:val="22"/>
          <w:color w:val="auto"/>
        </w:rPr>
      </w:pPr>
      <w:r>
        <w:rPr>
          <w:rFonts w:ascii="Arial" w:cs="Arial" w:eastAsia="Arial" w:hAnsi="Arial"/>
          <w:sz w:val="22"/>
          <w:szCs w:val="22"/>
          <w:color w:val="auto"/>
        </w:rPr>
        <w:t>o such Transfer is being effected pursuant to an effective registration statement under the Securities Act and in compliance with the prospectus delivery requirements of the Securities Act;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w:t>
      </w:r>
    </w:p>
    <w:p>
      <w:pPr>
        <w:spacing w:after="0" w:line="233" w:lineRule="exact"/>
        <w:rPr>
          <w:sz w:val="20"/>
          <w:szCs w:val="20"/>
          <w:color w:val="auto"/>
        </w:rPr>
      </w:pPr>
    </w:p>
    <w:p>
      <w:pPr>
        <w:jc w:val="both"/>
        <w:ind w:left="660" w:firstLine="841"/>
        <w:spacing w:after="0" w:line="297" w:lineRule="auto"/>
        <w:tabs>
          <w:tab w:leader="none" w:pos="2479" w:val="left"/>
        </w:tabs>
        <w:numPr>
          <w:ilvl w:val="0"/>
          <w:numId w:val="254"/>
        </w:numPr>
        <w:rPr>
          <w:rFonts w:ascii="Arial" w:cs="Arial" w:eastAsia="Arial" w:hAnsi="Arial"/>
          <w:sz w:val="19"/>
          <w:szCs w:val="19"/>
          <w:color w:val="auto"/>
        </w:rPr>
      </w:pPr>
      <w:r>
        <w:rPr>
          <w:rFonts w:ascii="Arial" w:cs="Arial" w:eastAsia="Arial" w:hAnsi="Arial"/>
          <w:sz w:val="19"/>
          <w:szCs w:val="19"/>
          <w:color w:val="auto"/>
        </w:rPr>
        <w:t>o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88" w:name="page189"/>
    <w:bookmarkEnd w:id="188"/>
    <w:p>
      <w:pPr>
        <w:ind w:left="10300"/>
        <w:spacing w:after="0"/>
        <w:rPr>
          <w:sz w:val="20"/>
          <w:szCs w:val="20"/>
          <w:color w:val="auto"/>
        </w:rPr>
      </w:pPr>
      <w:r>
        <w:rPr>
          <w:rFonts w:ascii="Arial" w:cs="Arial" w:eastAsia="Arial" w:hAnsi="Arial"/>
          <w:sz w:val="22"/>
          <w:szCs w:val="22"/>
          <w:b w:val="1"/>
          <w:bCs w:val="1"/>
          <w:color w:val="auto"/>
        </w:rPr>
        <w:t>EXHIBIT B</w:t>
      </w:r>
    </w:p>
    <w:p>
      <w:pPr>
        <w:spacing w:after="0" w:line="239" w:lineRule="exact"/>
        <w:rPr>
          <w:sz w:val="20"/>
          <w:szCs w:val="20"/>
          <w:color w:val="auto"/>
        </w:rPr>
      </w:pPr>
    </w:p>
    <w:p>
      <w:pPr>
        <w:jc w:val="both"/>
        <w:ind w:left="660"/>
        <w:spacing w:after="0" w:line="275" w:lineRule="auto"/>
        <w:rPr>
          <w:sz w:val="20"/>
          <w:szCs w:val="20"/>
          <w:color w:val="auto"/>
        </w:rPr>
      </w:pPr>
      <w:r>
        <w:rPr>
          <w:rFonts w:ascii="Arial" w:cs="Arial" w:eastAsia="Arial" w:hAnsi="Arial"/>
          <w:sz w:val="19"/>
          <w:szCs w:val="19"/>
          <w:color w:val="auto"/>
        </w:rPr>
        <w:t>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Exhibit D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79" w:lineRule="exact"/>
        <w:rPr>
          <w:sz w:val="20"/>
          <w:szCs w:val="20"/>
          <w:color w:val="auto"/>
        </w:rPr>
      </w:pPr>
    </w:p>
    <w:p>
      <w:pPr>
        <w:ind w:left="1680" w:hanging="1024"/>
        <w:spacing w:after="0"/>
        <w:tabs>
          <w:tab w:leader="none" w:pos="168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u w:val="single" w:color="auto"/>
          <w:color w:val="auto"/>
        </w:rPr>
        <w:t>Check if Transferee will take delivery of a beneficial interest in an Unrestricted Global Note or of an</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u w:val="single" w:color="auto"/>
          <w:color w:val="auto"/>
        </w:rPr>
        <w:t>Unrestricted Definitive Note</w:t>
      </w:r>
      <w:r>
        <w:rPr>
          <w:rFonts w:ascii="Arial" w:cs="Arial" w:eastAsia="Arial" w:hAnsi="Arial"/>
          <w:sz w:val="22"/>
          <w:szCs w:val="22"/>
          <w:b w:val="1"/>
          <w:bCs w:val="1"/>
          <w:color w:val="auto"/>
        </w:rPr>
        <w:t>.</w:t>
      </w:r>
    </w:p>
    <w:p>
      <w:pPr>
        <w:spacing w:after="0" w:line="209" w:lineRule="exact"/>
        <w:rPr>
          <w:rFonts w:ascii="Arial" w:cs="Arial" w:eastAsia="Arial" w:hAnsi="Arial"/>
          <w:sz w:val="19"/>
          <w:szCs w:val="19"/>
          <w:color w:val="auto"/>
        </w:rPr>
      </w:pPr>
    </w:p>
    <w:p>
      <w:pPr>
        <w:jc w:val="both"/>
        <w:ind w:left="660" w:firstLine="853"/>
        <w:spacing w:after="0" w:line="278" w:lineRule="auto"/>
        <w:tabs>
          <w:tab w:leader="none" w:pos="2520" w:val="left"/>
        </w:tabs>
        <w:numPr>
          <w:ilvl w:val="2"/>
          <w:numId w:val="255"/>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color w:val="auto"/>
        </w:rPr>
        <w:t>Check if Transfer is pursuant to Rule 144.</w:t>
      </w:r>
      <w:r>
        <w:rPr>
          <w:rFonts w:ascii="Arial" w:cs="Arial" w:eastAsia="Arial" w:hAnsi="Arial"/>
          <w:sz w:val="19"/>
          <w:szCs w:val="19"/>
          <w:color w:val="auto"/>
        </w:rPr>
        <w:t xml:space="preserve">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 eneficial interest or Definitive Note will no longer be subject to the restrictions on transfer enumerated in the Private Placement Legend printed on the Restricted Global Notes, on Restricted Definitive Notes and in the Indenture.</w:t>
      </w:r>
    </w:p>
    <w:p>
      <w:pPr>
        <w:spacing w:after="0" w:line="173" w:lineRule="exact"/>
        <w:rPr>
          <w:rFonts w:ascii="Arial" w:cs="Arial" w:eastAsia="Arial" w:hAnsi="Arial"/>
          <w:sz w:val="19"/>
          <w:szCs w:val="19"/>
          <w:color w:val="auto"/>
        </w:rPr>
      </w:pPr>
    </w:p>
    <w:p>
      <w:pPr>
        <w:jc w:val="both"/>
        <w:ind w:left="660" w:firstLine="815"/>
        <w:spacing w:after="0" w:line="278" w:lineRule="auto"/>
        <w:tabs>
          <w:tab w:leader="none" w:pos="2357" w:val="left"/>
        </w:tabs>
        <w:numPr>
          <w:ilvl w:val="1"/>
          <w:numId w:val="255"/>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color w:val="auto"/>
        </w:rPr>
        <w:t>Check if Transfer is Pursuant to Regulation S.</w:t>
      </w:r>
      <w:r>
        <w:rPr>
          <w:rFonts w:ascii="Arial" w:cs="Arial" w:eastAsia="Arial" w:hAnsi="Arial"/>
          <w:sz w:val="19"/>
          <w:szCs w:val="19"/>
          <w:color w:val="auto"/>
        </w:rPr>
        <w:t xml:space="preserve">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3" w:lineRule="exact"/>
        <w:rPr>
          <w:rFonts w:ascii="Arial" w:cs="Arial" w:eastAsia="Arial" w:hAnsi="Arial"/>
          <w:sz w:val="19"/>
          <w:szCs w:val="19"/>
          <w:color w:val="auto"/>
        </w:rPr>
      </w:pPr>
    </w:p>
    <w:p>
      <w:pPr>
        <w:jc w:val="both"/>
        <w:ind w:left="660" w:firstLine="833"/>
        <w:spacing w:after="0" w:line="248" w:lineRule="auto"/>
        <w:tabs>
          <w:tab w:leader="none" w:pos="2426" w:val="left"/>
        </w:tabs>
        <w:numPr>
          <w:ilvl w:val="1"/>
          <w:numId w:val="255"/>
        </w:numPr>
        <w:rPr>
          <w:rFonts w:ascii="Arial" w:cs="Arial" w:eastAsia="Arial" w:hAnsi="Arial"/>
          <w:sz w:val="21"/>
          <w:szCs w:val="21"/>
          <w:color w:val="auto"/>
        </w:rPr>
      </w:pPr>
      <w:r>
        <w:rPr>
          <w:rFonts w:ascii="Arial" w:cs="Arial" w:eastAsia="Arial" w:hAnsi="Arial"/>
          <w:sz w:val="21"/>
          <w:szCs w:val="21"/>
          <w:color w:val="auto"/>
        </w:rPr>
        <w:t xml:space="preserve">o </w:t>
      </w:r>
      <w:r>
        <w:rPr>
          <w:rFonts w:ascii="Arial" w:cs="Arial" w:eastAsia="Arial" w:hAnsi="Arial"/>
          <w:sz w:val="21"/>
          <w:szCs w:val="21"/>
          <w:b w:val="1"/>
          <w:bCs w:val="1"/>
          <w:color w:val="auto"/>
        </w:rPr>
        <w:t>Check if Transfer is Pursuant to Other Exemption.</w:t>
      </w:r>
      <w:r>
        <w:rPr>
          <w:rFonts w:ascii="Arial" w:cs="Arial" w:eastAsia="Arial" w:hAnsi="Arial"/>
          <w:sz w:val="21"/>
          <w:szCs w:val="21"/>
          <w:color w:val="auto"/>
        </w:rPr>
        <w:t xml:space="preserve">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89" w:name="page190"/>
    <w:bookmarkEnd w:id="189"/>
    <w:p>
      <w:pPr>
        <w:ind w:left="10300"/>
        <w:spacing w:after="0"/>
        <w:rPr>
          <w:sz w:val="20"/>
          <w:szCs w:val="20"/>
          <w:color w:val="auto"/>
        </w:rPr>
      </w:pPr>
      <w:r>
        <w:rPr>
          <w:rFonts w:ascii="Arial" w:cs="Arial" w:eastAsia="Arial" w:hAnsi="Arial"/>
          <w:sz w:val="22"/>
          <w:szCs w:val="22"/>
          <w:b w:val="1"/>
          <w:bCs w:val="1"/>
          <w:color w:val="auto"/>
        </w:rPr>
        <w:t>EXHIBIT B</w:t>
      </w:r>
    </w:p>
    <w:p>
      <w:pPr>
        <w:spacing w:after="0" w:line="239" w:lineRule="exact"/>
        <w:rPr>
          <w:sz w:val="20"/>
          <w:szCs w:val="20"/>
          <w:color w:val="auto"/>
        </w:rPr>
      </w:pPr>
    </w:p>
    <w:p>
      <w:pPr>
        <w:jc w:val="both"/>
        <w:ind w:left="660" w:right="20"/>
        <w:spacing w:after="0" w:line="251" w:lineRule="auto"/>
        <w:rPr>
          <w:sz w:val="20"/>
          <w:szCs w:val="20"/>
          <w:color w:val="auto"/>
        </w:rPr>
      </w:pPr>
      <w:r>
        <w:rPr>
          <w:rFonts w:ascii="Arial" w:cs="Arial" w:eastAsia="Arial" w:hAnsi="Arial"/>
          <w:sz w:val="22"/>
          <w:szCs w:val="22"/>
          <w:color w:val="auto"/>
        </w:rPr>
        <w:t>on transfer enumerated in the Private Placement Legend printed on the Restricted Global Notes or Restricted Definitive Notes and in the Indenture.</w:t>
      </w:r>
    </w:p>
    <w:p>
      <w:pPr>
        <w:spacing w:after="0" w:line="200" w:lineRule="exact"/>
        <w:rPr>
          <w:sz w:val="20"/>
          <w:szCs w:val="20"/>
          <w:color w:val="auto"/>
        </w:rPr>
      </w:pPr>
    </w:p>
    <w:p>
      <w:pPr>
        <w:jc w:val="center"/>
        <w:ind w:right="600"/>
        <w:spacing w:after="0"/>
        <w:rPr>
          <w:sz w:val="20"/>
          <w:szCs w:val="20"/>
          <w:color w:val="auto"/>
        </w:rPr>
      </w:pPr>
      <w:r>
        <w:rPr>
          <w:rFonts w:ascii="Arial" w:cs="Arial" w:eastAsia="Arial" w:hAnsi="Arial"/>
          <w:sz w:val="22"/>
          <w:szCs w:val="22"/>
          <w:color w:val="auto"/>
        </w:rPr>
        <w:t>This certificate and the statements contained herein are made for your benefit and the benefit of the Company.</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[Insert Name of Transferor]</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ind w:left="4540"/>
        <w:spacing w:after="0" w:line="238" w:lineRule="auto"/>
        <w:rPr>
          <w:sz w:val="20"/>
          <w:szCs w:val="20"/>
          <w:color w:val="auto"/>
        </w:rPr>
      </w:pPr>
      <w:r>
        <w:rPr>
          <w:rFonts w:ascii="Arial" w:cs="Arial" w:eastAsia="Arial" w:hAnsi="Arial"/>
          <w:sz w:val="22"/>
          <w:szCs w:val="22"/>
          <w:color w:val="auto"/>
        </w:rPr>
        <w:t>Name:</w:t>
      </w:r>
    </w:p>
    <w:p>
      <w:pPr>
        <w:ind w:left="454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ANNEX A TO CERTIFICATE OF TRANSFER</w:t>
      </w:r>
    </w:p>
    <w:p>
      <w:pPr>
        <w:spacing w:after="0" w:line="233" w:lineRule="exact"/>
        <w:rPr>
          <w:sz w:val="20"/>
          <w:szCs w:val="20"/>
          <w:color w:val="auto"/>
        </w:rPr>
      </w:pPr>
    </w:p>
    <w:p>
      <w:pPr>
        <w:ind w:left="760" w:hanging="752"/>
        <w:spacing w:after="0"/>
        <w:tabs>
          <w:tab w:leader="none" w:pos="76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The Transferor owns and proposes to transfer the following: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[CHECK ONE OF (a) OR (b)]</w:t>
      </w:r>
    </w:p>
    <w:p>
      <w:pPr>
        <w:spacing w:after="0" w:line="233" w:lineRule="exact"/>
        <w:rPr>
          <w:sz w:val="20"/>
          <w:szCs w:val="20"/>
          <w:color w:val="auto"/>
        </w:rPr>
      </w:pPr>
    </w:p>
    <w:p>
      <w:pPr>
        <w:ind w:left="1000" w:hanging="884"/>
        <w:spacing w:after="0"/>
        <w:tabs>
          <w:tab w:leader="none" w:pos="100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o a beneficial interest in the:</w:t>
      </w:r>
    </w:p>
    <w:p>
      <w:pPr>
        <w:spacing w:after="0" w:line="233" w:lineRule="exact"/>
        <w:rPr>
          <w:rFonts w:ascii="Arial" w:cs="Arial" w:eastAsia="Arial" w:hAnsi="Arial"/>
          <w:sz w:val="22"/>
          <w:szCs w:val="22"/>
          <w:color w:val="auto"/>
        </w:rPr>
      </w:pPr>
    </w:p>
    <w:p>
      <w:pPr>
        <w:ind w:left="1180" w:hanging="848"/>
        <w:spacing w:after="0"/>
        <w:tabs>
          <w:tab w:leader="none" w:pos="1180" w:val="left"/>
        </w:tabs>
        <w:numPr>
          <w:ilvl w:val="2"/>
          <w:numId w:val="257"/>
        </w:numPr>
        <w:rPr>
          <w:rFonts w:ascii="Arial" w:cs="Arial" w:eastAsia="Arial" w:hAnsi="Arial"/>
          <w:sz w:val="22"/>
          <w:szCs w:val="22"/>
          <w:color w:val="auto"/>
        </w:rPr>
      </w:pPr>
      <w:r>
        <w:rPr>
          <w:rFonts w:ascii="Arial" w:cs="Arial" w:eastAsia="Arial" w:hAnsi="Arial"/>
          <w:sz w:val="22"/>
          <w:szCs w:val="22"/>
          <w:color w:val="auto"/>
        </w:rPr>
        <w:t>o 144A Global Note (CUSIP _________), or</w:t>
      </w:r>
    </w:p>
    <w:p>
      <w:pPr>
        <w:spacing w:after="0" w:line="233" w:lineRule="exact"/>
        <w:rPr>
          <w:rFonts w:ascii="Arial" w:cs="Arial" w:eastAsia="Arial" w:hAnsi="Arial"/>
          <w:sz w:val="22"/>
          <w:szCs w:val="22"/>
          <w:color w:val="auto"/>
        </w:rPr>
      </w:pPr>
    </w:p>
    <w:p>
      <w:pPr>
        <w:ind w:left="1200" w:hanging="868"/>
        <w:spacing w:after="0"/>
        <w:tabs>
          <w:tab w:leader="none" w:pos="1200" w:val="left"/>
        </w:tabs>
        <w:numPr>
          <w:ilvl w:val="2"/>
          <w:numId w:val="257"/>
        </w:numPr>
        <w:rPr>
          <w:rFonts w:ascii="Arial" w:cs="Arial" w:eastAsia="Arial" w:hAnsi="Arial"/>
          <w:sz w:val="22"/>
          <w:szCs w:val="22"/>
          <w:color w:val="auto"/>
        </w:rPr>
      </w:pPr>
      <w:r>
        <w:rPr>
          <w:rFonts w:ascii="Arial" w:cs="Arial" w:eastAsia="Arial" w:hAnsi="Arial"/>
          <w:sz w:val="22"/>
          <w:szCs w:val="22"/>
          <w:color w:val="auto"/>
        </w:rPr>
        <w:t>o Regulation S Global Note (CUSIP _________), or</w:t>
      </w:r>
    </w:p>
    <w:p>
      <w:pPr>
        <w:spacing w:after="0" w:line="233" w:lineRule="exact"/>
        <w:rPr>
          <w:rFonts w:ascii="Arial" w:cs="Arial" w:eastAsia="Arial" w:hAnsi="Arial"/>
          <w:sz w:val="22"/>
          <w:szCs w:val="22"/>
          <w:color w:val="auto"/>
        </w:rPr>
      </w:pPr>
    </w:p>
    <w:p>
      <w:pPr>
        <w:ind w:left="1200" w:hanging="868"/>
        <w:spacing w:after="0"/>
        <w:tabs>
          <w:tab w:leader="none" w:pos="1200" w:val="left"/>
        </w:tabs>
        <w:numPr>
          <w:ilvl w:val="2"/>
          <w:numId w:val="257"/>
        </w:numPr>
        <w:rPr>
          <w:rFonts w:ascii="Arial" w:cs="Arial" w:eastAsia="Arial" w:hAnsi="Arial"/>
          <w:sz w:val="22"/>
          <w:szCs w:val="22"/>
          <w:color w:val="auto"/>
        </w:rPr>
      </w:pPr>
      <w:r>
        <w:rPr>
          <w:rFonts w:ascii="Arial" w:cs="Arial" w:eastAsia="Arial" w:hAnsi="Arial"/>
          <w:sz w:val="22"/>
          <w:szCs w:val="22"/>
          <w:color w:val="auto"/>
        </w:rPr>
        <w:t>o IAI Global Note (CUSIP _________); or</w:t>
      </w:r>
    </w:p>
    <w:p>
      <w:pPr>
        <w:spacing w:after="0" w:line="233" w:lineRule="exact"/>
        <w:rPr>
          <w:rFonts w:ascii="Arial" w:cs="Arial" w:eastAsia="Arial" w:hAnsi="Arial"/>
          <w:sz w:val="22"/>
          <w:szCs w:val="22"/>
          <w:color w:val="auto"/>
        </w:rPr>
      </w:pPr>
    </w:p>
    <w:p>
      <w:pPr>
        <w:ind w:left="1020" w:hanging="904"/>
        <w:spacing w:after="0"/>
        <w:tabs>
          <w:tab w:leader="none" w:pos="102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o a Restricted Definitive Note.</w:t>
      </w:r>
    </w:p>
    <w:p>
      <w:pPr>
        <w:spacing w:after="0" w:line="233" w:lineRule="exact"/>
        <w:rPr>
          <w:rFonts w:ascii="Arial" w:cs="Arial" w:eastAsia="Arial" w:hAnsi="Arial"/>
          <w:sz w:val="22"/>
          <w:szCs w:val="22"/>
          <w:color w:val="auto"/>
        </w:rPr>
      </w:pPr>
    </w:p>
    <w:p>
      <w:pPr>
        <w:ind w:left="760" w:hanging="752"/>
        <w:spacing w:after="0"/>
        <w:tabs>
          <w:tab w:leader="none" w:pos="76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After the Transfer the Transferee will hold: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[CHECK ONE]</w:t>
      </w:r>
    </w:p>
    <w:p>
      <w:pPr>
        <w:spacing w:after="0" w:line="233" w:lineRule="exact"/>
        <w:rPr>
          <w:sz w:val="20"/>
          <w:szCs w:val="20"/>
          <w:color w:val="auto"/>
        </w:rPr>
      </w:pPr>
    </w:p>
    <w:p>
      <w:pPr>
        <w:ind w:left="1000" w:hanging="884"/>
        <w:spacing w:after="0"/>
        <w:tabs>
          <w:tab w:leader="none" w:pos="100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o a beneficial interest in the:</w:t>
      </w:r>
    </w:p>
    <w:p>
      <w:pPr>
        <w:spacing w:after="0" w:line="233" w:lineRule="exact"/>
        <w:rPr>
          <w:rFonts w:ascii="Arial" w:cs="Arial" w:eastAsia="Arial" w:hAnsi="Arial"/>
          <w:sz w:val="22"/>
          <w:szCs w:val="22"/>
          <w:color w:val="auto"/>
        </w:rPr>
      </w:pPr>
    </w:p>
    <w:p>
      <w:pPr>
        <w:ind w:left="1140" w:hanging="808"/>
        <w:spacing w:after="0"/>
        <w:tabs>
          <w:tab w:leader="none" w:pos="1140" w:val="left"/>
        </w:tabs>
        <w:numPr>
          <w:ilvl w:val="1"/>
          <w:numId w:val="259"/>
        </w:numPr>
        <w:rPr>
          <w:rFonts w:ascii="Arial" w:cs="Arial" w:eastAsia="Arial" w:hAnsi="Arial"/>
          <w:sz w:val="22"/>
          <w:szCs w:val="22"/>
          <w:color w:val="auto"/>
        </w:rPr>
      </w:pPr>
      <w:r>
        <w:rPr>
          <w:rFonts w:ascii="Arial" w:cs="Arial" w:eastAsia="Arial" w:hAnsi="Arial"/>
          <w:sz w:val="22"/>
          <w:szCs w:val="22"/>
          <w:color w:val="auto"/>
        </w:rPr>
        <w:t>o 144A Global Note (CUSIP _________), or</w:t>
      </w:r>
    </w:p>
    <w:p>
      <w:pPr>
        <w:spacing w:after="0" w:line="233" w:lineRule="exact"/>
        <w:rPr>
          <w:rFonts w:ascii="Arial" w:cs="Arial" w:eastAsia="Arial" w:hAnsi="Arial"/>
          <w:sz w:val="22"/>
          <w:szCs w:val="22"/>
          <w:color w:val="auto"/>
        </w:rPr>
      </w:pPr>
    </w:p>
    <w:p>
      <w:pPr>
        <w:ind w:left="1140" w:hanging="808"/>
        <w:spacing w:after="0"/>
        <w:tabs>
          <w:tab w:leader="none" w:pos="1140" w:val="left"/>
        </w:tabs>
        <w:numPr>
          <w:ilvl w:val="1"/>
          <w:numId w:val="259"/>
        </w:numPr>
        <w:rPr>
          <w:rFonts w:ascii="Arial" w:cs="Arial" w:eastAsia="Arial" w:hAnsi="Arial"/>
          <w:sz w:val="22"/>
          <w:szCs w:val="22"/>
          <w:color w:val="auto"/>
        </w:rPr>
      </w:pPr>
      <w:r>
        <w:rPr>
          <w:rFonts w:ascii="Arial" w:cs="Arial" w:eastAsia="Arial" w:hAnsi="Arial"/>
          <w:sz w:val="22"/>
          <w:szCs w:val="22"/>
          <w:color w:val="auto"/>
        </w:rPr>
        <w:t>o Regulation S Global Note (CUSIP _________), or</w:t>
      </w:r>
    </w:p>
    <w:p>
      <w:pPr>
        <w:spacing w:after="0" w:line="233" w:lineRule="exact"/>
        <w:rPr>
          <w:rFonts w:ascii="Arial" w:cs="Arial" w:eastAsia="Arial" w:hAnsi="Arial"/>
          <w:sz w:val="22"/>
          <w:szCs w:val="22"/>
          <w:color w:val="auto"/>
        </w:rPr>
      </w:pPr>
    </w:p>
    <w:p>
      <w:pPr>
        <w:ind w:left="1140" w:hanging="808"/>
        <w:spacing w:after="0"/>
        <w:tabs>
          <w:tab w:leader="none" w:pos="1140" w:val="left"/>
        </w:tabs>
        <w:numPr>
          <w:ilvl w:val="1"/>
          <w:numId w:val="259"/>
        </w:numPr>
        <w:rPr>
          <w:rFonts w:ascii="Arial" w:cs="Arial" w:eastAsia="Arial" w:hAnsi="Arial"/>
          <w:sz w:val="22"/>
          <w:szCs w:val="22"/>
          <w:color w:val="auto"/>
        </w:rPr>
      </w:pPr>
      <w:r>
        <w:rPr>
          <w:rFonts w:ascii="Arial" w:cs="Arial" w:eastAsia="Arial" w:hAnsi="Arial"/>
          <w:sz w:val="22"/>
          <w:szCs w:val="22"/>
          <w:color w:val="auto"/>
        </w:rPr>
        <w:t>o IAI Global Note (CUSIP _________); or</w:t>
      </w:r>
    </w:p>
    <w:p>
      <w:pPr>
        <w:spacing w:after="0" w:line="233" w:lineRule="exact"/>
        <w:rPr>
          <w:rFonts w:ascii="Arial" w:cs="Arial" w:eastAsia="Arial" w:hAnsi="Arial"/>
          <w:sz w:val="22"/>
          <w:szCs w:val="22"/>
          <w:color w:val="auto"/>
        </w:rPr>
      </w:pPr>
    </w:p>
    <w:p>
      <w:pPr>
        <w:ind w:left="1180" w:hanging="848"/>
        <w:spacing w:after="0"/>
        <w:tabs>
          <w:tab w:leader="none" w:pos="1180" w:val="left"/>
        </w:tabs>
        <w:numPr>
          <w:ilvl w:val="1"/>
          <w:numId w:val="259"/>
        </w:numPr>
        <w:rPr>
          <w:rFonts w:ascii="Arial" w:cs="Arial" w:eastAsia="Arial" w:hAnsi="Arial"/>
          <w:sz w:val="22"/>
          <w:szCs w:val="22"/>
          <w:color w:val="auto"/>
        </w:rPr>
      </w:pPr>
      <w:r>
        <w:rPr>
          <w:rFonts w:ascii="Arial" w:cs="Arial" w:eastAsia="Arial" w:hAnsi="Arial"/>
          <w:sz w:val="22"/>
          <w:szCs w:val="22"/>
          <w:color w:val="auto"/>
        </w:rPr>
        <w:t>o Unrestricted Global Note (CUSIP _________); or</w:t>
      </w:r>
    </w:p>
    <w:p>
      <w:pPr>
        <w:spacing w:after="0" w:line="233" w:lineRule="exact"/>
        <w:rPr>
          <w:rFonts w:ascii="Arial" w:cs="Arial" w:eastAsia="Arial" w:hAnsi="Arial"/>
          <w:sz w:val="22"/>
          <w:szCs w:val="22"/>
          <w:color w:val="auto"/>
        </w:rPr>
      </w:pPr>
    </w:p>
    <w:p>
      <w:pPr>
        <w:ind w:left="1020" w:hanging="904"/>
        <w:spacing w:after="0"/>
        <w:tabs>
          <w:tab w:leader="none" w:pos="102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o a Restricted Definitive Note; or</w:t>
      </w:r>
    </w:p>
    <w:p>
      <w:pPr>
        <w:spacing w:after="0" w:line="233" w:lineRule="exact"/>
        <w:rPr>
          <w:rFonts w:ascii="Arial" w:cs="Arial" w:eastAsia="Arial" w:hAnsi="Arial"/>
          <w:sz w:val="22"/>
          <w:szCs w:val="22"/>
          <w:color w:val="auto"/>
        </w:rPr>
      </w:pPr>
    </w:p>
    <w:p>
      <w:pPr>
        <w:ind w:left="1000" w:hanging="884"/>
        <w:spacing w:after="0"/>
        <w:tabs>
          <w:tab w:leader="none" w:pos="100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o an Unrestricted Definitive Note,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 accordance with the terms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2"/>
          <w:szCs w:val="22"/>
          <w:b w:val="1"/>
          <w:bCs w:val="1"/>
          <w:color w:val="auto"/>
        </w:rPr>
        <w:t>EXHIBIT 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EXCHANGE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238" w:lineRule="auto"/>
        <w:rPr>
          <w:sz w:val="20"/>
          <w:szCs w:val="20"/>
          <w:color w:val="auto"/>
        </w:rPr>
      </w:pPr>
      <w:r>
        <w:rPr>
          <w:rFonts w:ascii="Arial" w:cs="Arial" w:eastAsia="Arial" w:hAnsi="Arial"/>
          <w:sz w:val="22"/>
          <w:szCs w:val="22"/>
          <w:color w:val="auto"/>
        </w:rPr>
        <w:t>Wynn Las Vegas Capital Corp.</w:t>
      </w:r>
    </w:p>
    <w:p>
      <w:pPr>
        <w:spacing w:after="0" w:line="230" w:lineRule="auto"/>
        <w:rPr>
          <w:sz w:val="20"/>
          <w:szCs w:val="20"/>
          <w:color w:val="auto"/>
        </w:rPr>
      </w:pPr>
      <w:r>
        <w:rPr>
          <w:rFonts w:ascii="Arial" w:cs="Arial" w:eastAsia="Arial" w:hAnsi="Arial"/>
          <w:sz w:val="22"/>
          <w:szCs w:val="22"/>
          <w:color w:val="auto"/>
        </w:rPr>
        <w:t>3131 Las Vegas Boulevard, South</w:t>
      </w:r>
    </w:p>
    <w:p>
      <w:pPr>
        <w:spacing w:after="0" w:line="231" w:lineRule="auto"/>
        <w:rPr>
          <w:sz w:val="20"/>
          <w:szCs w:val="20"/>
          <w:color w:val="auto"/>
        </w:rPr>
      </w:pPr>
      <w:r>
        <w:rPr>
          <w:rFonts w:ascii="Arial" w:cs="Arial" w:eastAsia="Arial" w:hAnsi="Arial"/>
          <w:sz w:val="22"/>
          <w:szCs w:val="22"/>
          <w:color w:val="auto"/>
        </w:rPr>
        <w:t>Las Vegas, Nevada 89109</w:t>
      </w:r>
    </w:p>
    <w:p>
      <w:pPr>
        <w:spacing w:after="0" w:line="231" w:lineRule="auto"/>
        <w:rPr>
          <w:sz w:val="20"/>
          <w:szCs w:val="20"/>
          <w:color w:val="auto"/>
        </w:rPr>
      </w:pPr>
      <w:r>
        <w:rPr>
          <w:rFonts w:ascii="Arial" w:cs="Arial" w:eastAsia="Arial" w:hAnsi="Arial"/>
          <w:sz w:val="22"/>
          <w:szCs w:val="22"/>
          <w:color w:val="auto"/>
        </w:rPr>
        <w:t>Telecopy: (702) 770-1100</w:t>
      </w:r>
    </w:p>
    <w:p>
      <w:pPr>
        <w:spacing w:after="0"/>
        <w:rPr>
          <w:sz w:val="20"/>
          <w:szCs w:val="20"/>
          <w:color w:val="auto"/>
        </w:rPr>
      </w:pPr>
      <w:r>
        <w:rPr>
          <w:rFonts w:ascii="Arial" w:cs="Arial" w:eastAsia="Arial" w:hAnsi="Arial"/>
          <w:sz w:val="22"/>
          <w:szCs w:val="22"/>
          <w:color w:val="auto"/>
        </w:rPr>
        <w:t>Attention: President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38" w:lineRule="auto"/>
        <w:rPr>
          <w:sz w:val="20"/>
          <w:szCs w:val="20"/>
          <w:color w:val="auto"/>
        </w:rPr>
      </w:pPr>
      <w:r>
        <w:rPr>
          <w:rFonts w:ascii="Arial" w:cs="Arial" w:eastAsia="Arial" w:hAnsi="Arial"/>
          <w:sz w:val="22"/>
          <w:szCs w:val="22"/>
          <w:color w:val="auto"/>
        </w:rPr>
        <w:t>EP-MN-WS3C</w:t>
      </w:r>
    </w:p>
    <w:p>
      <w:pPr>
        <w:spacing w:after="0" w:line="230" w:lineRule="auto"/>
        <w:rPr>
          <w:sz w:val="20"/>
          <w:szCs w:val="20"/>
          <w:color w:val="auto"/>
        </w:rPr>
      </w:pPr>
      <w:r>
        <w:rPr>
          <w:rFonts w:ascii="Arial" w:cs="Arial" w:eastAsia="Arial" w:hAnsi="Arial"/>
          <w:sz w:val="22"/>
          <w:szCs w:val="22"/>
          <w:color w:val="auto"/>
        </w:rPr>
        <w:t>60 Livingston Avenue</w:t>
      </w:r>
    </w:p>
    <w:p>
      <w:pPr>
        <w:spacing w:after="0" w:line="231" w:lineRule="auto"/>
        <w:rPr>
          <w:sz w:val="20"/>
          <w:szCs w:val="20"/>
          <w:color w:val="auto"/>
        </w:rPr>
      </w:pPr>
      <w:r>
        <w:rPr>
          <w:rFonts w:ascii="Arial" w:cs="Arial" w:eastAsia="Arial" w:hAnsi="Arial"/>
          <w:sz w:val="22"/>
          <w:szCs w:val="22"/>
          <w:color w:val="auto"/>
        </w:rPr>
        <w:t>St. Paul, Minnesota 55107</w:t>
      </w:r>
    </w:p>
    <w:p>
      <w:pPr>
        <w:spacing w:after="0" w:line="231" w:lineRule="auto"/>
        <w:rPr>
          <w:sz w:val="20"/>
          <w:szCs w:val="20"/>
          <w:color w:val="auto"/>
        </w:rPr>
      </w:pPr>
      <w:r>
        <w:rPr>
          <w:rFonts w:ascii="Arial" w:cs="Arial" w:eastAsia="Arial" w:hAnsi="Arial"/>
          <w:sz w:val="22"/>
          <w:szCs w:val="22"/>
          <w:color w:val="auto"/>
        </w:rPr>
        <w:t>Telecopy: (651) 495-8097</w:t>
      </w:r>
    </w:p>
    <w:p>
      <w:pPr>
        <w:spacing w:after="0"/>
        <w:rPr>
          <w:sz w:val="20"/>
          <w:szCs w:val="20"/>
          <w:color w:val="auto"/>
        </w:rPr>
      </w:pPr>
      <w:r>
        <w:rPr>
          <w:rFonts w:ascii="Arial" w:cs="Arial" w:eastAsia="Arial" w:hAnsi="Arial"/>
          <w:sz w:val="22"/>
          <w:szCs w:val="22"/>
          <w:color w:val="auto"/>
        </w:rPr>
        <w:t>Attention: Corporate Trust Department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7⅞% First Mortgage Notes due 2020</w:t>
      </w:r>
    </w:p>
    <w:p>
      <w:pPr>
        <w:spacing w:after="0" w:line="233"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(CUSIP __________)</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Reference is hereby made to the Indenture, dated as of April 28, 2010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the Guarantors party thereto and U.S. Bank National Association, as trustee (the “</w:t>
      </w:r>
      <w:r>
        <w:rPr>
          <w:rFonts w:ascii="Arial" w:cs="Arial" w:eastAsia="Arial" w:hAnsi="Arial"/>
          <w:sz w:val="19"/>
          <w:szCs w:val="19"/>
          <w:i w:val="1"/>
          <w:iCs w:val="1"/>
          <w:color w:val="auto"/>
        </w:rPr>
        <w:t>Trustee</w:t>
      </w:r>
      <w:r>
        <w:rPr>
          <w:rFonts w:ascii="Arial" w:cs="Arial" w:eastAsia="Arial" w:hAnsi="Arial"/>
          <w:sz w:val="19"/>
          <w:szCs w:val="19"/>
          <w:color w:val="auto"/>
        </w:rPr>
        <w:t>”). Capitalized terms used but not defined herein shall have the meanings given to them in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__________________________, (the “</w:t>
      </w:r>
      <w:r>
        <w:rPr>
          <w:rFonts w:ascii="Arial" w:cs="Arial" w:eastAsia="Arial" w:hAnsi="Arial"/>
          <w:sz w:val="19"/>
          <w:szCs w:val="19"/>
          <w:i w:val="1"/>
          <w:iCs w:val="1"/>
          <w:u w:val="single" w:color="auto"/>
          <w:color w:val="auto"/>
        </w:rPr>
        <w:t>Owner</w:t>
      </w:r>
      <w:r>
        <w:rPr>
          <w:rFonts w:ascii="Arial" w:cs="Arial" w:eastAsia="Arial" w:hAnsi="Arial"/>
          <w:sz w:val="19"/>
          <w:szCs w:val="19"/>
          <w:color w:val="auto"/>
        </w:rPr>
        <w:t>”) owns and proposes to exchange the Note[s] or interest in such Note[s]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specified herein, in the principal amount of $____________ in such Note[s] or interests (the “</w:t>
      </w:r>
      <w:r>
        <w:rPr>
          <w:rFonts w:ascii="Arial" w:cs="Arial" w:eastAsia="Arial" w:hAnsi="Arial"/>
          <w:sz w:val="19"/>
          <w:szCs w:val="19"/>
          <w:i w:val="1"/>
          <w:iCs w:val="1"/>
          <w:u w:val="single" w:color="auto"/>
          <w:color w:val="auto"/>
        </w:rPr>
        <w:t>Exchange</w:t>
      </w:r>
      <w:r>
        <w:rPr>
          <w:rFonts w:ascii="Arial" w:cs="Arial" w:eastAsia="Arial" w:hAnsi="Arial"/>
          <w:sz w:val="19"/>
          <w:szCs w:val="19"/>
          <w:color w:val="auto"/>
        </w:rPr>
        <w:t>”). In connection with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Exchange, the Owner hereby certifies that:</w:t>
      </w:r>
    </w:p>
    <w:p>
      <w:pPr>
        <w:spacing w:after="0" w:line="209" w:lineRule="exact"/>
        <w:rPr>
          <w:sz w:val="20"/>
          <w:szCs w:val="20"/>
          <w:color w:val="auto"/>
        </w:rPr>
      </w:pPr>
    </w:p>
    <w:p>
      <w:pPr>
        <w:ind w:right="20" w:firstLine="656"/>
        <w:spacing w:after="0" w:line="256" w:lineRule="auto"/>
        <w:tabs>
          <w:tab w:leader="none" w:pos="1472" w:val="left"/>
        </w:tabs>
        <w:numPr>
          <w:ilvl w:val="0"/>
          <w:numId w:val="260"/>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a Restricted Global Note for Unrestricted Definitive Notes or Benef icial Interests in an Unrestricted Global Note</w:t>
      </w:r>
    </w:p>
    <w:p>
      <w:pPr>
        <w:spacing w:after="0" w:line="190" w:lineRule="exact"/>
        <w:rPr>
          <w:sz w:val="20"/>
          <w:szCs w:val="20"/>
          <w:color w:val="auto"/>
        </w:rPr>
      </w:pPr>
    </w:p>
    <w:p>
      <w:pPr>
        <w:jc w:val="both"/>
        <w:ind w:firstLine="656"/>
        <w:spacing w:after="0" w:line="276" w:lineRule="auto"/>
        <w:tabs>
          <w:tab w:leader="none" w:pos="1685" w:val="left"/>
        </w:tabs>
        <w:numPr>
          <w:ilvl w:val="0"/>
          <w:numId w:val="261"/>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color w:val="auto"/>
        </w:rPr>
        <w:t>Check if Exchange is from beneficial interest in a Restricted Global Note to beneficial interest in an</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Unrestricted Global Note. </w:t>
      </w:r>
      <w:r>
        <w:rPr>
          <w:rFonts w:ascii="Arial" w:cs="Arial" w:eastAsia="Arial" w:hAnsi="Arial"/>
          <w:sz w:val="19"/>
          <w:szCs w:val="19"/>
          <w:color w:val="auto"/>
        </w:rPr>
        <w:t>In connection with the Exchange of the Owner’s beneficial interest in a Restricted Global Note for a</w:t>
      </w:r>
      <w:r>
        <w:rPr>
          <w:rFonts w:ascii="Arial" w:cs="Arial" w:eastAsia="Arial" w:hAnsi="Arial"/>
          <w:sz w:val="19"/>
          <w:szCs w:val="19"/>
          <w:b w:val="1"/>
          <w:bCs w:val="1"/>
          <w:color w:val="auto"/>
        </w:rPr>
        <w:t xml:space="preserve"> </w:t>
      </w:r>
      <w:r>
        <w:rPr>
          <w:rFonts w:ascii="Arial" w:cs="Arial" w:eastAsia="Arial" w:hAnsi="Arial"/>
          <w:sz w:val="19"/>
          <w:szCs w:val="19"/>
          <w:color w:val="auto"/>
        </w:rPr>
        <w:t>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“Securities Act”),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2"/>
          <w:szCs w:val="22"/>
          <w:b w:val="1"/>
          <w:bCs w:val="1"/>
          <w:color w:val="auto"/>
        </w:rPr>
        <w:t>EXHIBIT C</w:t>
      </w:r>
    </w:p>
    <w:p>
      <w:pPr>
        <w:spacing w:after="0" w:line="233" w:lineRule="exact"/>
        <w:rPr>
          <w:sz w:val="20"/>
          <w:szCs w:val="20"/>
          <w:color w:val="auto"/>
        </w:rPr>
      </w:pPr>
    </w:p>
    <w:p>
      <w:pPr>
        <w:jc w:val="both"/>
        <w:ind w:firstLine="656"/>
        <w:spacing w:after="0" w:line="275" w:lineRule="auto"/>
        <w:tabs>
          <w:tab w:leader="none" w:pos="1724" w:val="left"/>
        </w:tabs>
        <w:numPr>
          <w:ilvl w:val="1"/>
          <w:numId w:val="262"/>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color w:val="auto"/>
        </w:rPr>
        <w:t>Check if Exchange is from beneficial interest in a Restricted Global Note to Unrestricted Definitive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Note. </w:t>
      </w:r>
      <w:r>
        <w:rPr>
          <w:rFonts w:ascii="Arial" w:cs="Arial" w:eastAsia="Arial" w:hAnsi="Arial"/>
          <w:sz w:val="19"/>
          <w:szCs w:val="19"/>
          <w:color w:val="auto"/>
        </w:rPr>
        <w:t>In connection with the Exchange of the Owner’s beneficial interest in a Restricted Global Note for an Unrestricted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Definitive Note, the Owner hereby certifies (i) the Definitive Note is being acquired for the Owner’s own account without transfer,</w:t>
      </w:r>
    </w:p>
    <w:p>
      <w:pPr>
        <w:spacing w:after="0" w:line="2" w:lineRule="exact"/>
        <w:rPr>
          <w:rFonts w:ascii="Arial" w:cs="Arial" w:eastAsia="Arial" w:hAnsi="Arial"/>
          <w:sz w:val="19"/>
          <w:szCs w:val="19"/>
          <w:color w:val="auto"/>
        </w:rPr>
      </w:pPr>
    </w:p>
    <w:p>
      <w:pPr>
        <w:jc w:val="both"/>
        <w:ind w:firstLine="8"/>
        <w:spacing w:after="0" w:line="280" w:lineRule="auto"/>
        <w:tabs>
          <w:tab w:leader="none" w:pos="346" w:val="left"/>
        </w:tabs>
        <w:numPr>
          <w:ilvl w:val="0"/>
          <w:numId w:val="263"/>
        </w:numPr>
        <w:rPr>
          <w:rFonts w:ascii="Arial" w:cs="Arial" w:eastAsia="Arial" w:hAnsi="Arial"/>
          <w:sz w:val="19"/>
          <w:szCs w:val="19"/>
          <w:color w:val="auto"/>
        </w:rPr>
      </w:pPr>
      <w:r>
        <w:rPr>
          <w:rFonts w:ascii="Arial" w:cs="Arial" w:eastAsia="Arial" w:hAnsi="Arial"/>
          <w:sz w:val="19"/>
          <w:szCs w:val="19"/>
          <w:color w:val="auto"/>
        </w:rPr>
        <w:t>such Exchange has been effected in compliance with the transfer restrictions applicable to the Restricted Global Notes and pursuant to and in accordance with the Securities Act, (iii) the restrictions on transfer contained in the Indenture and the Private Place ment Legend are not required in order to maintain compliance with the Securities Act and (iv) the Definitive Note is being acquired in compliance with any applicable blue sky securities laws of any state of the United States.</w:t>
      </w:r>
    </w:p>
    <w:p>
      <w:pPr>
        <w:spacing w:after="0" w:line="171" w:lineRule="exact"/>
        <w:rPr>
          <w:rFonts w:ascii="Arial" w:cs="Arial" w:eastAsia="Arial" w:hAnsi="Arial"/>
          <w:sz w:val="19"/>
          <w:szCs w:val="19"/>
          <w:color w:val="auto"/>
        </w:rPr>
      </w:pPr>
    </w:p>
    <w:p>
      <w:pPr>
        <w:jc w:val="both"/>
        <w:ind w:firstLine="656"/>
        <w:spacing w:after="0" w:line="278" w:lineRule="auto"/>
        <w:tabs>
          <w:tab w:leader="none" w:pos="1671" w:val="left"/>
        </w:tabs>
        <w:numPr>
          <w:ilvl w:val="1"/>
          <w:numId w:val="263"/>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color w:val="auto"/>
        </w:rPr>
        <w:t>Check if Exchange is from Restricted Definitive Note to beneficial interest in an Unrestricted Global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Note. </w:t>
      </w:r>
      <w:r>
        <w:rPr>
          <w:rFonts w:ascii="Arial" w:cs="Arial" w:eastAsia="Arial" w:hAnsi="Arial"/>
          <w:sz w:val="19"/>
          <w:szCs w:val="19"/>
          <w:color w:val="auto"/>
        </w:rPr>
        <w:t>In connection with the Owner’s Exchange of a Restricted Definitive Note for a beneficial interest in an Unrestricted Global</w:t>
      </w:r>
      <w:r>
        <w:rPr>
          <w:rFonts w:ascii="Arial" w:cs="Arial" w:eastAsia="Arial" w:hAnsi="Arial"/>
          <w:sz w:val="19"/>
          <w:szCs w:val="19"/>
          <w:b w:val="1"/>
          <w:bCs w:val="1"/>
          <w:color w:val="auto"/>
        </w:rPr>
        <w:t xml:space="preserve"> </w:t>
      </w:r>
      <w:r>
        <w:rPr>
          <w:rFonts w:ascii="Arial" w:cs="Arial" w:eastAsia="Arial" w:hAnsi="Arial"/>
          <w:sz w:val="19"/>
          <w:szCs w:val="19"/>
          <w:color w:val="auto"/>
        </w:rPr>
        <w:t>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 acement Legend are not required in order to maintain compliance with the Securities Act and (iv) the beneficial interest is being acquired in compliance with any applicable blue sky securities laws of any state of the United States.</w:t>
      </w:r>
    </w:p>
    <w:p>
      <w:pPr>
        <w:spacing w:after="0" w:line="173" w:lineRule="exact"/>
        <w:rPr>
          <w:rFonts w:ascii="Arial" w:cs="Arial" w:eastAsia="Arial" w:hAnsi="Arial"/>
          <w:sz w:val="19"/>
          <w:szCs w:val="19"/>
          <w:color w:val="auto"/>
        </w:rPr>
      </w:pPr>
    </w:p>
    <w:p>
      <w:pPr>
        <w:jc w:val="both"/>
        <w:ind w:firstLine="656"/>
        <w:spacing w:after="0" w:line="248" w:lineRule="auto"/>
        <w:tabs>
          <w:tab w:leader="none" w:pos="1535" w:val="left"/>
        </w:tabs>
        <w:numPr>
          <w:ilvl w:val="1"/>
          <w:numId w:val="263"/>
        </w:numPr>
        <w:rPr>
          <w:rFonts w:ascii="Arial" w:cs="Arial" w:eastAsia="Arial" w:hAnsi="Arial"/>
          <w:sz w:val="21"/>
          <w:szCs w:val="21"/>
          <w:color w:val="auto"/>
        </w:rPr>
      </w:pPr>
      <w:r>
        <w:rPr>
          <w:rFonts w:ascii="Arial" w:cs="Arial" w:eastAsia="Arial" w:hAnsi="Arial"/>
          <w:sz w:val="21"/>
          <w:szCs w:val="21"/>
          <w:color w:val="auto"/>
        </w:rPr>
        <w:t xml:space="preserve">o </w:t>
      </w:r>
      <w:r>
        <w:rPr>
          <w:rFonts w:ascii="Arial" w:cs="Arial" w:eastAsia="Arial" w:hAnsi="Arial"/>
          <w:sz w:val="21"/>
          <w:szCs w:val="21"/>
          <w:b w:val="1"/>
          <w:bCs w:val="1"/>
          <w:color w:val="auto"/>
        </w:rPr>
        <w:t>Check if Exchange is from Restricted Definitive Note to Unrestricted Definitive Note.</w:t>
      </w:r>
      <w:r>
        <w:rPr>
          <w:rFonts w:ascii="Arial" w:cs="Arial" w:eastAsia="Arial" w:hAnsi="Arial"/>
          <w:sz w:val="21"/>
          <w:szCs w:val="21"/>
          <w:color w:val="auto"/>
        </w:rPr>
        <w:t xml:space="preserv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98" w:lineRule="exact"/>
        <w:rPr>
          <w:sz w:val="20"/>
          <w:szCs w:val="20"/>
          <w:color w:val="auto"/>
        </w:rPr>
      </w:pPr>
    </w:p>
    <w:p>
      <w:pPr>
        <w:ind w:firstLine="656"/>
        <w:spacing w:after="0" w:line="256" w:lineRule="auto"/>
        <w:tabs>
          <w:tab w:leader="none" w:pos="1607" w:val="left"/>
        </w:tabs>
        <w:numPr>
          <w:ilvl w:val="0"/>
          <w:numId w:val="264"/>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90" w:lineRule="exact"/>
        <w:rPr>
          <w:sz w:val="20"/>
          <w:szCs w:val="20"/>
          <w:color w:val="auto"/>
        </w:rPr>
      </w:pPr>
    </w:p>
    <w:p>
      <w:pPr>
        <w:jc w:val="both"/>
        <w:ind w:firstLine="656"/>
        <w:spacing w:after="0" w:line="280" w:lineRule="auto"/>
        <w:tabs>
          <w:tab w:leader="none" w:pos="1469" w:val="left"/>
        </w:tabs>
        <w:numPr>
          <w:ilvl w:val="0"/>
          <w:numId w:val="265"/>
        </w:numPr>
        <w:rPr>
          <w:rFonts w:ascii="Arial" w:cs="Arial" w:eastAsia="Arial" w:hAnsi="Arial"/>
          <w:sz w:val="19"/>
          <w:szCs w:val="19"/>
          <w:color w:val="auto"/>
        </w:rPr>
      </w:pPr>
      <w:r>
        <w:rPr>
          <w:rFonts w:ascii="Arial" w:cs="Arial" w:eastAsia="Arial" w:hAnsi="Arial"/>
          <w:sz w:val="19"/>
          <w:szCs w:val="19"/>
          <w:color w:val="auto"/>
        </w:rPr>
        <w:t xml:space="preserve">o </w:t>
      </w:r>
      <w:r>
        <w:rPr>
          <w:rFonts w:ascii="Arial" w:cs="Arial" w:eastAsia="Arial" w:hAnsi="Arial"/>
          <w:sz w:val="19"/>
          <w:szCs w:val="19"/>
          <w:b w:val="1"/>
          <w:bCs w:val="1"/>
          <w:color w:val="auto"/>
        </w:rPr>
        <w:t>Check if Exchange is from beneficial interest in a Restricted Global Note to Restricted Definitive Note.</w:t>
      </w:r>
      <w:r>
        <w:rPr>
          <w:rFonts w:ascii="Arial" w:cs="Arial" w:eastAsia="Arial" w:hAnsi="Arial"/>
          <w:sz w:val="19"/>
          <w:szCs w:val="19"/>
          <w:color w:val="auto"/>
        </w:rPr>
        <w:t xml:space="preserv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 cement Legend printed on the Restricted Definitive Note and in the Indenture and the Securities Act.</w:t>
      </w:r>
    </w:p>
    <w:p>
      <w:pPr>
        <w:spacing w:after="0" w:line="172" w:lineRule="exact"/>
        <w:rPr>
          <w:rFonts w:ascii="Arial" w:cs="Arial" w:eastAsia="Arial" w:hAnsi="Arial"/>
          <w:sz w:val="19"/>
          <w:szCs w:val="19"/>
          <w:color w:val="auto"/>
        </w:rPr>
      </w:pPr>
    </w:p>
    <w:p>
      <w:pPr>
        <w:ind w:right="20" w:firstLine="656"/>
        <w:spacing w:after="0" w:line="256" w:lineRule="auto"/>
        <w:tabs>
          <w:tab w:leader="none" w:pos="1467" w:val="left"/>
        </w:tabs>
        <w:numPr>
          <w:ilvl w:val="0"/>
          <w:numId w:val="265"/>
        </w:numPr>
        <w:rPr>
          <w:rFonts w:ascii="Arial" w:cs="Arial" w:eastAsia="Arial" w:hAnsi="Arial"/>
          <w:sz w:val="22"/>
          <w:szCs w:val="22"/>
          <w:color w:val="auto"/>
        </w:rPr>
      </w:pPr>
      <w:r>
        <w:rPr>
          <w:rFonts w:ascii="Arial" w:cs="Arial" w:eastAsia="Arial" w:hAnsi="Arial"/>
          <w:sz w:val="22"/>
          <w:szCs w:val="22"/>
          <w:color w:val="auto"/>
        </w:rPr>
        <w:t xml:space="preserve">o </w:t>
      </w:r>
      <w:r>
        <w:rPr>
          <w:rFonts w:ascii="Arial" w:cs="Arial" w:eastAsia="Arial" w:hAnsi="Arial"/>
          <w:sz w:val="22"/>
          <w:szCs w:val="22"/>
          <w:b w:val="1"/>
          <w:bCs w:val="1"/>
          <w:color w:val="auto"/>
        </w:rPr>
        <w:t>Check if Exchange is from Restricted Definitive Note to beneficial interest in a Restricted Global Note.</w:t>
      </w:r>
      <w:r>
        <w:rPr>
          <w:rFonts w:ascii="Arial" w:cs="Arial" w:eastAsia="Arial" w:hAnsi="Arial"/>
          <w:sz w:val="22"/>
          <w:szCs w:val="22"/>
          <w:color w:val="auto"/>
        </w:rPr>
        <w:t xml:space="preserve"> In connection with the Exchange of the Owner’s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93" w:name="page194"/>
    <w:bookmarkEnd w:id="193"/>
    <w:p>
      <w:pPr>
        <w:ind w:left="10280"/>
        <w:spacing w:after="0"/>
        <w:rPr>
          <w:sz w:val="20"/>
          <w:szCs w:val="20"/>
          <w:color w:val="auto"/>
        </w:rPr>
      </w:pPr>
      <w:r>
        <w:rPr>
          <w:rFonts w:ascii="Arial" w:cs="Arial" w:eastAsia="Arial" w:hAnsi="Arial"/>
          <w:sz w:val="22"/>
          <w:szCs w:val="22"/>
          <w:b w:val="1"/>
          <w:bCs w:val="1"/>
          <w:color w:val="auto"/>
        </w:rPr>
        <w:t>EXHIBIT C</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Restricted Definitive Note for a beneficial interest in the [CHECK ONE] o 144A Global Note, Regulation o S Global Note, o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80" w:lineRule="exact"/>
        <w:rPr>
          <w:sz w:val="20"/>
          <w:szCs w:val="20"/>
          <w:color w:val="auto"/>
        </w:rPr>
      </w:pPr>
    </w:p>
    <w:p>
      <w:pPr>
        <w:jc w:val="center"/>
        <w:ind w:right="600"/>
        <w:spacing w:after="0"/>
        <w:rPr>
          <w:sz w:val="20"/>
          <w:szCs w:val="20"/>
          <w:color w:val="auto"/>
        </w:rPr>
      </w:pPr>
      <w:r>
        <w:rPr>
          <w:rFonts w:ascii="Arial" w:cs="Arial" w:eastAsia="Arial" w:hAnsi="Arial"/>
          <w:sz w:val="22"/>
          <w:szCs w:val="22"/>
          <w:color w:val="auto"/>
        </w:rPr>
        <w:t>This certificate and the statements contained herein are made for your benefit and the benefit of the Company.</w:t>
      </w: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[Insert Name of Transferor]</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ind w:left="4220"/>
        <w:spacing w:after="0" w:line="238" w:lineRule="auto"/>
        <w:rPr>
          <w:sz w:val="20"/>
          <w:szCs w:val="20"/>
          <w:color w:val="auto"/>
        </w:rPr>
      </w:pPr>
      <w:r>
        <w:rPr>
          <w:rFonts w:ascii="Arial" w:cs="Arial" w:eastAsia="Arial" w:hAnsi="Arial"/>
          <w:sz w:val="22"/>
          <w:szCs w:val="22"/>
          <w:color w:val="auto"/>
        </w:rPr>
        <w:t>Name:</w:t>
      </w:r>
    </w:p>
    <w:p>
      <w:pPr>
        <w:ind w:left="422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2"/>
          <w:szCs w:val="22"/>
          <w:b w:val="1"/>
          <w:bCs w:val="1"/>
          <w:color w:val="auto"/>
        </w:rPr>
        <w:t>EXHIBIT 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FROM</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ACQUIRING INSTITUTIONAL ACCREDITED INVESTOR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238" w:lineRule="auto"/>
        <w:rPr>
          <w:sz w:val="20"/>
          <w:szCs w:val="20"/>
          <w:color w:val="auto"/>
        </w:rPr>
      </w:pPr>
      <w:r>
        <w:rPr>
          <w:rFonts w:ascii="Arial" w:cs="Arial" w:eastAsia="Arial" w:hAnsi="Arial"/>
          <w:sz w:val="22"/>
          <w:szCs w:val="22"/>
          <w:color w:val="auto"/>
        </w:rPr>
        <w:t>Wynn Las Vegas Capital Corp.</w:t>
      </w:r>
    </w:p>
    <w:p>
      <w:pPr>
        <w:spacing w:after="0" w:line="230" w:lineRule="auto"/>
        <w:rPr>
          <w:sz w:val="20"/>
          <w:szCs w:val="20"/>
          <w:color w:val="auto"/>
        </w:rPr>
      </w:pPr>
      <w:r>
        <w:rPr>
          <w:rFonts w:ascii="Arial" w:cs="Arial" w:eastAsia="Arial" w:hAnsi="Arial"/>
          <w:sz w:val="22"/>
          <w:szCs w:val="22"/>
          <w:color w:val="auto"/>
        </w:rPr>
        <w:t>3131 Las Vegas Boulevard, South</w:t>
      </w:r>
    </w:p>
    <w:p>
      <w:pPr>
        <w:spacing w:after="0" w:line="231" w:lineRule="auto"/>
        <w:rPr>
          <w:sz w:val="20"/>
          <w:szCs w:val="20"/>
          <w:color w:val="auto"/>
        </w:rPr>
      </w:pPr>
      <w:r>
        <w:rPr>
          <w:rFonts w:ascii="Arial" w:cs="Arial" w:eastAsia="Arial" w:hAnsi="Arial"/>
          <w:sz w:val="22"/>
          <w:szCs w:val="22"/>
          <w:color w:val="auto"/>
        </w:rPr>
        <w:t>Las Vegas, Nevada 89109</w:t>
      </w:r>
    </w:p>
    <w:p>
      <w:pPr>
        <w:spacing w:after="0" w:line="231" w:lineRule="auto"/>
        <w:rPr>
          <w:sz w:val="20"/>
          <w:szCs w:val="20"/>
          <w:color w:val="auto"/>
        </w:rPr>
      </w:pPr>
      <w:r>
        <w:rPr>
          <w:rFonts w:ascii="Arial" w:cs="Arial" w:eastAsia="Arial" w:hAnsi="Arial"/>
          <w:sz w:val="22"/>
          <w:szCs w:val="22"/>
          <w:color w:val="auto"/>
        </w:rPr>
        <w:t>Telecopy: (702) 770-1100</w:t>
      </w:r>
    </w:p>
    <w:p>
      <w:pPr>
        <w:spacing w:after="0"/>
        <w:rPr>
          <w:sz w:val="20"/>
          <w:szCs w:val="20"/>
          <w:color w:val="auto"/>
        </w:rPr>
      </w:pPr>
      <w:r>
        <w:rPr>
          <w:rFonts w:ascii="Arial" w:cs="Arial" w:eastAsia="Arial" w:hAnsi="Arial"/>
          <w:sz w:val="22"/>
          <w:szCs w:val="22"/>
          <w:color w:val="auto"/>
        </w:rPr>
        <w:t>Attention: President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38" w:lineRule="auto"/>
        <w:rPr>
          <w:sz w:val="20"/>
          <w:szCs w:val="20"/>
          <w:color w:val="auto"/>
        </w:rPr>
      </w:pPr>
      <w:r>
        <w:rPr>
          <w:rFonts w:ascii="Arial" w:cs="Arial" w:eastAsia="Arial" w:hAnsi="Arial"/>
          <w:sz w:val="22"/>
          <w:szCs w:val="22"/>
          <w:color w:val="auto"/>
        </w:rPr>
        <w:t>EP-MN-WS3C</w:t>
      </w:r>
    </w:p>
    <w:p>
      <w:pPr>
        <w:spacing w:after="0" w:line="230" w:lineRule="auto"/>
        <w:rPr>
          <w:sz w:val="20"/>
          <w:szCs w:val="20"/>
          <w:color w:val="auto"/>
        </w:rPr>
      </w:pPr>
      <w:r>
        <w:rPr>
          <w:rFonts w:ascii="Arial" w:cs="Arial" w:eastAsia="Arial" w:hAnsi="Arial"/>
          <w:sz w:val="22"/>
          <w:szCs w:val="22"/>
          <w:color w:val="auto"/>
        </w:rPr>
        <w:t>60 Livingston Avenue</w:t>
      </w:r>
    </w:p>
    <w:p>
      <w:pPr>
        <w:spacing w:after="0" w:line="231" w:lineRule="auto"/>
        <w:rPr>
          <w:sz w:val="20"/>
          <w:szCs w:val="20"/>
          <w:color w:val="auto"/>
        </w:rPr>
      </w:pPr>
      <w:r>
        <w:rPr>
          <w:rFonts w:ascii="Arial" w:cs="Arial" w:eastAsia="Arial" w:hAnsi="Arial"/>
          <w:sz w:val="22"/>
          <w:szCs w:val="22"/>
          <w:color w:val="auto"/>
        </w:rPr>
        <w:t>St. Paul, Minnesota 55107</w:t>
      </w:r>
    </w:p>
    <w:p>
      <w:pPr>
        <w:spacing w:after="0" w:line="231" w:lineRule="auto"/>
        <w:rPr>
          <w:sz w:val="20"/>
          <w:szCs w:val="20"/>
          <w:color w:val="auto"/>
        </w:rPr>
      </w:pPr>
      <w:r>
        <w:rPr>
          <w:rFonts w:ascii="Arial" w:cs="Arial" w:eastAsia="Arial" w:hAnsi="Arial"/>
          <w:sz w:val="22"/>
          <w:szCs w:val="22"/>
          <w:color w:val="auto"/>
        </w:rPr>
        <w:t>Telecopy: (651) 495-8097</w:t>
      </w:r>
    </w:p>
    <w:p>
      <w:pPr>
        <w:spacing w:after="0"/>
        <w:rPr>
          <w:sz w:val="20"/>
          <w:szCs w:val="20"/>
          <w:color w:val="auto"/>
        </w:rPr>
      </w:pPr>
      <w:r>
        <w:rPr>
          <w:rFonts w:ascii="Arial" w:cs="Arial" w:eastAsia="Arial" w:hAnsi="Arial"/>
          <w:sz w:val="22"/>
          <w:szCs w:val="22"/>
          <w:color w:val="auto"/>
        </w:rPr>
        <w:t>Attention: Corporate Trust Department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7⅞% First Mortgage Notes due 2020</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Reference is hereby made to the Indenture, dated as of April 28, 2010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the Guarantors party thereto and U.S. Bank National Association, as trustee (the “</w:t>
      </w:r>
      <w:r>
        <w:rPr>
          <w:rFonts w:ascii="Arial" w:cs="Arial" w:eastAsia="Arial" w:hAnsi="Arial"/>
          <w:sz w:val="19"/>
          <w:szCs w:val="19"/>
          <w:i w:val="1"/>
          <w:iCs w:val="1"/>
          <w:color w:val="auto"/>
        </w:rPr>
        <w:t>Trustee</w:t>
      </w:r>
      <w:r>
        <w:rPr>
          <w:rFonts w:ascii="Arial" w:cs="Arial" w:eastAsia="Arial" w:hAnsi="Arial"/>
          <w:sz w:val="19"/>
          <w:szCs w:val="19"/>
          <w:color w:val="auto"/>
        </w:rPr>
        <w:t>”). Capitalized terms used but not defined herein shall have the meanings given to them in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connection with our proposed purchase of $____________ aggregate principal amount of:</w:t>
      </w:r>
    </w:p>
    <w:p>
      <w:pPr>
        <w:spacing w:after="0" w:line="233" w:lineRule="exact"/>
        <w:rPr>
          <w:sz w:val="20"/>
          <w:szCs w:val="20"/>
          <w:color w:val="auto"/>
        </w:rPr>
      </w:pPr>
    </w:p>
    <w:p>
      <w:pPr>
        <w:ind w:left="1440" w:hanging="784"/>
        <w:spacing w:after="0"/>
        <w:tabs>
          <w:tab w:leader="none" w:pos="144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o a beneficial interest in a Global Note, or</w:t>
      </w:r>
    </w:p>
    <w:p>
      <w:pPr>
        <w:spacing w:after="0" w:line="233" w:lineRule="exact"/>
        <w:rPr>
          <w:rFonts w:ascii="Arial" w:cs="Arial" w:eastAsia="Arial" w:hAnsi="Arial"/>
          <w:sz w:val="22"/>
          <w:szCs w:val="22"/>
          <w:color w:val="auto"/>
        </w:rPr>
      </w:pPr>
    </w:p>
    <w:p>
      <w:pPr>
        <w:ind w:left="1440" w:hanging="784"/>
        <w:spacing w:after="0"/>
        <w:tabs>
          <w:tab w:leader="none" w:pos="144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o  a Definitive Note,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confirm that:</w:t>
      </w:r>
    </w:p>
    <w:p>
      <w:pPr>
        <w:spacing w:after="0" w:line="233" w:lineRule="exact"/>
        <w:rPr>
          <w:sz w:val="20"/>
          <w:szCs w:val="20"/>
          <w:color w:val="auto"/>
        </w:rPr>
      </w:pPr>
    </w:p>
    <w:p>
      <w:pPr>
        <w:jc w:val="both"/>
        <w:ind w:firstLine="656"/>
        <w:spacing w:after="0" w:line="238" w:lineRule="auto"/>
        <w:tabs>
          <w:tab w:leader="none" w:pos="1431" w:val="left"/>
        </w:tabs>
        <w:numPr>
          <w:ilvl w:val="0"/>
          <w:numId w:val="267"/>
        </w:numPr>
        <w:rPr>
          <w:rFonts w:ascii="Arial" w:cs="Arial" w:eastAsia="Arial" w:hAnsi="Arial"/>
          <w:sz w:val="22"/>
          <w:szCs w:val="22"/>
          <w:color w:val="auto"/>
        </w:rPr>
      </w:pPr>
      <w:r>
        <w:rPr>
          <w:rFonts w:ascii="Arial" w:cs="Arial" w:eastAsia="Arial" w:hAnsi="Arial"/>
          <w:sz w:val="22"/>
          <w:szCs w:val="22"/>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22"/>
          <w:szCs w:val="22"/>
          <w:i w:val="1"/>
          <w:iCs w:val="1"/>
          <w:u w:val="single" w:color="auto"/>
          <w:color w:val="auto"/>
        </w:rPr>
        <w:t>Securities Act</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656"/>
        <w:spacing w:after="0" w:line="235" w:lineRule="auto"/>
        <w:tabs>
          <w:tab w:leader="none" w:pos="1497" w:val="left"/>
        </w:tabs>
        <w:numPr>
          <w:ilvl w:val="0"/>
          <w:numId w:val="267"/>
        </w:numPr>
        <w:rPr>
          <w:rFonts w:ascii="Arial" w:cs="Arial" w:eastAsia="Arial" w:hAnsi="Arial"/>
          <w:sz w:val="22"/>
          <w:szCs w:val="22"/>
          <w:color w:val="auto"/>
        </w:rPr>
      </w:pPr>
      <w:r>
        <w:rPr>
          <w:rFonts w:ascii="Arial" w:cs="Arial" w:eastAsia="Arial" w:hAnsi="Arial"/>
          <w:sz w:val="22"/>
          <w:szCs w:val="22"/>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95" w:name="page196"/>
    <w:bookmarkEnd w:id="195"/>
    <w:p>
      <w:pPr>
        <w:ind w:left="10280"/>
        <w:spacing w:after="0"/>
        <w:rPr>
          <w:sz w:val="20"/>
          <w:szCs w:val="20"/>
          <w:color w:val="auto"/>
        </w:rPr>
      </w:pPr>
      <w:r>
        <w:rPr>
          <w:rFonts w:ascii="Arial" w:cs="Arial" w:eastAsia="Arial" w:hAnsi="Arial"/>
          <w:sz w:val="22"/>
          <w:szCs w:val="22"/>
          <w:b w:val="1"/>
          <w:bCs w:val="1"/>
          <w:color w:val="auto"/>
        </w:rPr>
        <w:t>EXHIBIT D</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such transfer, furnishes (or has furnished on its behalf by a U.S. broker-dealer) to you and to the Company a signed letter substantially in the form of this letter and an Opinion of Counsel in form reasonably acceptable to the Company to the effect that such transfer is in compliance with the Securities Act, (D) outside the United States in accordance with Rule 904 of Regulation S under the Securities Act, (E) pursuant to the provisions of Rule 144(k)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 ted as stated herein.</w:t>
      </w:r>
    </w:p>
    <w:p>
      <w:pPr>
        <w:spacing w:after="0" w:line="180" w:lineRule="exact"/>
        <w:rPr>
          <w:sz w:val="20"/>
          <w:szCs w:val="20"/>
          <w:color w:val="auto"/>
        </w:rPr>
      </w:pPr>
    </w:p>
    <w:p>
      <w:pPr>
        <w:jc w:val="both"/>
        <w:ind w:firstLine="656"/>
        <w:spacing w:after="0" w:line="238" w:lineRule="auto"/>
        <w:tabs>
          <w:tab w:leader="none" w:pos="1647" w:val="left"/>
        </w:tabs>
        <w:numPr>
          <w:ilvl w:val="0"/>
          <w:numId w:val="268"/>
        </w:numPr>
        <w:rPr>
          <w:rFonts w:ascii="Arial" w:cs="Arial" w:eastAsia="Arial" w:hAnsi="Arial"/>
          <w:sz w:val="22"/>
          <w:szCs w:val="22"/>
          <w:color w:val="auto"/>
        </w:rPr>
      </w:pPr>
      <w:r>
        <w:rPr>
          <w:rFonts w:ascii="Arial" w:cs="Arial" w:eastAsia="Arial" w:hAnsi="Arial"/>
          <w:sz w:val="22"/>
          <w:szCs w:val="22"/>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212" w:lineRule="exact"/>
        <w:rPr>
          <w:rFonts w:ascii="Arial" w:cs="Arial" w:eastAsia="Arial" w:hAnsi="Arial"/>
          <w:sz w:val="22"/>
          <w:szCs w:val="22"/>
          <w:color w:val="auto"/>
        </w:rPr>
      </w:pPr>
    </w:p>
    <w:p>
      <w:pPr>
        <w:jc w:val="both"/>
        <w:ind w:firstLine="656"/>
        <w:spacing w:after="0" w:line="238" w:lineRule="auto"/>
        <w:tabs>
          <w:tab w:leader="none" w:pos="1416" w:val="left"/>
        </w:tabs>
        <w:numPr>
          <w:ilvl w:val="0"/>
          <w:numId w:val="268"/>
        </w:numPr>
        <w:rPr>
          <w:rFonts w:ascii="Arial" w:cs="Arial" w:eastAsia="Arial" w:hAnsi="Arial"/>
          <w:sz w:val="22"/>
          <w:szCs w:val="22"/>
          <w:color w:val="auto"/>
        </w:rPr>
      </w:pPr>
      <w:r>
        <w:rPr>
          <w:rFonts w:ascii="Arial" w:cs="Arial" w:eastAsia="Arial" w:hAnsi="Arial"/>
          <w:sz w:val="22"/>
          <w:szCs w:val="22"/>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212" w:lineRule="exact"/>
        <w:rPr>
          <w:rFonts w:ascii="Arial" w:cs="Arial" w:eastAsia="Arial" w:hAnsi="Arial"/>
          <w:sz w:val="22"/>
          <w:szCs w:val="22"/>
          <w:color w:val="auto"/>
        </w:rPr>
      </w:pPr>
    </w:p>
    <w:p>
      <w:pPr>
        <w:ind w:right="20" w:firstLine="656"/>
        <w:spacing w:after="0" w:line="328" w:lineRule="auto"/>
        <w:tabs>
          <w:tab w:leader="none" w:pos="1501" w:val="left"/>
        </w:tabs>
        <w:numPr>
          <w:ilvl w:val="0"/>
          <w:numId w:val="268"/>
        </w:numPr>
        <w:rPr>
          <w:rFonts w:ascii="Arial" w:cs="Arial" w:eastAsia="Arial" w:hAnsi="Arial"/>
          <w:sz w:val="19"/>
          <w:szCs w:val="19"/>
          <w:color w:val="auto"/>
        </w:rPr>
      </w:pPr>
      <w:r>
        <w:rPr>
          <w:rFonts w:ascii="Arial" w:cs="Arial" w:eastAsia="Arial" w:hAnsi="Arial"/>
          <w:sz w:val="19"/>
          <w:szCs w:val="19"/>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32"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[Insert Name of Accredited Investor]</w:t>
      </w:r>
    </w:p>
    <w:p>
      <w:pPr>
        <w:spacing w:after="0" w:line="200" w:lineRule="exact"/>
        <w:rPr>
          <w:sz w:val="20"/>
          <w:szCs w:val="20"/>
          <w:color w:val="auto"/>
        </w:rPr>
      </w:pPr>
    </w:p>
    <w:p>
      <w:pPr>
        <w:spacing w:after="0" w:line="27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ind w:left="4600"/>
        <w:spacing w:after="0" w:line="238" w:lineRule="auto"/>
        <w:rPr>
          <w:sz w:val="20"/>
          <w:szCs w:val="20"/>
          <w:color w:val="auto"/>
        </w:rPr>
      </w:pPr>
      <w:r>
        <w:rPr>
          <w:rFonts w:ascii="Arial" w:cs="Arial" w:eastAsia="Arial" w:hAnsi="Arial"/>
          <w:sz w:val="22"/>
          <w:szCs w:val="22"/>
          <w:color w:val="auto"/>
        </w:rPr>
        <w:t>Name:</w:t>
      </w:r>
    </w:p>
    <w:p>
      <w:pPr>
        <w:ind w:left="460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22"/>
          <w:szCs w:val="22"/>
          <w:b w:val="1"/>
          <w:bCs w:val="1"/>
          <w:color w:val="auto"/>
        </w:rPr>
        <w:t>EXHIBIT 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NOTATION OF GUARANTEE]</w:t>
      </w:r>
    </w:p>
    <w:p>
      <w:pPr>
        <w:spacing w:after="0" w:line="2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For value received, [each of] the Guarantor(s) (which terms include any successor Person under the Indenture) executing this Notation of Guarantee has, jointly and severally, unconditionally guaranteed, to the extent set forth in the Indenture and subject to the provisions in the Indenture dated as of April 28, 2010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and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as joint and several obligors, and Kevyn, LLC, a Nevada limited liability company, Las Vegas Jet, LLC, a Nevada limited liability company, World Travel, LLC, a Nevada limited liability company, Wynn Golf, LLC, a Nevada limited liability company, Wynn Show Performers, LLC, a Nevada limited liability company and Wynn Sunrise, LLC, a Nevada limited liability company, as guarantors (the “</w:t>
      </w:r>
      <w:r>
        <w:rPr>
          <w:rFonts w:ascii="Arial" w:cs="Arial" w:eastAsia="Arial" w:hAnsi="Arial"/>
          <w:sz w:val="19"/>
          <w:szCs w:val="19"/>
          <w:i w:val="1"/>
          <w:iCs w:val="1"/>
          <w:u w:val="single" w:color="auto"/>
          <w:color w:val="auto"/>
        </w:rPr>
        <w:t>Guarantors</w:t>
      </w:r>
      <w:r>
        <w:rPr>
          <w:rFonts w:ascii="Arial" w:cs="Arial" w:eastAsia="Arial" w:hAnsi="Arial"/>
          <w:sz w:val="19"/>
          <w:szCs w:val="19"/>
          <w:color w:val="auto"/>
        </w:rPr>
        <w:t>”) and U.S. Bank National Association, as trustee (the “</w:t>
      </w:r>
      <w:r>
        <w:rPr>
          <w:rFonts w:ascii="Arial" w:cs="Arial" w:eastAsia="Arial" w:hAnsi="Arial"/>
          <w:sz w:val="19"/>
          <w:szCs w:val="19"/>
          <w:i w:val="1"/>
          <w:iCs w:val="1"/>
          <w:u w:val="single" w:color="auto"/>
          <w:color w:val="auto"/>
        </w:rPr>
        <w:t>Trustee</w:t>
      </w:r>
      <w:r>
        <w:rPr>
          <w:rFonts w:ascii="Arial" w:cs="Arial" w:eastAsia="Arial" w:hAnsi="Arial"/>
          <w:sz w:val="19"/>
          <w:szCs w:val="19"/>
          <w:color w:val="auto"/>
        </w:rPr>
        <w:t>”),</w:t>
      </w:r>
    </w:p>
    <w:p>
      <w:pPr>
        <w:spacing w:after="0" w:line="4" w:lineRule="exact"/>
        <w:rPr>
          <w:sz w:val="20"/>
          <w:szCs w:val="20"/>
          <w:color w:val="auto"/>
        </w:rPr>
      </w:pPr>
    </w:p>
    <w:p>
      <w:pPr>
        <w:jc w:val="both"/>
        <w:ind w:firstLine="8"/>
        <w:spacing w:after="0" w:line="243" w:lineRule="auto"/>
        <w:tabs>
          <w:tab w:leader="none" w:pos="322" w:val="left"/>
        </w:tabs>
        <w:numPr>
          <w:ilvl w:val="0"/>
          <w:numId w:val="269"/>
        </w:numPr>
        <w:rPr>
          <w:rFonts w:ascii="Arial" w:cs="Arial" w:eastAsia="Arial" w:hAnsi="Arial"/>
          <w:sz w:val="21"/>
          <w:szCs w:val="21"/>
          <w:color w:val="auto"/>
        </w:rPr>
      </w:pPr>
      <w:r>
        <w:rPr>
          <w:rFonts w:ascii="Arial" w:cs="Arial" w:eastAsia="Arial" w:hAnsi="Arial"/>
          <w:sz w:val="21"/>
          <w:szCs w:val="21"/>
          <w:color w:val="auto"/>
        </w:rPr>
        <w:t>the due and punctual payment of the principal of, premium, if any, and interest on the Notes (as defined in the Indenture), whether at maturity, by acceleration, redemption or otherwise, the due and punctual payment of interest on overdue principal of and interest on the N otes, if any, if lawful, and the due and punctual performance of all other obligations of the Issuers to the Holders or the Trustee all in accordance with the terms of the Indenture and (b) in case of any extension of time of payment or renewal of any Notes or any of such other obligations, that the same shall be promptly paid in full when due or performed in accordance with the terms of the extension or renewal, whether at stated maturity, by acceleration or otherwise. The obligations of the Guarantor(s) to the Holders of Notes and to the Trustee pursuant to the Note Guarantee and the Indenture are expressly set forth in Article 11 of the Indenture and reference is hereby made to the Indenture for the precise terms of the Note Guarantee. Each Holder of a Note, by accepting the same, (a) agrees to and shall be bound by such provisions and (b) appoints the Trustee attorney-in-fact of such Holder for such purpose.</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of Guarantor(s)]</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ind w:left="4220"/>
        <w:spacing w:after="0" w:line="238" w:lineRule="auto"/>
        <w:rPr>
          <w:sz w:val="20"/>
          <w:szCs w:val="20"/>
          <w:color w:val="auto"/>
        </w:rPr>
      </w:pPr>
      <w:r>
        <w:rPr>
          <w:rFonts w:ascii="Arial" w:cs="Arial" w:eastAsia="Arial" w:hAnsi="Arial"/>
          <w:sz w:val="22"/>
          <w:szCs w:val="22"/>
          <w:color w:val="auto"/>
        </w:rPr>
        <w:t>Name:</w:t>
      </w:r>
    </w:p>
    <w:p>
      <w:pPr>
        <w:ind w:left="4220"/>
        <w:spacing w:after="0"/>
        <w:rPr>
          <w:sz w:val="20"/>
          <w:szCs w:val="20"/>
          <w:color w:val="auto"/>
        </w:rPr>
      </w:pPr>
      <w:r>
        <w:rPr>
          <w:rFonts w:ascii="Arial" w:cs="Arial" w:eastAsia="Arial" w:hAnsi="Arial"/>
          <w:sz w:val="22"/>
          <w:szCs w:val="22"/>
          <w:color w:val="auto"/>
        </w:rPr>
        <w:t>Title: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2"/>
          <w:szCs w:val="22"/>
          <w:b w:val="1"/>
          <w:bCs w:val="1"/>
          <w:color w:val="auto"/>
        </w:rPr>
        <w:t>EXHIBIT F</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SUPPLEMENTAL INDENTURE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BE DELIVERED BY SUBSEQUENT GUARANTORS]</w:t>
      </w:r>
    </w:p>
    <w:p>
      <w:pPr>
        <w:spacing w:after="0" w:line="215" w:lineRule="exact"/>
        <w:rPr>
          <w:sz w:val="20"/>
          <w:szCs w:val="20"/>
          <w:color w:val="auto"/>
        </w:rPr>
      </w:pPr>
    </w:p>
    <w:p>
      <w:pPr>
        <w:ind w:left="660"/>
        <w:spacing w:after="0"/>
        <w:tabs>
          <w:tab w:leader="none" w:pos="2060" w:val="left"/>
          <w:tab w:leader="none" w:pos="3120" w:val="left"/>
          <w:tab w:leader="none" w:pos="3740" w:val="left"/>
          <w:tab w:leader="none" w:pos="5240" w:val="left"/>
          <w:tab w:leader="none" w:pos="6540" w:val="left"/>
          <w:tab w:leader="none" w:pos="7240" w:val="left"/>
          <w:tab w:leader="none" w:pos="7660" w:val="left"/>
          <w:tab w:leader="none" w:pos="8060" w:val="left"/>
          <w:tab w:leader="none" w:pos="10080" w:val="left"/>
          <w:tab w:leader="none" w:pos="10800" w:val="left"/>
        </w:tabs>
        <w:rPr>
          <w:sz w:val="20"/>
          <w:szCs w:val="20"/>
          <w:color w:val="auto"/>
        </w:rPr>
      </w:pPr>
      <w:r>
        <w:rPr>
          <w:rFonts w:ascii="Arial" w:cs="Arial" w:eastAsia="Arial" w:hAnsi="Arial"/>
          <w:sz w:val="22"/>
          <w:szCs w:val="22"/>
          <w:color w:val="auto"/>
        </w:rPr>
        <w:t>Supplemental</w:t>
        <w:tab/>
        <w:t>Indenture</w:t>
        <w:tab/>
        <w:t>(this</w:t>
        <w:tab/>
        <w:t>“</w:t>
      </w:r>
      <w:r>
        <w:rPr>
          <w:rFonts w:ascii="Arial" w:cs="Arial" w:eastAsia="Arial" w:hAnsi="Arial"/>
          <w:sz w:val="22"/>
          <w:szCs w:val="22"/>
          <w:i w:val="1"/>
          <w:iCs w:val="1"/>
          <w:u w:val="single" w:color="auto"/>
          <w:color w:val="auto"/>
        </w:rPr>
        <w:t>Supplemental</w:t>
      </w:r>
      <w:r>
        <w:rPr>
          <w:sz w:val="20"/>
          <w:szCs w:val="20"/>
          <w:color w:val="auto"/>
        </w:rPr>
        <w:tab/>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dated</w:t>
        <w:tab/>
        <w:t>as</w:t>
        <w:tab/>
        <w:t>of</w:t>
        <w:tab/>
        <w:t>________________,</w:t>
        <w:tab/>
        <w:t>20__,</w:t>
      </w:r>
      <w:r>
        <w:rPr>
          <w:sz w:val="20"/>
          <w:szCs w:val="20"/>
          <w:color w:val="auto"/>
        </w:rPr>
        <w:tab/>
      </w:r>
      <w:r>
        <w:rPr>
          <w:rFonts w:ascii="Arial" w:cs="Arial" w:eastAsia="Arial" w:hAnsi="Arial"/>
          <w:sz w:val="19"/>
          <w:szCs w:val="19"/>
          <w:color w:val="auto"/>
        </w:rPr>
        <w:t>among</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 (the “</w:t>
      </w:r>
      <w:r>
        <w:rPr>
          <w:rFonts w:ascii="Arial" w:cs="Arial" w:eastAsia="Arial" w:hAnsi="Arial"/>
          <w:sz w:val="19"/>
          <w:szCs w:val="19"/>
          <w:i w:val="1"/>
          <w:iCs w:val="1"/>
          <w:u w:val="single" w:color="auto"/>
          <w:color w:val="auto"/>
        </w:rPr>
        <w:t>Guaranteeing Subsidiary</w:t>
      </w:r>
      <w:r>
        <w:rPr>
          <w:rFonts w:ascii="Arial" w:cs="Arial" w:eastAsia="Arial" w:hAnsi="Arial"/>
          <w:sz w:val="19"/>
          <w:szCs w:val="19"/>
          <w:color w:val="auto"/>
        </w:rPr>
        <w:t>”), a subsidiary of Wynn Las Vegas, LLC, a Nevada limited liability company</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Wynn Las Vegas</w:t>
      </w:r>
      <w:r>
        <w:rPr>
          <w:rFonts w:ascii="Arial" w:cs="Arial" w:eastAsia="Arial" w:hAnsi="Arial"/>
          <w:sz w:val="22"/>
          <w:szCs w:val="22"/>
          <w:color w:val="auto"/>
        </w:rPr>
        <w:t>”), Wynn Las Vegas, Wynn Las Vegas Capital Corp., a Nevada corporation (“</w:t>
      </w:r>
      <w:r>
        <w:rPr>
          <w:rFonts w:ascii="Arial" w:cs="Arial" w:eastAsia="Arial" w:hAnsi="Arial"/>
          <w:sz w:val="22"/>
          <w:szCs w:val="22"/>
          <w:i w:val="1"/>
          <w:iCs w:val="1"/>
          <w:u w:val="single" w:color="auto"/>
          <w:color w:val="auto"/>
        </w:rPr>
        <w:t>Wynn Capital</w:t>
      </w:r>
      <w:r>
        <w:rPr>
          <w:rFonts w:ascii="Arial" w:cs="Arial" w:eastAsia="Arial" w:hAnsi="Arial"/>
          <w:sz w:val="22"/>
          <w:szCs w:val="22"/>
          <w:color w:val="auto"/>
        </w:rPr>
        <w:t>,” and together with Wynn Las Vegas, the “</w:t>
      </w:r>
      <w:r>
        <w:rPr>
          <w:rFonts w:ascii="Arial" w:cs="Arial" w:eastAsia="Arial" w:hAnsi="Arial"/>
          <w:sz w:val="22"/>
          <w:szCs w:val="22"/>
          <w:i w:val="1"/>
          <w:iCs w:val="1"/>
          <w:u w:val="single" w:color="auto"/>
          <w:color w:val="auto"/>
        </w:rPr>
        <w:t>Is suers</w:t>
      </w:r>
      <w:r>
        <w:rPr>
          <w:rFonts w:ascii="Arial" w:cs="Arial" w:eastAsia="Arial" w:hAnsi="Arial"/>
          <w:sz w:val="22"/>
          <w:szCs w:val="22"/>
          <w:color w:val="auto"/>
        </w:rPr>
        <w:t>”) and the Guarantors (as defined in the Indenture referred to herein) and U.S. Bank National Association, as trustee under the Indenture referred to below (the “</w:t>
      </w:r>
      <w:r>
        <w:rPr>
          <w:rFonts w:ascii="Arial" w:cs="Arial" w:eastAsia="Arial" w:hAnsi="Arial"/>
          <w:sz w:val="22"/>
          <w:szCs w:val="22"/>
          <w:i w:val="1"/>
          <w:iCs w:val="1"/>
          <w:u w:val="single" w:color="auto"/>
          <w:color w:val="auto"/>
        </w:rPr>
        <w:t>Trustee</w:t>
      </w:r>
      <w:r>
        <w:rPr>
          <w:rFonts w:ascii="Arial" w:cs="Arial" w:eastAsia="Arial" w:hAnsi="Arial"/>
          <w:sz w:val="22"/>
          <w:szCs w:val="22"/>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the Issuers have heretofore executed and delivered to the Trustee an indenture (the “</w:t>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 dated as of April 28, 2010 providing for the issuance of an aggregate principal amount of (a) $382,010,000 of 7⅞% First Mortgage Notes due 2020 (the “</w:t>
      </w:r>
      <w:r>
        <w:rPr>
          <w:rFonts w:ascii="Arial" w:cs="Arial" w:eastAsia="Arial" w:hAnsi="Arial"/>
          <w:sz w:val="22"/>
          <w:szCs w:val="22"/>
          <w:i w:val="1"/>
          <w:iCs w:val="1"/>
          <w:u w:val="single" w:color="auto"/>
          <w:color w:val="auto"/>
        </w:rPr>
        <w:t>Notes</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19"/>
          <w:szCs w:val="19"/>
          <w:i w:val="1"/>
          <w:iCs w:val="1"/>
          <w:u w:val="single" w:color="auto"/>
          <w:color w:val="auto"/>
        </w:rPr>
        <w:t>Note Guarantee</w:t>
      </w:r>
      <w:r>
        <w:rPr>
          <w:rFonts w:ascii="Arial" w:cs="Arial" w:eastAsia="Arial" w:hAnsi="Arial"/>
          <w:sz w:val="19"/>
          <w:szCs w:val="19"/>
          <w:color w:val="auto"/>
        </w:rPr>
        <w:t>”); and</w:t>
      </w:r>
    </w:p>
    <w:p>
      <w:pPr>
        <w:spacing w:after="0" w:line="16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213" w:lineRule="exact"/>
        <w:rPr>
          <w:sz w:val="20"/>
          <w:szCs w:val="20"/>
          <w:color w:val="auto"/>
        </w:rPr>
      </w:pPr>
    </w:p>
    <w:p>
      <w:pPr>
        <w:ind w:left="1520" w:hanging="864"/>
        <w:spacing w:after="0"/>
        <w:tabs>
          <w:tab w:leader="none" w:pos="152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Capitalized Terms. Capitalized terms used herein without definition shall have the meanings assigned to them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Indenture.</w:t>
      </w:r>
    </w:p>
    <w:p>
      <w:pPr>
        <w:spacing w:after="0" w:line="215" w:lineRule="exact"/>
        <w:rPr>
          <w:rFonts w:ascii="Arial" w:cs="Arial" w:eastAsia="Arial" w:hAnsi="Arial"/>
          <w:sz w:val="19"/>
          <w:szCs w:val="19"/>
          <w:color w:val="auto"/>
        </w:rPr>
      </w:pPr>
    </w:p>
    <w:p>
      <w:pPr>
        <w:ind w:left="1400" w:hanging="744"/>
        <w:spacing w:after="0"/>
        <w:tabs>
          <w:tab w:leader="none" w:pos="140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Agreement to Guarantee. The Guaranteeing Subsidiary hereby agrees as follows:</w:t>
      </w:r>
    </w:p>
    <w:p>
      <w:pPr>
        <w:spacing w:after="0" w:line="233" w:lineRule="exact"/>
        <w:rPr>
          <w:rFonts w:ascii="Arial" w:cs="Arial" w:eastAsia="Arial" w:hAnsi="Arial"/>
          <w:sz w:val="22"/>
          <w:szCs w:val="22"/>
          <w:color w:val="auto"/>
        </w:rPr>
      </w:pPr>
    </w:p>
    <w:p>
      <w:pPr>
        <w:jc w:val="both"/>
        <w:ind w:left="660" w:firstLine="753"/>
        <w:spacing w:after="0" w:line="297" w:lineRule="auto"/>
        <w:tabs>
          <w:tab w:leader="none" w:pos="2310" w:val="left"/>
        </w:tabs>
        <w:numPr>
          <w:ilvl w:val="1"/>
          <w:numId w:val="270"/>
        </w:numPr>
        <w:rPr>
          <w:rFonts w:ascii="Arial" w:cs="Arial" w:eastAsia="Arial" w:hAnsi="Arial"/>
          <w:sz w:val="19"/>
          <w:szCs w:val="19"/>
          <w:color w:val="auto"/>
        </w:rPr>
      </w:pPr>
      <w:r>
        <w:rPr>
          <w:rFonts w:ascii="Arial" w:cs="Arial" w:eastAsia="Arial" w:hAnsi="Arial"/>
          <w:sz w:val="19"/>
          <w:szCs w:val="19"/>
          <w:color w:val="auto"/>
        </w:rPr>
        <w:t>Along with all Guarantors named in the Indenture, to jointly, severally and unconditionally Guarantee to each Holder of a Note authenticated and delivered by the Trustee and to the Trustee and its successors and assigns, the Notes, the Collateral Documents or the obligations of the Issuers hereunder or thereunder, that:</w:t>
      </w:r>
    </w:p>
    <w:p>
      <w:pPr>
        <w:spacing w:after="0" w:line="161" w:lineRule="exact"/>
        <w:rPr>
          <w:rFonts w:ascii="Arial" w:cs="Arial" w:eastAsia="Arial" w:hAnsi="Arial"/>
          <w:sz w:val="19"/>
          <w:szCs w:val="19"/>
          <w:color w:val="auto"/>
        </w:rPr>
      </w:pPr>
    </w:p>
    <w:p>
      <w:pPr>
        <w:jc w:val="both"/>
        <w:ind w:left="1300" w:firstLine="977"/>
        <w:spacing w:after="0" w:line="236" w:lineRule="auto"/>
        <w:tabs>
          <w:tab w:leader="none" w:pos="3219" w:val="left"/>
        </w:tabs>
        <w:numPr>
          <w:ilvl w:val="2"/>
          <w:numId w:val="270"/>
        </w:numPr>
        <w:rPr>
          <w:rFonts w:ascii="Arial" w:cs="Arial" w:eastAsia="Arial" w:hAnsi="Arial"/>
          <w:sz w:val="22"/>
          <w:szCs w:val="22"/>
          <w:color w:val="auto"/>
        </w:rPr>
      </w:pPr>
      <w:r>
        <w:rPr>
          <w:rFonts w:ascii="Arial" w:cs="Arial" w:eastAsia="Arial" w:hAnsi="Arial"/>
          <w:sz w:val="22"/>
          <w:szCs w:val="22"/>
          <w:color w:val="auto"/>
        </w:rPr>
        <w:t>the principal of, premium and Liquidated Damages,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98" w:name="page199"/>
    <w:bookmarkEnd w:id="198"/>
    <w:p>
      <w:pPr>
        <w:jc w:val="both"/>
        <w:ind w:left="1300" w:firstLine="1017"/>
        <w:spacing w:after="0"/>
        <w:tabs>
          <w:tab w:leader="none" w:pos="3376" w:val="left"/>
        </w:tabs>
        <w:numPr>
          <w:ilvl w:val="0"/>
          <w:numId w:val="271"/>
        </w:numPr>
        <w:rPr>
          <w:rFonts w:ascii="Arial" w:cs="Arial" w:eastAsia="Arial" w:hAnsi="Arial"/>
          <w:sz w:val="22"/>
          <w:szCs w:val="22"/>
          <w:color w:val="auto"/>
        </w:rPr>
      </w:pPr>
      <w:r>
        <w:rPr>
          <w:rFonts w:ascii="Arial" w:cs="Arial" w:eastAsia="Arial" w:hAnsi="Arial"/>
          <w:sz w:val="22"/>
          <w:szCs w:val="22"/>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21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Failing payment when due of any amount so guaranteed or any performance so guaranteed for whatever reason, the Guarantors shall be jointly and severally obligated to pay the same immediately.</w:t>
      </w:r>
    </w:p>
    <w:p>
      <w:pPr>
        <w:spacing w:after="0" w:line="200" w:lineRule="exact"/>
        <w:rPr>
          <w:sz w:val="20"/>
          <w:szCs w:val="20"/>
          <w:color w:val="auto"/>
        </w:rPr>
      </w:pPr>
    </w:p>
    <w:p>
      <w:pPr>
        <w:jc w:val="both"/>
        <w:ind w:left="660" w:firstLine="753"/>
        <w:spacing w:after="0" w:line="236" w:lineRule="auto"/>
        <w:tabs>
          <w:tab w:leader="none" w:pos="2317" w:val="left"/>
        </w:tabs>
        <w:numPr>
          <w:ilvl w:val="0"/>
          <w:numId w:val="272"/>
        </w:numPr>
        <w:rPr>
          <w:rFonts w:ascii="Arial" w:cs="Arial" w:eastAsia="Arial" w:hAnsi="Arial"/>
          <w:sz w:val="22"/>
          <w:szCs w:val="22"/>
          <w:color w:val="auto"/>
        </w:rPr>
      </w:pPr>
      <w:r>
        <w:rPr>
          <w:rFonts w:ascii="Arial" w:cs="Arial" w:eastAsia="Arial" w:hAnsi="Arial"/>
          <w:sz w:val="22"/>
          <w:szCs w:val="22"/>
          <w:color w:val="auto"/>
        </w:rPr>
        <w:t>The obligations hereunder shall be unconditional, irrespective of the validity, regularity or enforceability of the Notes, the Indenture or the Collateral Documents,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214" w:lineRule="exact"/>
        <w:rPr>
          <w:rFonts w:ascii="Arial" w:cs="Arial" w:eastAsia="Arial" w:hAnsi="Arial"/>
          <w:sz w:val="22"/>
          <w:szCs w:val="22"/>
          <w:color w:val="auto"/>
        </w:rPr>
      </w:pPr>
    </w:p>
    <w:p>
      <w:pPr>
        <w:jc w:val="both"/>
        <w:ind w:left="660" w:firstLine="753"/>
        <w:spacing w:after="0" w:line="248" w:lineRule="auto"/>
        <w:tabs>
          <w:tab w:leader="none" w:pos="2252" w:val="left"/>
        </w:tabs>
        <w:numPr>
          <w:ilvl w:val="0"/>
          <w:numId w:val="272"/>
        </w:numPr>
        <w:rPr>
          <w:rFonts w:ascii="Arial" w:cs="Arial" w:eastAsia="Arial" w:hAnsi="Arial"/>
          <w:sz w:val="21"/>
          <w:szCs w:val="21"/>
          <w:color w:val="auto"/>
        </w:rPr>
      </w:pPr>
      <w:r>
        <w:rPr>
          <w:rFonts w:ascii="Arial" w:cs="Arial" w:eastAsia="Arial" w:hAnsi="Arial"/>
          <w:sz w:val="21"/>
          <w:szCs w:val="21"/>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204" w:lineRule="exact"/>
        <w:rPr>
          <w:rFonts w:ascii="Arial" w:cs="Arial" w:eastAsia="Arial" w:hAnsi="Arial"/>
          <w:sz w:val="21"/>
          <w:szCs w:val="21"/>
          <w:color w:val="auto"/>
        </w:rPr>
      </w:pPr>
    </w:p>
    <w:p>
      <w:pPr>
        <w:jc w:val="both"/>
        <w:ind w:left="660" w:firstLine="820"/>
        <w:spacing w:after="0"/>
        <w:tabs>
          <w:tab w:leader="none" w:pos="2698" w:val="left"/>
        </w:tabs>
        <w:numPr>
          <w:ilvl w:val="1"/>
          <w:numId w:val="272"/>
        </w:numPr>
        <w:rPr>
          <w:rFonts w:ascii="Arial" w:cs="Arial" w:eastAsia="Arial" w:hAnsi="Arial"/>
          <w:sz w:val="22"/>
          <w:szCs w:val="22"/>
          <w:color w:val="auto"/>
        </w:rPr>
      </w:pPr>
      <w:r>
        <w:rPr>
          <w:rFonts w:ascii="Arial" w:cs="Arial" w:eastAsia="Arial" w:hAnsi="Arial"/>
          <w:sz w:val="22"/>
          <w:szCs w:val="22"/>
          <w:color w:val="auto"/>
        </w:rPr>
        <w:t>This Note Guarantee shall not be discharged except by complete performance of the obligations contained in the Notes and the Indenture, and the Guaranteeing Subsidiary accepts all obligations of a Guarantor under the Indenture.</w:t>
      </w:r>
    </w:p>
    <w:p>
      <w:pPr>
        <w:spacing w:after="0" w:line="213" w:lineRule="exact"/>
        <w:rPr>
          <w:sz w:val="20"/>
          <w:szCs w:val="20"/>
          <w:color w:val="auto"/>
        </w:rPr>
      </w:pPr>
    </w:p>
    <w:p>
      <w:pPr>
        <w:jc w:val="both"/>
        <w:ind w:left="660" w:firstLine="753"/>
        <w:spacing w:after="0" w:line="238" w:lineRule="auto"/>
        <w:tabs>
          <w:tab w:leader="none" w:pos="2305" w:val="left"/>
        </w:tabs>
        <w:numPr>
          <w:ilvl w:val="0"/>
          <w:numId w:val="273"/>
        </w:numPr>
        <w:rPr>
          <w:rFonts w:ascii="Arial" w:cs="Arial" w:eastAsia="Arial" w:hAnsi="Arial"/>
          <w:sz w:val="22"/>
          <w:szCs w:val="22"/>
          <w:color w:val="auto"/>
        </w:rPr>
      </w:pPr>
      <w:r>
        <w:rPr>
          <w:rFonts w:ascii="Arial" w:cs="Arial" w:eastAsia="Arial" w:hAnsi="Arial"/>
          <w:sz w:val="22"/>
          <w:szCs w:val="22"/>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212" w:lineRule="exact"/>
        <w:rPr>
          <w:rFonts w:ascii="Arial" w:cs="Arial" w:eastAsia="Arial" w:hAnsi="Arial"/>
          <w:sz w:val="22"/>
          <w:szCs w:val="22"/>
          <w:color w:val="auto"/>
        </w:rPr>
      </w:pPr>
    </w:p>
    <w:p>
      <w:pPr>
        <w:ind w:left="660" w:firstLine="753"/>
        <w:spacing w:after="0" w:line="274" w:lineRule="auto"/>
        <w:tabs>
          <w:tab w:leader="none" w:pos="2270" w:val="left"/>
        </w:tabs>
        <w:numPr>
          <w:ilvl w:val="0"/>
          <w:numId w:val="273"/>
        </w:numPr>
        <w:rPr>
          <w:rFonts w:ascii="Arial" w:cs="Arial" w:eastAsia="Arial" w:hAnsi="Arial"/>
          <w:sz w:val="21"/>
          <w:szCs w:val="21"/>
          <w:color w:val="auto"/>
        </w:rPr>
      </w:pPr>
      <w:r>
        <w:rPr>
          <w:rFonts w:ascii="Arial" w:cs="Arial" w:eastAsia="Arial" w:hAnsi="Arial"/>
          <w:sz w:val="21"/>
          <w:szCs w:val="21"/>
          <w:color w:val="auto"/>
        </w:rPr>
        <w:t>The Guaranteeing Subsidiary shall not be entitled to any right of subrogation in relation to the Holders in respect of any obligations guaranteed hereby until payment in full of all obligations guaranteed hereby.</w:t>
      </w:r>
    </w:p>
    <w:p>
      <w:pPr>
        <w:spacing w:after="0" w:line="177" w:lineRule="exact"/>
        <w:rPr>
          <w:rFonts w:ascii="Arial" w:cs="Arial" w:eastAsia="Arial" w:hAnsi="Arial"/>
          <w:sz w:val="21"/>
          <w:szCs w:val="21"/>
          <w:color w:val="auto"/>
        </w:rPr>
      </w:pPr>
    </w:p>
    <w:p>
      <w:pPr>
        <w:jc w:val="both"/>
        <w:ind w:left="660" w:firstLine="753"/>
        <w:spacing w:after="0" w:line="248" w:lineRule="auto"/>
        <w:tabs>
          <w:tab w:leader="none" w:pos="2320" w:val="left"/>
        </w:tabs>
        <w:numPr>
          <w:ilvl w:val="0"/>
          <w:numId w:val="273"/>
        </w:numPr>
        <w:rPr>
          <w:rFonts w:ascii="Arial" w:cs="Arial" w:eastAsia="Arial" w:hAnsi="Arial"/>
          <w:sz w:val="21"/>
          <w:szCs w:val="21"/>
          <w:color w:val="auto"/>
        </w:rPr>
      </w:pPr>
      <w:r>
        <w:rPr>
          <w:rFonts w:ascii="Arial" w:cs="Arial" w:eastAsia="Arial" w:hAnsi="Arial"/>
          <w:sz w:val="21"/>
          <w:szCs w:val="21"/>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Note Guarantee.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99" w:name="page200"/>
    <w:bookmarkEnd w:id="199"/>
    <w:p>
      <w:pPr>
        <w:ind w:left="660" w:right="20" w:firstLine="766"/>
        <w:spacing w:after="0" w:line="251" w:lineRule="auto"/>
        <w:tabs>
          <w:tab w:leader="none" w:pos="2382" w:val="left"/>
        </w:tabs>
        <w:numPr>
          <w:ilvl w:val="0"/>
          <w:numId w:val="274"/>
        </w:numPr>
        <w:rPr>
          <w:rFonts w:ascii="Arial" w:cs="Arial" w:eastAsia="Arial" w:hAnsi="Arial"/>
          <w:sz w:val="22"/>
          <w:szCs w:val="22"/>
          <w:color w:val="auto"/>
        </w:rPr>
      </w:pPr>
      <w:r>
        <w:rPr>
          <w:rFonts w:ascii="Arial" w:cs="Arial" w:eastAsia="Arial" w:hAnsi="Arial"/>
          <w:sz w:val="22"/>
          <w:szCs w:val="22"/>
          <w:color w:val="auto"/>
        </w:rPr>
        <w:t>The Guarantors shall have the right to seek contribution from any non-paying Guarantor so long as the exercise of such right does not impair the rights of the Holders under the Note Guarantee.</w:t>
      </w:r>
    </w:p>
    <w:p>
      <w:pPr>
        <w:spacing w:after="0" w:line="200" w:lineRule="exact"/>
        <w:rPr>
          <w:sz w:val="20"/>
          <w:szCs w:val="20"/>
          <w:color w:val="auto"/>
        </w:rPr>
      </w:pPr>
    </w:p>
    <w:p>
      <w:pPr>
        <w:jc w:val="both"/>
        <w:ind w:left="660" w:firstLine="780"/>
        <w:spacing w:after="0" w:line="248" w:lineRule="auto"/>
        <w:tabs>
          <w:tab w:leader="none" w:pos="2456" w:val="left"/>
        </w:tabs>
        <w:numPr>
          <w:ilvl w:val="1"/>
          <w:numId w:val="275"/>
        </w:numPr>
        <w:rPr>
          <w:rFonts w:ascii="Arial" w:cs="Arial" w:eastAsia="Arial" w:hAnsi="Arial"/>
          <w:sz w:val="21"/>
          <w:szCs w:val="21"/>
          <w:color w:val="auto"/>
        </w:rPr>
      </w:pPr>
      <w:r>
        <w:rPr>
          <w:rFonts w:ascii="Arial" w:cs="Arial" w:eastAsia="Arial" w:hAnsi="Arial"/>
          <w:sz w:val="21"/>
          <w:szCs w:val="21"/>
          <w:color w:val="auto"/>
        </w:rPr>
        <w:t>Pursuant to Section 11.02 of the Indenture, after giving effect to any maximum amount and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 permissible such that the obligations of such Guarantor under this Note Guarantee shall not constitute a fraudulent transfer or conveyance.</w:t>
      </w:r>
    </w:p>
    <w:p>
      <w:pPr>
        <w:spacing w:after="0" w:line="204" w:lineRule="exact"/>
        <w:rPr>
          <w:rFonts w:ascii="Arial" w:cs="Arial" w:eastAsia="Arial" w:hAnsi="Arial"/>
          <w:sz w:val="21"/>
          <w:szCs w:val="21"/>
          <w:color w:val="auto"/>
        </w:rPr>
      </w:pPr>
    </w:p>
    <w:p>
      <w:pPr>
        <w:ind w:right="20" w:firstLine="656"/>
        <w:spacing w:after="0" w:line="251" w:lineRule="auto"/>
        <w:tabs>
          <w:tab w:leader="none" w:pos="1476" w:val="left"/>
        </w:tabs>
        <w:numPr>
          <w:ilvl w:val="0"/>
          <w:numId w:val="276"/>
        </w:numPr>
        <w:rPr>
          <w:rFonts w:ascii="Arial" w:cs="Arial" w:eastAsia="Arial" w:hAnsi="Arial"/>
          <w:sz w:val="22"/>
          <w:szCs w:val="22"/>
          <w:color w:val="auto"/>
        </w:rPr>
      </w:pPr>
      <w:r>
        <w:rPr>
          <w:rFonts w:ascii="Arial" w:cs="Arial" w:eastAsia="Arial" w:hAnsi="Arial"/>
          <w:sz w:val="22"/>
          <w:szCs w:val="22"/>
          <w:color w:val="auto"/>
        </w:rPr>
        <w:t>Execution and Delivery. Each Guaranteeing Subsidiary agrees that the Note Guarantees shall remain in full force and effect notwithstanding any failure to endorse on each Note a notation of such Note Guarantee.</w:t>
      </w:r>
    </w:p>
    <w:p>
      <w:pPr>
        <w:spacing w:after="0" w:line="200" w:lineRule="exact"/>
        <w:rPr>
          <w:rFonts w:ascii="Arial" w:cs="Arial" w:eastAsia="Arial" w:hAnsi="Arial"/>
          <w:sz w:val="22"/>
          <w:szCs w:val="22"/>
          <w:color w:val="auto"/>
        </w:rPr>
      </w:pPr>
    </w:p>
    <w:p>
      <w:pPr>
        <w:ind w:left="1420" w:hanging="764"/>
        <w:spacing w:after="0"/>
        <w:tabs>
          <w:tab w:leader="none" w:pos="1420" w:val="left"/>
        </w:tabs>
        <w:numPr>
          <w:ilvl w:val="0"/>
          <w:numId w:val="276"/>
        </w:numPr>
        <w:rPr>
          <w:rFonts w:ascii="Arial" w:cs="Arial" w:eastAsia="Arial" w:hAnsi="Arial"/>
          <w:sz w:val="22"/>
          <w:szCs w:val="22"/>
          <w:color w:val="auto"/>
        </w:rPr>
      </w:pPr>
      <w:r>
        <w:rPr>
          <w:rFonts w:ascii="Arial" w:cs="Arial" w:eastAsia="Arial" w:hAnsi="Arial"/>
          <w:sz w:val="22"/>
          <w:szCs w:val="22"/>
          <w:color w:val="auto"/>
        </w:rPr>
        <w:t>Guaranteeing Subsidiary may Consolidate, etc. on Certain Terms.</w:t>
      </w:r>
    </w:p>
    <w:p>
      <w:pPr>
        <w:spacing w:after="0" w:line="233" w:lineRule="exact"/>
        <w:rPr>
          <w:rFonts w:ascii="Arial" w:cs="Arial" w:eastAsia="Arial" w:hAnsi="Arial"/>
          <w:sz w:val="22"/>
          <w:szCs w:val="22"/>
          <w:color w:val="auto"/>
        </w:rPr>
      </w:pPr>
    </w:p>
    <w:p>
      <w:pPr>
        <w:jc w:val="both"/>
        <w:ind w:left="660" w:firstLine="753"/>
        <w:spacing w:after="0" w:line="258" w:lineRule="auto"/>
        <w:tabs>
          <w:tab w:leader="none" w:pos="2305" w:val="left"/>
        </w:tabs>
        <w:numPr>
          <w:ilvl w:val="1"/>
          <w:numId w:val="276"/>
        </w:numPr>
        <w:rPr>
          <w:rFonts w:ascii="Arial" w:cs="Arial" w:eastAsia="Arial" w:hAnsi="Arial"/>
          <w:sz w:val="21"/>
          <w:szCs w:val="21"/>
          <w:color w:val="auto"/>
        </w:rPr>
      </w:pPr>
      <w:r>
        <w:rPr>
          <w:rFonts w:ascii="Arial" w:cs="Arial" w:eastAsia="Arial" w:hAnsi="Arial"/>
          <w:sz w:val="21"/>
          <w:szCs w:val="21"/>
          <w:color w:val="auto"/>
        </w:rPr>
        <w:t>A Guaranteeing Subsidiary may not sell or otherwise dispose of all or substantially all of its assets to, or consolidate with or merge with or into (whether or not such Guaranteeing Subsidiary is the surviving Person) another Person, other than either of the Issuers or another Guarantor, except as set forth in the Indenture.</w:t>
      </w:r>
    </w:p>
    <w:p>
      <w:pPr>
        <w:spacing w:after="0" w:line="193" w:lineRule="exact"/>
        <w:rPr>
          <w:rFonts w:ascii="Arial" w:cs="Arial" w:eastAsia="Arial" w:hAnsi="Arial"/>
          <w:sz w:val="21"/>
          <w:szCs w:val="21"/>
          <w:color w:val="auto"/>
        </w:rPr>
      </w:pPr>
    </w:p>
    <w:p>
      <w:pPr>
        <w:ind w:left="660" w:firstLine="780"/>
        <w:spacing w:after="0" w:line="328" w:lineRule="auto"/>
        <w:tabs>
          <w:tab w:leader="none" w:pos="2512" w:val="left"/>
        </w:tabs>
        <w:numPr>
          <w:ilvl w:val="2"/>
          <w:numId w:val="276"/>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4 or the provisions of Section 11.04 of the Indenture, each Guarantor is permitted to reorganize as a corporation pursuant to a Permitted C-Corp. Conversion.</w:t>
      </w:r>
    </w:p>
    <w:p>
      <w:pPr>
        <w:spacing w:after="0" w:line="132" w:lineRule="exact"/>
        <w:rPr>
          <w:rFonts w:ascii="Arial" w:cs="Arial" w:eastAsia="Arial" w:hAnsi="Arial"/>
          <w:sz w:val="19"/>
          <w:szCs w:val="19"/>
          <w:color w:val="auto"/>
        </w:rPr>
      </w:pPr>
    </w:p>
    <w:p>
      <w:pPr>
        <w:ind w:left="1420" w:hanging="764"/>
        <w:spacing w:after="0"/>
        <w:tabs>
          <w:tab w:leader="none" w:pos="1420" w:val="left"/>
        </w:tabs>
        <w:numPr>
          <w:ilvl w:val="0"/>
          <w:numId w:val="276"/>
        </w:numPr>
        <w:rPr>
          <w:rFonts w:ascii="Arial" w:cs="Arial" w:eastAsia="Arial" w:hAnsi="Arial"/>
          <w:sz w:val="22"/>
          <w:szCs w:val="22"/>
          <w:color w:val="auto"/>
        </w:rPr>
      </w:pPr>
      <w:r>
        <w:rPr>
          <w:rFonts w:ascii="Arial" w:cs="Arial" w:eastAsia="Arial" w:hAnsi="Arial"/>
          <w:sz w:val="22"/>
          <w:szCs w:val="22"/>
          <w:color w:val="auto"/>
        </w:rPr>
        <w:t>Releases.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Subject to compliance with the provisions described in Section 4 above and under Article 11 of the Indenture, the Note Guarantee of a Guaranteeing Subsidiary and the security interests granted by that Guaranteeing Subsidiary to secure its Note Guarantee will be released on the terms set forth in the Indenture.</w:t>
      </w:r>
    </w:p>
    <w:p>
      <w:pPr>
        <w:spacing w:after="0" w:line="213" w:lineRule="exact"/>
        <w:rPr>
          <w:sz w:val="20"/>
          <w:szCs w:val="20"/>
          <w:color w:val="auto"/>
        </w:rPr>
      </w:pPr>
    </w:p>
    <w:p>
      <w:pPr>
        <w:jc w:val="both"/>
        <w:ind w:firstLine="656"/>
        <w:spacing w:after="0" w:line="248" w:lineRule="auto"/>
        <w:tabs>
          <w:tab w:leader="none" w:pos="1445" w:val="left"/>
        </w:tabs>
        <w:numPr>
          <w:ilvl w:val="0"/>
          <w:numId w:val="277"/>
        </w:numPr>
        <w:rPr>
          <w:rFonts w:ascii="Arial" w:cs="Arial" w:eastAsia="Arial" w:hAnsi="Arial"/>
          <w:sz w:val="21"/>
          <w:szCs w:val="21"/>
          <w:color w:val="auto"/>
        </w:rPr>
      </w:pPr>
      <w:r>
        <w:rPr>
          <w:rFonts w:ascii="Arial" w:cs="Arial" w:eastAsia="Arial" w:hAnsi="Arial"/>
          <w:sz w:val="21"/>
          <w:szCs w:val="21"/>
          <w:color w:val="auto"/>
        </w:rPr>
        <w:t>No Recourse Against Others. No past, present or future director, officer, employee, incorporator, organizer, equity holder or member of any Guarantor, as such, shall have any liability for any obligations of either Issuer, any Restricted Subsidiary or any Guarantor under the Notes, the Note Guarantees,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204" w:lineRule="exact"/>
        <w:rPr>
          <w:rFonts w:ascii="Arial" w:cs="Arial" w:eastAsia="Arial" w:hAnsi="Arial"/>
          <w:sz w:val="21"/>
          <w:szCs w:val="21"/>
          <w:color w:val="auto"/>
        </w:rPr>
      </w:pPr>
    </w:p>
    <w:p>
      <w:pPr>
        <w:jc w:val="both"/>
        <w:ind w:firstLine="656"/>
        <w:spacing w:after="0"/>
        <w:tabs>
          <w:tab w:leader="none" w:pos="1485" w:val="left"/>
        </w:tabs>
        <w:numPr>
          <w:ilvl w:val="0"/>
          <w:numId w:val="277"/>
        </w:numPr>
        <w:rPr>
          <w:rFonts w:ascii="Arial" w:cs="Arial" w:eastAsia="Arial" w:hAnsi="Arial"/>
          <w:sz w:val="22"/>
          <w:szCs w:val="22"/>
          <w:color w:val="auto"/>
        </w:rPr>
      </w:pPr>
      <w:r>
        <w:rPr>
          <w:rFonts w:ascii="Arial" w:cs="Arial" w:eastAsia="Arial" w:hAnsi="Arial"/>
          <w:sz w:val="22"/>
          <w:szCs w:val="22"/>
          <w:color w:val="auto"/>
        </w:rPr>
        <w:t>NEW YORK LAW TO GOVERN. THIS SUPPLEMENTAL INDENTURE SHALL BE GOVERNED BY AND CONSTRUED IN ACCORDANCE WITH THE LAWS OF THE STATE OF NEW YORK, INCLUDING, WITHOUT LIMITATION, SECTION 4-1401 OF THE NEW YORK OBLIGATIONS LAW.</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00" w:name="page201"/>
    <w:bookmarkEnd w:id="200"/>
    <w:p>
      <w:pPr>
        <w:jc w:val="both"/>
        <w:ind w:right="20" w:firstLine="656"/>
        <w:spacing w:after="0"/>
        <w:tabs>
          <w:tab w:leader="none" w:pos="1494" w:val="left"/>
        </w:tabs>
        <w:numPr>
          <w:ilvl w:val="0"/>
          <w:numId w:val="278"/>
        </w:numPr>
        <w:rPr>
          <w:rFonts w:ascii="Arial" w:cs="Arial" w:eastAsia="Arial" w:hAnsi="Arial"/>
          <w:sz w:val="22"/>
          <w:szCs w:val="22"/>
          <w:color w:val="auto"/>
        </w:rPr>
      </w:pPr>
      <w:r>
        <w:rPr>
          <w:rFonts w:ascii="Arial" w:cs="Arial" w:eastAsia="Arial" w:hAnsi="Arial"/>
          <w:sz w:val="22"/>
          <w:szCs w:val="22"/>
          <w:color w:val="auto"/>
        </w:rPr>
        <w:t>Conflicts with Indenture.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213" w:lineRule="exact"/>
        <w:rPr>
          <w:rFonts w:ascii="Arial" w:cs="Arial" w:eastAsia="Arial" w:hAnsi="Arial"/>
          <w:sz w:val="22"/>
          <w:szCs w:val="22"/>
          <w:color w:val="auto"/>
        </w:rPr>
      </w:pPr>
    </w:p>
    <w:p>
      <w:pPr>
        <w:ind w:right="20" w:firstLine="656"/>
        <w:spacing w:after="0" w:line="251" w:lineRule="auto"/>
        <w:tabs>
          <w:tab w:leader="none" w:pos="1451" w:val="left"/>
        </w:tabs>
        <w:numPr>
          <w:ilvl w:val="0"/>
          <w:numId w:val="278"/>
        </w:numPr>
        <w:rPr>
          <w:rFonts w:ascii="Arial" w:cs="Arial" w:eastAsia="Arial" w:hAnsi="Arial"/>
          <w:sz w:val="22"/>
          <w:szCs w:val="22"/>
          <w:color w:val="auto"/>
        </w:rPr>
      </w:pPr>
      <w:r>
        <w:rPr>
          <w:rFonts w:ascii="Arial" w:cs="Arial" w:eastAsia="Arial" w:hAnsi="Arial"/>
          <w:sz w:val="22"/>
          <w:szCs w:val="22"/>
          <w:color w:val="auto"/>
        </w:rPr>
        <w:t>Counterparts. The parties may sign any number of copies of this Supplemental Indenture. Each signed copy shall be an original, but all of them together represent the same agreement.</w:t>
      </w:r>
    </w:p>
    <w:p>
      <w:pPr>
        <w:spacing w:after="0" w:line="200" w:lineRule="exact"/>
        <w:rPr>
          <w:rFonts w:ascii="Arial" w:cs="Arial" w:eastAsia="Arial" w:hAnsi="Arial"/>
          <w:sz w:val="22"/>
          <w:szCs w:val="22"/>
          <w:color w:val="auto"/>
        </w:rPr>
      </w:pPr>
    </w:p>
    <w:p>
      <w:pPr>
        <w:ind w:left="1640" w:hanging="984"/>
        <w:spacing w:after="0"/>
        <w:tabs>
          <w:tab w:leader="none" w:pos="164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15" w:lineRule="exact"/>
        <w:rPr>
          <w:rFonts w:ascii="Arial" w:cs="Arial" w:eastAsia="Arial" w:hAnsi="Arial"/>
          <w:sz w:val="19"/>
          <w:szCs w:val="19"/>
          <w:color w:val="auto"/>
        </w:rPr>
      </w:pPr>
    </w:p>
    <w:p>
      <w:pPr>
        <w:jc w:val="both"/>
        <w:ind w:firstLine="656"/>
        <w:spacing w:after="0"/>
        <w:tabs>
          <w:tab w:leader="none" w:pos="1621" w:val="left"/>
        </w:tabs>
        <w:numPr>
          <w:ilvl w:val="0"/>
          <w:numId w:val="278"/>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01" w:name="page202"/>
    <w:bookmarkEnd w:id="201"/>
    <w:p>
      <w:pPr>
        <w:ind w:firstLine="648"/>
        <w:spacing w:after="0" w:line="251"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Dated: _______________, 20___</w:t>
      </w:r>
    </w:p>
    <w:p>
      <w:pPr>
        <w:spacing w:after="0" w:line="200" w:lineRule="exact"/>
        <w:rPr>
          <w:sz w:val="20"/>
          <w:szCs w:val="20"/>
          <w:color w:val="auto"/>
        </w:rPr>
      </w:pPr>
    </w:p>
    <w:p>
      <w:pPr>
        <w:spacing w:after="0" w:line="270"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[Guaranteeing Subsidiary]</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7620</wp:posOffset>
            </wp:positionV>
            <wp:extent cx="21266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26615" cy="17145"/>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Issuers:</w:t>
      </w:r>
    </w:p>
    <w:p>
      <w:pPr>
        <w:spacing w:after="0" w:line="206"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WYNN LAS VEGAS, LLC,</w:t>
      </w:r>
    </w:p>
    <w:p>
      <w:pPr>
        <w:spacing w:after="0" w:line="14"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 Nevada limited liability company</w:t>
      </w:r>
    </w:p>
    <w:p>
      <w:pPr>
        <w:sectPr>
          <w:pgSz w:w="11900" w:h="16838" w:orient="portrait"/>
          <w:cols w:equalWidth="0" w:num="1">
            <w:col w:w="11420"/>
          </w:cols>
          <w:pgMar w:left="240" w:top="510" w:right="239" w:bottom="1440" w:gutter="0" w:footer="0" w:header="0"/>
        </w:sectPr>
      </w:pPr>
    </w:p>
    <w:p>
      <w:pPr>
        <w:spacing w:after="0" w:line="188" w:lineRule="exact"/>
        <w:rPr>
          <w:sz w:val="20"/>
          <w:szCs w:val="20"/>
          <w:color w:val="auto"/>
        </w:rPr>
      </w:pPr>
    </w:p>
    <w:p>
      <w:pPr>
        <w:ind w:left="33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Wynn Resorts Holdings,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3780" w:space="720"/>
            <w:col w:w="6920"/>
          </w:cols>
          <w:pgMar w:left="240" w:top="510" w:right="239" w:bottom="1440" w:gutter="0" w:footer="0" w:header="0"/>
          <w:type w:val="continuous"/>
        </w:sectPr>
      </w:pPr>
    </w:p>
    <w:p>
      <w:pPr>
        <w:ind w:left="45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Wynn Resorts, Limited, a Nevada</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corporation, its sole member</w:t>
      </w: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4820" w:space="420"/>
            <w:col w:w="6180"/>
          </w:cols>
          <w:pgMar w:left="240" w:top="510" w:right="239" w:bottom="1440" w:gutter="0" w:footer="0" w:header="0"/>
          <w:type w:val="continuous"/>
        </w:sectPr>
      </w:pPr>
    </w:p>
    <w:p>
      <w:pPr>
        <w:ind w:left="52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Wynn Resorts, Limited, a Nevada</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corporation,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289877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580"/>
            <w:col w:w="5300"/>
          </w:cols>
          <w:pgMar w:left="240" w:top="510" w:right="239" w:bottom="1440" w:gutter="0" w:footer="0" w:header="0"/>
          <w:type w:val="continuous"/>
        </w:sectPr>
      </w:pPr>
    </w:p>
    <w:p>
      <w:pPr>
        <w:spacing w:after="0" w:line="231"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Name:</w:t>
      </w:r>
    </w:p>
    <w:p>
      <w:pPr>
        <w:spacing w:after="0" w:line="8"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320"/>
        <w:spacing w:after="0"/>
        <w:rPr>
          <w:sz w:val="20"/>
          <w:szCs w:val="20"/>
          <w:color w:val="auto"/>
        </w:rPr>
      </w:pPr>
      <w:r>
        <w:rPr>
          <w:rFonts w:ascii="Arial" w:cs="Arial" w:eastAsia="Arial" w:hAnsi="Arial"/>
          <w:sz w:val="21"/>
          <w:szCs w:val="21"/>
          <w:b w:val="1"/>
          <w:bCs w:val="1"/>
          <w:color w:val="auto"/>
        </w:rPr>
        <w:t>WYNN LAS VEGAS CAPITAL CORP.</w:t>
      </w:r>
      <w:r>
        <w:rPr>
          <w:rFonts w:ascii="Arial" w:cs="Arial" w:eastAsia="Arial" w:hAnsi="Arial"/>
          <w:sz w:val="21"/>
          <w:szCs w:val="21"/>
          <w:color w:val="auto"/>
        </w:rPr>
        <w:t>,</w:t>
      </w:r>
    </w:p>
    <w:p>
      <w:pPr>
        <w:spacing w:after="0" w:line="26"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a Nevada corporation,</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7620</wp:posOffset>
            </wp:positionV>
            <wp:extent cx="21266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26615" cy="17145"/>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type w:val="continuous"/>
        </w:sectPr>
      </w:pPr>
    </w:p>
    <w:bookmarkStart w:id="202" w:name="page203"/>
    <w:bookmarkEnd w:id="202"/>
    <w:p>
      <w:pPr>
        <w:ind w:left="2140"/>
        <w:spacing w:after="0"/>
        <w:rPr>
          <w:sz w:val="20"/>
          <w:szCs w:val="20"/>
          <w:color w:val="auto"/>
        </w:rPr>
      </w:pPr>
      <w:r>
        <w:rPr>
          <w:rFonts w:ascii="Arial" w:cs="Arial" w:eastAsia="Arial" w:hAnsi="Arial"/>
          <w:sz w:val="22"/>
          <w:szCs w:val="22"/>
          <w:b w:val="1"/>
          <w:bCs w:val="1"/>
          <w:color w:val="auto"/>
        </w:rPr>
        <w:t>[Existing Guarantors]</w:t>
      </w:r>
    </w:p>
    <w:p>
      <w:pPr>
        <w:spacing w:after="0" w:line="212" w:lineRule="exact"/>
        <w:rPr>
          <w:sz w:val="20"/>
          <w:szCs w:val="20"/>
          <w:color w:val="auto"/>
        </w:rPr>
      </w:pPr>
    </w:p>
    <w:p>
      <w:pPr>
        <w:ind w:left="2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7620</wp:posOffset>
            </wp:positionV>
            <wp:extent cx="21266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26615" cy="17145"/>
                    </a:xfrm>
                    <a:prstGeom prst="rect">
                      <a:avLst/>
                    </a:prstGeom>
                    <a:noFill/>
                  </pic:spPr>
                </pic:pic>
              </a:graphicData>
            </a:graphic>
          </wp:anchor>
        </w:drawing>
      </w:r>
    </w:p>
    <w:p>
      <w:pPr>
        <w:spacing w:after="0" w:line="2" w:lineRule="exact"/>
        <w:rPr>
          <w:sz w:val="20"/>
          <w:szCs w:val="20"/>
          <w:color w:val="auto"/>
        </w:rPr>
      </w:pPr>
    </w:p>
    <w:p>
      <w:pPr>
        <w:ind w:left="21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140"/>
        <w:spacing w:after="0"/>
        <w:rPr>
          <w:sz w:val="20"/>
          <w:szCs w:val="20"/>
          <w:color w:val="auto"/>
        </w:rPr>
      </w:pPr>
      <w:r>
        <w:rPr>
          <w:rFonts w:ascii="Arial" w:cs="Arial" w:eastAsia="Arial" w:hAnsi="Arial"/>
          <w:sz w:val="22"/>
          <w:szCs w:val="22"/>
          <w:color w:val="auto"/>
        </w:rPr>
        <w:t>Title:</w:t>
      </w:r>
    </w:p>
    <w:p>
      <w:pPr>
        <w:spacing w:after="0" w:line="209" w:lineRule="exact"/>
        <w:rPr>
          <w:sz w:val="20"/>
          <w:szCs w:val="20"/>
          <w:color w:val="auto"/>
        </w:rPr>
      </w:pPr>
    </w:p>
    <w:p>
      <w:pPr>
        <w:ind w:left="2140"/>
        <w:spacing w:after="0"/>
        <w:rPr>
          <w:sz w:val="20"/>
          <w:szCs w:val="20"/>
          <w:color w:val="auto"/>
        </w:rPr>
      </w:pPr>
      <w:r>
        <w:rPr>
          <w:rFonts w:ascii="Arial" w:cs="Arial" w:eastAsia="Arial" w:hAnsi="Arial"/>
          <w:sz w:val="21"/>
          <w:szCs w:val="21"/>
          <w:b w:val="1"/>
          <w:bCs w:val="1"/>
          <w:color w:val="auto"/>
        </w:rPr>
        <w:t>U.S. BANK NATIONAL ASSOCIATION</w:t>
      </w:r>
      <w:r>
        <w:rPr>
          <w:rFonts w:ascii="Arial" w:cs="Arial" w:eastAsia="Arial" w:hAnsi="Arial"/>
          <w:sz w:val="21"/>
          <w:szCs w:val="21"/>
          <w:color w:val="auto"/>
        </w:rPr>
        <w:t>,</w:t>
      </w:r>
    </w:p>
    <w:p>
      <w:pPr>
        <w:spacing w:after="0" w:line="224" w:lineRule="exact"/>
        <w:rPr>
          <w:sz w:val="20"/>
          <w:szCs w:val="20"/>
          <w:color w:val="auto"/>
        </w:rPr>
      </w:pPr>
    </w:p>
    <w:p>
      <w:pPr>
        <w:ind w:left="2140"/>
        <w:spacing w:after="0"/>
        <w:rPr>
          <w:sz w:val="20"/>
          <w:szCs w:val="20"/>
          <w:color w:val="auto"/>
        </w:rPr>
      </w:pPr>
      <w:r>
        <w:rPr>
          <w:rFonts w:ascii="Arial" w:cs="Arial" w:eastAsia="Arial" w:hAnsi="Arial"/>
          <w:sz w:val="22"/>
          <w:szCs w:val="22"/>
          <w:color w:val="auto"/>
        </w:rPr>
        <w:t>as Trustee</w:t>
      </w:r>
    </w:p>
    <w:p>
      <w:pPr>
        <w:spacing w:after="0" w:line="206" w:lineRule="exact"/>
        <w:rPr>
          <w:sz w:val="20"/>
          <w:szCs w:val="20"/>
          <w:color w:val="auto"/>
        </w:rPr>
      </w:pPr>
    </w:p>
    <w:p>
      <w:pPr>
        <w:ind w:left="2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2081530</wp:posOffset>
            </wp:positionH>
            <wp:positionV relativeFrom="paragraph">
              <wp:posOffset>7620</wp:posOffset>
            </wp:positionV>
            <wp:extent cx="216979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76835</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90" w:right="1440" w:bottom="1440" w:gutter="0" w:footer="0" w:header="0"/>
        </w:sectPr>
      </w:pPr>
    </w:p>
    <w:bookmarkStart w:id="203" w:name="page204"/>
    <w:bookmarkEnd w:id="203"/>
    <w:p>
      <w:pPr>
        <w:jc w:val="right"/>
        <w:spacing w:after="0"/>
        <w:rPr>
          <w:sz w:val="20"/>
          <w:szCs w:val="20"/>
          <w:color w:val="auto"/>
        </w:rPr>
      </w:pPr>
      <w:r>
        <w:rPr>
          <w:rFonts w:ascii="Arial" w:cs="Arial" w:eastAsia="Arial" w:hAnsi="Arial"/>
          <w:sz w:val="22"/>
          <w:szCs w:val="22"/>
          <w:b w:val="1"/>
          <w:bCs w:val="1"/>
          <w:color w:val="auto"/>
        </w:rPr>
        <w:t>EXHIBIT 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COLLATERAL DOCUMENTS</w:t>
      </w:r>
    </w:p>
    <w:p>
      <w:pPr>
        <w:spacing w:after="0" w:line="239" w:lineRule="exact"/>
        <w:rPr>
          <w:sz w:val="20"/>
          <w:szCs w:val="20"/>
          <w:color w:val="auto"/>
        </w:rPr>
      </w:pPr>
    </w:p>
    <w:p>
      <w:pPr>
        <w:ind w:left="840" w:hanging="832"/>
        <w:spacing w:after="0"/>
        <w:tabs>
          <w:tab w:leader="none" w:pos="84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Intercreditor Agreement;</w:t>
      </w:r>
    </w:p>
    <w:p>
      <w:pPr>
        <w:spacing w:after="0" w:line="233" w:lineRule="exact"/>
        <w:rPr>
          <w:rFonts w:ascii="Arial" w:cs="Arial" w:eastAsia="Arial" w:hAnsi="Arial"/>
          <w:sz w:val="22"/>
          <w:szCs w:val="22"/>
          <w:color w:val="auto"/>
        </w:rPr>
      </w:pPr>
    </w:p>
    <w:p>
      <w:pPr>
        <w:ind w:left="840" w:hanging="832"/>
        <w:spacing w:after="0"/>
        <w:tabs>
          <w:tab w:leader="none" w:pos="84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Management Fees Subordination Agreement;</w:t>
      </w:r>
    </w:p>
    <w:p>
      <w:pPr>
        <w:spacing w:after="0" w:line="233" w:lineRule="exact"/>
        <w:rPr>
          <w:rFonts w:ascii="Arial" w:cs="Arial" w:eastAsia="Arial" w:hAnsi="Arial"/>
          <w:sz w:val="22"/>
          <w:szCs w:val="22"/>
          <w:color w:val="auto"/>
        </w:rPr>
      </w:pPr>
    </w:p>
    <w:p>
      <w:pPr>
        <w:ind w:left="840" w:hanging="832"/>
        <w:spacing w:after="0"/>
        <w:tabs>
          <w:tab w:leader="none" w:pos="84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Pledge and Security Agreement;</w:t>
      </w:r>
    </w:p>
    <w:p>
      <w:pPr>
        <w:spacing w:after="0" w:line="233" w:lineRule="exact"/>
        <w:rPr>
          <w:rFonts w:ascii="Arial" w:cs="Arial" w:eastAsia="Arial" w:hAnsi="Arial"/>
          <w:sz w:val="22"/>
          <w:szCs w:val="22"/>
          <w:color w:val="auto"/>
        </w:rPr>
      </w:pPr>
    </w:p>
    <w:p>
      <w:pPr>
        <w:ind w:left="840" w:hanging="832"/>
        <w:spacing w:after="0" w:line="251" w:lineRule="auto"/>
        <w:tabs>
          <w:tab w:leader="none" w:pos="84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Collateral Agency Agreement by and between the Collateral Agent, Bank of America, N.A. and the entities named therein as Funding Agents, as amended, modified or supplemented from time to time;</w:t>
      </w:r>
    </w:p>
    <w:p>
      <w:pPr>
        <w:spacing w:after="0" w:line="200" w:lineRule="exact"/>
        <w:rPr>
          <w:rFonts w:ascii="Arial" w:cs="Arial" w:eastAsia="Arial" w:hAnsi="Arial"/>
          <w:sz w:val="22"/>
          <w:szCs w:val="22"/>
          <w:color w:val="auto"/>
        </w:rPr>
      </w:pPr>
    </w:p>
    <w:p>
      <w:pPr>
        <w:ind w:left="840" w:hanging="832"/>
        <w:spacing w:after="0" w:line="251" w:lineRule="auto"/>
        <w:tabs>
          <w:tab w:leader="none" w:pos="84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Deed of Trust, Leasehold Deed of Trust, Assignment of Rents and Leases, Security Agreement and Fixture Filing, dated as of the date of Closing, made by Wynn Las Vegas, LLC;</w:t>
      </w:r>
    </w:p>
    <w:p>
      <w:pPr>
        <w:spacing w:after="0" w:line="200" w:lineRule="exact"/>
        <w:rPr>
          <w:rFonts w:ascii="Arial" w:cs="Arial" w:eastAsia="Arial" w:hAnsi="Arial"/>
          <w:sz w:val="22"/>
          <w:szCs w:val="22"/>
          <w:color w:val="auto"/>
        </w:rPr>
      </w:pPr>
    </w:p>
    <w:p>
      <w:pPr>
        <w:ind w:left="840" w:hanging="832"/>
        <w:spacing w:after="0" w:line="251" w:lineRule="auto"/>
        <w:tabs>
          <w:tab w:leader="none" w:pos="84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Deed of Trust, Assignment of Rents and Leases, Security Agreement and Fixture Filing, dated as of the date of Closing, made by Wynn Sunrise, LLC;</w:t>
      </w:r>
    </w:p>
    <w:p>
      <w:pPr>
        <w:spacing w:after="0" w:line="200" w:lineRule="exact"/>
        <w:rPr>
          <w:rFonts w:ascii="Arial" w:cs="Arial" w:eastAsia="Arial" w:hAnsi="Arial"/>
          <w:sz w:val="22"/>
          <w:szCs w:val="22"/>
          <w:color w:val="auto"/>
        </w:rPr>
      </w:pPr>
    </w:p>
    <w:p>
      <w:pPr>
        <w:ind w:left="840" w:hanging="832"/>
        <w:spacing w:after="0" w:line="251" w:lineRule="auto"/>
        <w:tabs>
          <w:tab w:leader="none" w:pos="84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Deed of Trust, Assignment of Rents and Leases, Security Agreement and Fixture Filing, dated as of the date of Closing, made by Wynn Golf, LLC;</w:t>
      </w:r>
    </w:p>
    <w:p>
      <w:pPr>
        <w:spacing w:after="0" w:line="200" w:lineRule="exact"/>
        <w:rPr>
          <w:rFonts w:ascii="Arial" w:cs="Arial" w:eastAsia="Arial" w:hAnsi="Arial"/>
          <w:sz w:val="22"/>
          <w:szCs w:val="22"/>
          <w:color w:val="auto"/>
        </w:rPr>
      </w:pPr>
    </w:p>
    <w:p>
      <w:pPr>
        <w:ind w:left="840" w:hanging="832"/>
        <w:spacing w:after="0" w:line="251" w:lineRule="auto"/>
        <w:tabs>
          <w:tab w:leader="none" w:pos="84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Indemnity Agreement (2020 Notes), dated as of the date of Closing, made by Wynn Las Vegas, LLC in favor of U.S. Bank National Association, as trustee;</w:t>
      </w:r>
    </w:p>
    <w:p>
      <w:pPr>
        <w:spacing w:after="0" w:line="200" w:lineRule="exact"/>
        <w:rPr>
          <w:rFonts w:ascii="Arial" w:cs="Arial" w:eastAsia="Arial" w:hAnsi="Arial"/>
          <w:sz w:val="22"/>
          <w:szCs w:val="22"/>
          <w:color w:val="auto"/>
        </w:rPr>
      </w:pPr>
    </w:p>
    <w:p>
      <w:pPr>
        <w:ind w:left="840" w:hanging="832"/>
        <w:spacing w:after="0" w:line="251" w:lineRule="auto"/>
        <w:tabs>
          <w:tab w:leader="none" w:pos="84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Indemnity Agreement (2020 Notes), dated as of the date of Closing, made by Wynn Golf, LLC in favor of U.S. Bank National Association, as trustee;</w:t>
      </w:r>
    </w:p>
    <w:p>
      <w:pPr>
        <w:spacing w:after="0" w:line="200" w:lineRule="exact"/>
        <w:rPr>
          <w:rFonts w:ascii="Arial" w:cs="Arial" w:eastAsia="Arial" w:hAnsi="Arial"/>
          <w:sz w:val="22"/>
          <w:szCs w:val="22"/>
          <w:color w:val="auto"/>
        </w:rPr>
      </w:pPr>
    </w:p>
    <w:p>
      <w:pPr>
        <w:ind w:left="840" w:right="20" w:hanging="832"/>
        <w:spacing w:after="0" w:line="251" w:lineRule="auto"/>
        <w:tabs>
          <w:tab w:leader="none" w:pos="84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Indemnity Agreement (2020 Notes), dated as of the date of Closing, made by Wynn Sunrise, LLC in favor of U.S. Bank National Association, as trustee;</w:t>
      </w:r>
    </w:p>
    <w:p>
      <w:pPr>
        <w:spacing w:after="0" w:line="200" w:lineRule="exact"/>
        <w:rPr>
          <w:rFonts w:ascii="Arial" w:cs="Arial" w:eastAsia="Arial" w:hAnsi="Arial"/>
          <w:sz w:val="22"/>
          <w:szCs w:val="22"/>
          <w:color w:val="auto"/>
        </w:rPr>
      </w:pPr>
    </w:p>
    <w:p>
      <w:pPr>
        <w:ind w:left="840" w:hanging="832"/>
        <w:spacing w:after="0"/>
        <w:tabs>
          <w:tab w:leader="none" w:pos="84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Control Agreements;</w:t>
      </w:r>
    </w:p>
    <w:p>
      <w:pPr>
        <w:spacing w:after="0" w:line="233" w:lineRule="exact"/>
        <w:rPr>
          <w:rFonts w:ascii="Arial" w:cs="Arial" w:eastAsia="Arial" w:hAnsi="Arial"/>
          <w:sz w:val="22"/>
          <w:szCs w:val="22"/>
          <w:color w:val="auto"/>
        </w:rPr>
      </w:pPr>
    </w:p>
    <w:p>
      <w:pPr>
        <w:ind w:left="840" w:hanging="832"/>
        <w:spacing w:after="0" w:line="251" w:lineRule="auto"/>
        <w:tabs>
          <w:tab w:leader="none" w:pos="84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UCC Financing Statement of Wynn Las Vegas, LLC in favor of the Deutsche Bank Trust Company Americas, as collateral agent;</w:t>
      </w:r>
    </w:p>
    <w:p>
      <w:pPr>
        <w:spacing w:after="0" w:line="200" w:lineRule="exact"/>
        <w:rPr>
          <w:rFonts w:ascii="Arial" w:cs="Arial" w:eastAsia="Arial" w:hAnsi="Arial"/>
          <w:sz w:val="22"/>
          <w:szCs w:val="22"/>
          <w:color w:val="auto"/>
        </w:rPr>
      </w:pPr>
    </w:p>
    <w:p>
      <w:pPr>
        <w:ind w:left="840" w:hanging="832"/>
        <w:spacing w:after="0" w:line="251" w:lineRule="auto"/>
        <w:tabs>
          <w:tab w:leader="none" w:pos="84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UCC Financing Statement of Wynn Las Vegas Capital Corp. in favor of Deutsche Bank Trust Company Americas, as collateral agent;</w:t>
      </w:r>
    </w:p>
    <w:p>
      <w:pPr>
        <w:spacing w:after="0" w:line="200" w:lineRule="exact"/>
        <w:rPr>
          <w:rFonts w:ascii="Arial" w:cs="Arial" w:eastAsia="Arial" w:hAnsi="Arial"/>
          <w:sz w:val="22"/>
          <w:szCs w:val="22"/>
          <w:color w:val="auto"/>
        </w:rPr>
      </w:pPr>
    </w:p>
    <w:p>
      <w:pPr>
        <w:ind w:left="840" w:right="20" w:hanging="832"/>
        <w:spacing w:after="0" w:line="251" w:lineRule="auto"/>
        <w:tabs>
          <w:tab w:leader="none" w:pos="84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UCC Financing Statement of Wynn Resorts Holdings, LLC in favor of Deutsche Bank Trust Company Americas, as collateral agent;</w:t>
      </w:r>
    </w:p>
    <w:p>
      <w:pPr>
        <w:spacing w:after="0" w:line="200" w:lineRule="exact"/>
        <w:rPr>
          <w:rFonts w:ascii="Arial" w:cs="Arial" w:eastAsia="Arial" w:hAnsi="Arial"/>
          <w:sz w:val="22"/>
          <w:szCs w:val="22"/>
          <w:color w:val="auto"/>
        </w:rPr>
      </w:pPr>
    </w:p>
    <w:p>
      <w:pPr>
        <w:ind w:left="840" w:hanging="832"/>
        <w:spacing w:after="0"/>
        <w:tabs>
          <w:tab w:leader="none" w:pos="84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UCC Financing Statement of World Travel, LLC in favor of Deutsche Bank Trust Company Americas, as collateral agent;</w:t>
      </w:r>
    </w:p>
    <w:p>
      <w:pPr>
        <w:spacing w:after="0" w:line="267" w:lineRule="exact"/>
        <w:rPr>
          <w:rFonts w:ascii="Arial" w:cs="Arial" w:eastAsia="Arial" w:hAnsi="Arial"/>
          <w:sz w:val="19"/>
          <w:szCs w:val="19"/>
          <w:color w:val="auto"/>
        </w:rPr>
      </w:pPr>
    </w:p>
    <w:p>
      <w:pPr>
        <w:ind w:left="840" w:hanging="832"/>
        <w:spacing w:after="0" w:line="251" w:lineRule="auto"/>
        <w:tabs>
          <w:tab w:leader="none" w:pos="84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UCC Financing Statement of Las Vegas Jet, LLC in favor of Deutsche Bank Trust Company Americas, as collateral agent;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204" w:name="page205"/>
    <w:bookmarkEnd w:id="204"/>
    <w:p>
      <w:pPr>
        <w:ind w:left="840" w:hanging="832"/>
        <w:spacing w:after="0"/>
        <w:tabs>
          <w:tab w:leader="none" w:pos="84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UCC Financing Statement of Wynn Golf, LLC in favor of Deutsche Bank Trust Company Americas, as collateral agent;</w:t>
      </w:r>
    </w:p>
    <w:p>
      <w:pPr>
        <w:spacing w:after="0" w:line="267" w:lineRule="exact"/>
        <w:rPr>
          <w:rFonts w:ascii="Arial" w:cs="Arial" w:eastAsia="Arial" w:hAnsi="Arial"/>
          <w:sz w:val="19"/>
          <w:szCs w:val="19"/>
          <w:color w:val="auto"/>
        </w:rPr>
      </w:pPr>
    </w:p>
    <w:p>
      <w:pPr>
        <w:ind w:left="840" w:hanging="832"/>
        <w:spacing w:after="0" w:line="251" w:lineRule="auto"/>
        <w:tabs>
          <w:tab w:leader="none" w:pos="84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UCC Financing Statement of Wynn Show Performers, LLC in favor of Deutsche Bank Trust Company Americas, as collateral agent;</w:t>
      </w:r>
    </w:p>
    <w:p>
      <w:pPr>
        <w:spacing w:after="0" w:line="200" w:lineRule="exact"/>
        <w:rPr>
          <w:rFonts w:ascii="Arial" w:cs="Arial" w:eastAsia="Arial" w:hAnsi="Arial"/>
          <w:sz w:val="22"/>
          <w:szCs w:val="22"/>
          <w:color w:val="auto"/>
        </w:rPr>
      </w:pPr>
    </w:p>
    <w:p>
      <w:pPr>
        <w:ind w:left="840" w:hanging="832"/>
        <w:spacing w:after="0" w:line="251" w:lineRule="auto"/>
        <w:tabs>
          <w:tab w:leader="none" w:pos="84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UCC Financing Statement of Wynn Sunrise, LLC in favor of Deutsche Bank Trust Company Americas, as collateral agent;</w:t>
      </w:r>
    </w:p>
    <w:p>
      <w:pPr>
        <w:spacing w:after="0" w:line="200" w:lineRule="exact"/>
        <w:rPr>
          <w:rFonts w:ascii="Arial" w:cs="Arial" w:eastAsia="Arial" w:hAnsi="Arial"/>
          <w:sz w:val="22"/>
          <w:szCs w:val="22"/>
          <w:color w:val="auto"/>
        </w:rPr>
      </w:pPr>
    </w:p>
    <w:p>
      <w:pPr>
        <w:ind w:left="840" w:right="20" w:hanging="832"/>
        <w:spacing w:after="0" w:line="251" w:lineRule="auto"/>
        <w:tabs>
          <w:tab w:leader="none" w:pos="840" w:val="left"/>
        </w:tabs>
        <w:numPr>
          <w:ilvl w:val="0"/>
          <w:numId w:val="280"/>
        </w:numPr>
        <w:rPr>
          <w:rFonts w:ascii="Arial" w:cs="Arial" w:eastAsia="Arial" w:hAnsi="Arial"/>
          <w:sz w:val="22"/>
          <w:szCs w:val="22"/>
          <w:color w:val="auto"/>
        </w:rPr>
      </w:pPr>
      <w:r>
        <w:rPr>
          <w:rFonts w:ascii="Arial" w:cs="Arial" w:eastAsia="Arial" w:hAnsi="Arial"/>
          <w:sz w:val="22"/>
          <w:szCs w:val="22"/>
          <w:color w:val="auto"/>
        </w:rPr>
        <w:t>UCC Financing Statement of Wynn Completion Guarantor, LLC in favor of Deutsche Bank Trust Company Americas, as collateral agent;</w:t>
      </w:r>
    </w:p>
    <w:p>
      <w:pPr>
        <w:spacing w:after="0" w:line="200" w:lineRule="exact"/>
        <w:rPr>
          <w:rFonts w:ascii="Arial" w:cs="Arial" w:eastAsia="Arial" w:hAnsi="Arial"/>
          <w:sz w:val="22"/>
          <w:szCs w:val="22"/>
          <w:color w:val="auto"/>
        </w:rPr>
      </w:pPr>
    </w:p>
    <w:p>
      <w:pPr>
        <w:ind w:left="840" w:hanging="832"/>
        <w:spacing w:after="0"/>
        <w:tabs>
          <w:tab w:leader="none" w:pos="84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UCC Financing Statement of Kevyn, LLC in favor of Deutsche Bank Trust Company Americas, as collateral agent;</w:t>
      </w:r>
    </w:p>
    <w:p>
      <w:pPr>
        <w:spacing w:after="0" w:line="267" w:lineRule="exact"/>
        <w:rPr>
          <w:rFonts w:ascii="Arial" w:cs="Arial" w:eastAsia="Arial" w:hAnsi="Arial"/>
          <w:sz w:val="19"/>
          <w:szCs w:val="19"/>
          <w:color w:val="auto"/>
        </w:rPr>
      </w:pPr>
    </w:p>
    <w:p>
      <w:pPr>
        <w:ind w:left="840" w:hanging="832"/>
        <w:spacing w:after="0"/>
        <w:tabs>
          <w:tab w:leader="none" w:pos="84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UCC 1 Fixture Filing of Wynn Las Vegas, LLC in favor of Deutsche Bank Trust Company Americas, as collateral agent;</w:t>
      </w:r>
    </w:p>
    <w:p>
      <w:pPr>
        <w:spacing w:after="0" w:line="267" w:lineRule="exact"/>
        <w:rPr>
          <w:rFonts w:ascii="Arial" w:cs="Arial" w:eastAsia="Arial" w:hAnsi="Arial"/>
          <w:sz w:val="19"/>
          <w:szCs w:val="19"/>
          <w:color w:val="auto"/>
        </w:rPr>
      </w:pPr>
    </w:p>
    <w:p>
      <w:pPr>
        <w:ind w:left="840" w:hanging="832"/>
        <w:spacing w:after="0"/>
        <w:tabs>
          <w:tab w:leader="none" w:pos="840" w:val="left"/>
        </w:tabs>
        <w:numPr>
          <w:ilvl w:val="0"/>
          <w:numId w:val="280"/>
        </w:numPr>
        <w:rPr>
          <w:rFonts w:ascii="Arial" w:cs="Arial" w:eastAsia="Arial" w:hAnsi="Arial"/>
          <w:sz w:val="21"/>
          <w:szCs w:val="21"/>
          <w:color w:val="auto"/>
        </w:rPr>
      </w:pPr>
      <w:r>
        <w:rPr>
          <w:rFonts w:ascii="Arial" w:cs="Arial" w:eastAsia="Arial" w:hAnsi="Arial"/>
          <w:sz w:val="21"/>
          <w:szCs w:val="21"/>
          <w:color w:val="auto"/>
        </w:rPr>
        <w:t>UCC 1 Fixture Filing of Wynn Golf, LLC in favor of Deutsche Bank Trust Company Americas, as collateral agent;</w:t>
      </w:r>
    </w:p>
    <w:p>
      <w:pPr>
        <w:spacing w:after="0" w:line="244" w:lineRule="exact"/>
        <w:rPr>
          <w:rFonts w:ascii="Arial" w:cs="Arial" w:eastAsia="Arial" w:hAnsi="Arial"/>
          <w:sz w:val="21"/>
          <w:szCs w:val="21"/>
          <w:color w:val="auto"/>
        </w:rPr>
      </w:pPr>
    </w:p>
    <w:p>
      <w:pPr>
        <w:ind w:left="840" w:hanging="832"/>
        <w:spacing w:after="0"/>
        <w:tabs>
          <w:tab w:leader="none" w:pos="84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UCC 1 Fixture Filing of Wynn Sunrise, LLC in favor of Deutsche Bank Trust Company Americas, as collateral agent;</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Capitalized terms not defined herein shall have the meanings assigned to such terms in the Indenture to which this Exhibit G is attached or the Collateral Documents, as applicable.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22"/>
          <w:szCs w:val="22"/>
          <w:b w:val="1"/>
          <w:bCs w:val="1"/>
          <w:color w:val="auto"/>
        </w:rPr>
        <w:t>Exhibit 10.1</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429260</wp:posOffset>
            </wp:positionV>
            <wp:extent cx="7250430"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REGISTRATION RIGHTS AGREEMENT</w:t>
      </w:r>
    </w:p>
    <w:p>
      <w:pPr>
        <w:spacing w:after="0" w:line="24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Dated as of April 28, 2010</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by and among</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Wynn Las Vegas, LLC,</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Wynn Las Vegas Capital Corp.,</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the Guarantor Signatories Hereto</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Deutsche Bank Securities Inc.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Banc of America Securities LLC</w:t>
      </w:r>
    </w:p>
    <w:p>
      <w:pPr>
        <w:jc w:val="center"/>
        <w:ind w:right="1200"/>
        <w:spacing w:after="0"/>
        <w:rPr>
          <w:sz w:val="20"/>
          <w:szCs w:val="20"/>
          <w:color w:val="auto"/>
        </w:rPr>
      </w:pPr>
      <w:r>
        <w:rPr>
          <w:rFonts w:ascii="Arial" w:cs="Arial" w:eastAsia="Arial" w:hAnsi="Arial"/>
          <w:sz w:val="22"/>
          <w:szCs w:val="22"/>
          <w:b w:val="1"/>
          <w:bCs w:val="1"/>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379730</wp:posOffset>
            </wp:positionV>
            <wp:extent cx="7250430" cy="450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1048385</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206" w:name="page207"/>
    <w:bookmarkEnd w:id="206"/>
    <w:p>
      <w:pPr>
        <w:ind w:firstLine="648"/>
        <w:spacing w:after="0" w:line="276" w:lineRule="auto"/>
        <w:rPr>
          <w:sz w:val="20"/>
          <w:szCs w:val="20"/>
          <w:color w:val="auto"/>
        </w:rPr>
      </w:pPr>
      <w:r>
        <w:rPr>
          <w:rFonts w:ascii="Arial" w:cs="Arial" w:eastAsia="Arial" w:hAnsi="Arial"/>
          <w:sz w:val="19"/>
          <w:szCs w:val="19"/>
          <w:color w:val="auto"/>
        </w:rPr>
        <w:t>This Registration Rights Agreement (this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is made and entered into as of April 28, 2010, by and among Wynn Las Vegas, LLC, a Nevada limited liability company, Wynn Las Vegas Capital Corp., a Nevada corporation (each an “</w:t>
      </w:r>
      <w:r>
        <w:rPr>
          <w:rFonts w:ascii="Arial" w:cs="Arial" w:eastAsia="Arial" w:hAnsi="Arial"/>
          <w:sz w:val="19"/>
          <w:szCs w:val="19"/>
          <w:b w:val="1"/>
          <w:bCs w:val="1"/>
          <w:u w:val="single" w:color="auto"/>
          <w:color w:val="auto"/>
        </w:rPr>
        <w:t>Issuer</w:t>
      </w:r>
      <w:r>
        <w:rPr>
          <w:rFonts w:ascii="Arial" w:cs="Arial" w:eastAsia="Arial" w:hAnsi="Arial"/>
          <w:sz w:val="19"/>
          <w:szCs w:val="19"/>
          <w:color w:val="auto"/>
        </w:rPr>
        <w:t>” and collectively, the “</w:t>
      </w:r>
      <w:r>
        <w:rPr>
          <w:rFonts w:ascii="Arial" w:cs="Arial" w:eastAsia="Arial" w:hAnsi="Arial"/>
          <w:sz w:val="19"/>
          <w:szCs w:val="19"/>
          <w:b w:val="1"/>
          <w:bCs w:val="1"/>
          <w:u w:val="single" w:color="auto"/>
          <w:color w:val="auto"/>
        </w:rPr>
        <w:t>Issuers</w:t>
      </w:r>
      <w:r>
        <w:rPr>
          <w:rFonts w:ascii="Arial" w:cs="Arial" w:eastAsia="Arial" w:hAnsi="Arial"/>
          <w:sz w:val="19"/>
          <w:szCs w:val="19"/>
          <w:color w:val="auto"/>
        </w:rPr>
        <w:t>”), the guarantors listed on the signature pages hereto (the “</w:t>
      </w:r>
      <w:r>
        <w:rPr>
          <w:rFonts w:ascii="Arial" w:cs="Arial" w:eastAsia="Arial" w:hAnsi="Arial"/>
          <w:sz w:val="19"/>
          <w:szCs w:val="19"/>
          <w:b w:val="1"/>
          <w:bCs w:val="1"/>
          <w:u w:val="single" w:color="auto"/>
          <w:color w:val="auto"/>
        </w:rPr>
        <w:t>Guarantors</w:t>
      </w:r>
      <w:r>
        <w:rPr>
          <w:rFonts w:ascii="Arial" w:cs="Arial" w:eastAsia="Arial" w:hAnsi="Arial"/>
          <w:sz w:val="19"/>
          <w:szCs w:val="19"/>
          <w:color w:val="auto"/>
        </w:rPr>
        <w:t>”) and Deutsche Bank Securities Inc., Banc of America Securities LLC and J.P. Morgan Securities Inc., as the dealer managers (each a “</w:t>
      </w:r>
      <w:r>
        <w:rPr>
          <w:rFonts w:ascii="Arial" w:cs="Arial" w:eastAsia="Arial" w:hAnsi="Arial"/>
          <w:sz w:val="19"/>
          <w:szCs w:val="19"/>
          <w:b w:val="1"/>
          <w:bCs w:val="1"/>
          <w:u w:val="single" w:color="auto"/>
          <w:color w:val="auto"/>
        </w:rPr>
        <w:t>Dealer Manager</w:t>
      </w:r>
      <w:r>
        <w:rPr>
          <w:rFonts w:ascii="Arial" w:cs="Arial" w:eastAsia="Arial" w:hAnsi="Arial"/>
          <w:sz w:val="19"/>
          <w:szCs w:val="19"/>
          <w:color w:val="auto"/>
        </w:rPr>
        <w:t>” and collectively, the “</w:t>
      </w:r>
      <w:r>
        <w:rPr>
          <w:rFonts w:ascii="Arial" w:cs="Arial" w:eastAsia="Arial" w:hAnsi="Arial"/>
          <w:sz w:val="19"/>
          <w:szCs w:val="19"/>
          <w:b w:val="1"/>
          <w:bCs w:val="1"/>
          <w:u w:val="single" w:color="auto"/>
          <w:color w:val="auto"/>
        </w:rPr>
        <w:t>Dealer Managers</w:t>
      </w:r>
      <w:r>
        <w:rPr>
          <w:rFonts w:ascii="Arial" w:cs="Arial" w:eastAsia="Arial" w:hAnsi="Arial"/>
          <w:sz w:val="19"/>
          <w:szCs w:val="19"/>
          <w:color w:val="auto"/>
        </w:rPr>
        <w:t>”). The Issuers are exchanging on the date hereof, their outstanding 6 % First Mortgage Notes due 2014 (the “</w:t>
      </w:r>
      <w:r>
        <w:rPr>
          <w:rFonts w:ascii="Arial" w:cs="Arial" w:eastAsia="Arial" w:hAnsi="Arial"/>
          <w:sz w:val="19"/>
          <w:szCs w:val="19"/>
          <w:b w:val="1"/>
          <w:bCs w:val="1"/>
          <w:u w:val="single" w:color="auto"/>
          <w:color w:val="auto"/>
        </w:rPr>
        <w:t>2014 Notes</w:t>
      </w:r>
      <w:r>
        <w:rPr>
          <w:rFonts w:ascii="Arial" w:cs="Arial" w:eastAsia="Arial" w:hAnsi="Arial"/>
          <w:sz w:val="19"/>
          <w:szCs w:val="19"/>
          <w:color w:val="auto"/>
        </w:rPr>
        <w:t>”) for 7 % First Mortgage Notes due 2020 being issued on the date hereof (the “</w:t>
      </w:r>
      <w:r>
        <w:rPr>
          <w:rFonts w:ascii="Arial" w:cs="Arial" w:eastAsia="Arial" w:hAnsi="Arial"/>
          <w:sz w:val="19"/>
          <w:szCs w:val="19"/>
          <w:b w:val="1"/>
          <w:bCs w:val="1"/>
          <w:u w:val="single" w:color="auto"/>
          <w:color w:val="auto"/>
        </w:rPr>
        <w:t>Initial Notes</w:t>
      </w:r>
      <w:r>
        <w:rPr>
          <w:rFonts w:ascii="Arial" w:cs="Arial" w:eastAsia="Arial" w:hAnsi="Arial"/>
          <w:sz w:val="19"/>
          <w:szCs w:val="19"/>
          <w:color w:val="auto"/>
        </w:rPr>
        <w:t>”) pursuant to the Offering Memorandum, dated as of March 26, 2010 and the Dealer Manager Agreement, dated as of March 26, 2010, (the “</w:t>
      </w:r>
      <w:r>
        <w:rPr>
          <w:rFonts w:ascii="Arial" w:cs="Arial" w:eastAsia="Arial" w:hAnsi="Arial"/>
          <w:sz w:val="19"/>
          <w:szCs w:val="19"/>
          <w:b w:val="1"/>
          <w:bCs w:val="1"/>
          <w:u w:val="single" w:color="auto"/>
          <w:color w:val="auto"/>
        </w:rPr>
        <w:t>Dealer Manager Agreement</w:t>
      </w:r>
      <w:r>
        <w:rPr>
          <w:rFonts w:ascii="Arial" w:cs="Arial" w:eastAsia="Arial" w:hAnsi="Arial"/>
          <w:sz w:val="19"/>
          <w:szCs w:val="19"/>
          <w:color w:val="auto"/>
        </w:rPr>
        <w:t>”), by and among the Issuers, the Guarantors and the Dealer Managers.</w:t>
      </w:r>
    </w:p>
    <w:p>
      <w:pPr>
        <w:spacing w:after="0" w:line="184" w:lineRule="exact"/>
        <w:rPr>
          <w:sz w:val="20"/>
          <w:szCs w:val="20"/>
          <w:color w:val="auto"/>
        </w:rPr>
      </w:pPr>
    </w:p>
    <w:p>
      <w:pPr>
        <w:ind w:right="120" w:firstLine="648"/>
        <w:spacing w:after="0" w:line="238" w:lineRule="auto"/>
        <w:rPr>
          <w:sz w:val="20"/>
          <w:szCs w:val="20"/>
          <w:color w:val="auto"/>
        </w:rPr>
      </w:pPr>
      <w:r>
        <w:rPr>
          <w:rFonts w:ascii="Arial" w:cs="Arial" w:eastAsia="Arial" w:hAnsi="Arial"/>
          <w:sz w:val="22"/>
          <w:szCs w:val="22"/>
          <w:color w:val="auto"/>
        </w:rPr>
        <w:t>In order to induce the holders to tender their 2014 Notes for the Initial Notes, the Issuers and the Guarantors have agreed to provide the registration rights set forth in this Agreement. Capitalized terms used herein and not otherwise defined shall have the meaning assigned to them in the indenture, dated as of April 28, 2010 (the “</w:t>
      </w:r>
      <w:r>
        <w:rPr>
          <w:rFonts w:ascii="Arial" w:cs="Arial" w:eastAsia="Arial" w:hAnsi="Arial"/>
          <w:sz w:val="22"/>
          <w:szCs w:val="22"/>
          <w:b w:val="1"/>
          <w:bCs w:val="1"/>
          <w:u w:val="single" w:color="auto"/>
          <w:color w:val="auto"/>
        </w:rPr>
        <w:t>Indenture</w:t>
      </w:r>
      <w:r>
        <w:rPr>
          <w:rFonts w:ascii="Arial" w:cs="Arial" w:eastAsia="Arial" w:hAnsi="Arial"/>
          <w:sz w:val="22"/>
          <w:szCs w:val="22"/>
          <w:color w:val="auto"/>
        </w:rPr>
        <w:t>”), among the Issuers, the Guarantors and U.S. Bank National Association, as trustee (the “</w:t>
      </w:r>
      <w:r>
        <w:rPr>
          <w:rFonts w:ascii="Arial" w:cs="Arial" w:eastAsia="Arial" w:hAnsi="Arial"/>
          <w:sz w:val="22"/>
          <w:szCs w:val="22"/>
          <w:b w:val="1"/>
          <w:bCs w:val="1"/>
          <w:u w:val="single" w:color="auto"/>
          <w:color w:val="auto"/>
        </w:rPr>
        <w:t>Trustee</w:t>
      </w:r>
      <w:r>
        <w:rPr>
          <w:rFonts w:ascii="Arial" w:cs="Arial" w:eastAsia="Arial" w:hAnsi="Arial"/>
          <w:sz w:val="22"/>
          <w:szCs w:val="22"/>
          <w:color w:val="auto"/>
        </w:rPr>
        <w: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hereby agree as follows:</w:t>
      </w:r>
    </w:p>
    <w:p>
      <w:pPr>
        <w:spacing w:after="0" w:line="227"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1.</w:t>
        <w:tab/>
        <w:t>DEFINITIONS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in this Agreement, the following capitalized terms shall have the following meanings: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9"/>
          <w:szCs w:val="19"/>
          <w:b w:val="1"/>
          <w:bCs w:val="1"/>
          <w:u w:val="single" w:color="auto"/>
          <w:color w:val="auto"/>
        </w:rPr>
        <w:t>Act</w:t>
      </w:r>
      <w:r>
        <w:rPr>
          <w:rFonts w:ascii="Arial" w:cs="Arial" w:eastAsia="Arial" w:hAnsi="Arial"/>
          <w:sz w:val="19"/>
          <w:szCs w:val="19"/>
          <w:color w:val="auto"/>
        </w:rPr>
        <w:t>: The Securities Act of 1933, as amended, and the rules and regulations of the Commission promulgated thereunder.</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Affiliate</w:t>
      </w:r>
      <w:r>
        <w:rPr>
          <w:rFonts w:ascii="Arial" w:cs="Arial" w:eastAsia="Arial" w:hAnsi="Arial"/>
          <w:sz w:val="22"/>
          <w:szCs w:val="22"/>
          <w:color w:val="auto"/>
        </w:rPr>
        <w:t>: As defined in Rule 144 of the Act.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Broker-Dealer</w:t>
      </w:r>
      <w:r>
        <w:rPr>
          <w:rFonts w:ascii="Arial" w:cs="Arial" w:eastAsia="Arial" w:hAnsi="Arial"/>
          <w:sz w:val="22"/>
          <w:szCs w:val="22"/>
          <w:color w:val="auto"/>
        </w:rPr>
        <w:t>: Any broker or dealer registered under the Exchange Act.</w:t>
      </w:r>
    </w:p>
    <w:p>
      <w:pPr>
        <w:spacing w:after="0" w:line="233" w:lineRule="exact"/>
        <w:rPr>
          <w:sz w:val="20"/>
          <w:szCs w:val="20"/>
          <w:color w:val="auto"/>
        </w:rPr>
      </w:pPr>
    </w:p>
    <w:p>
      <w:pPr>
        <w:ind w:right="120" w:firstLine="648"/>
        <w:spacing w:after="0" w:line="280" w:lineRule="auto"/>
        <w:rPr>
          <w:sz w:val="20"/>
          <w:szCs w:val="20"/>
          <w:color w:val="auto"/>
        </w:rPr>
      </w:pPr>
      <w:r>
        <w:rPr>
          <w:rFonts w:ascii="Arial" w:cs="Arial" w:eastAsia="Arial" w:hAnsi="Arial"/>
          <w:sz w:val="21"/>
          <w:szCs w:val="21"/>
          <w:b w:val="1"/>
          <w:bCs w:val="1"/>
          <w:u w:val="single" w:color="auto"/>
          <w:color w:val="auto"/>
        </w:rPr>
        <w:t>Business Day</w:t>
      </w:r>
      <w:r>
        <w:rPr>
          <w:rFonts w:ascii="Arial" w:cs="Arial" w:eastAsia="Arial" w:hAnsi="Arial"/>
          <w:sz w:val="21"/>
          <w:szCs w:val="21"/>
          <w:color w:val="auto"/>
        </w:rPr>
        <w:t>: Each Monday, Tuesday, Wednesday, Thursday and Friday that is not a day on which banking institutions in</w:t>
      </w:r>
      <w:r>
        <w:rPr>
          <w:rFonts w:ascii="Arial" w:cs="Arial" w:eastAsia="Arial" w:hAnsi="Arial"/>
          <w:sz w:val="21"/>
          <w:szCs w:val="21"/>
          <w:b w:val="1"/>
          <w:bCs w:val="1"/>
          <w:color w:val="auto"/>
        </w:rPr>
        <w:t xml:space="preserve"> </w:t>
      </w:r>
      <w:r>
        <w:rPr>
          <w:rFonts w:ascii="Arial" w:cs="Arial" w:eastAsia="Arial" w:hAnsi="Arial"/>
          <w:sz w:val="21"/>
          <w:szCs w:val="21"/>
          <w:color w:val="auto"/>
        </w:rPr>
        <w:t>New York, New York are authorized or obligated by law, regulation or executive order to close.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Certificated Securities</w:t>
      </w:r>
      <w:r>
        <w:rPr>
          <w:rFonts w:ascii="Arial" w:cs="Arial" w:eastAsia="Arial" w:hAnsi="Arial"/>
          <w:sz w:val="22"/>
          <w:szCs w:val="22"/>
          <w:color w:val="auto"/>
        </w:rPr>
        <w:t>: Definitive Notes, as defined in the Indenture.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Closing Date</w:t>
      </w:r>
      <w:r>
        <w:rPr>
          <w:rFonts w:ascii="Arial" w:cs="Arial" w:eastAsia="Arial" w:hAnsi="Arial"/>
          <w:sz w:val="22"/>
          <w:szCs w:val="22"/>
          <w:color w:val="auto"/>
        </w:rPr>
        <w:t>: The date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Commission</w:t>
      </w:r>
      <w:r>
        <w:rPr>
          <w:rFonts w:ascii="Arial" w:cs="Arial" w:eastAsia="Arial" w:hAnsi="Arial"/>
          <w:sz w:val="22"/>
          <w:szCs w:val="22"/>
          <w:color w:val="auto"/>
        </w:rPr>
        <w:t>: The Securities and Exchange Commission.</w:t>
      </w:r>
    </w:p>
    <w:p>
      <w:pPr>
        <w:spacing w:after="0" w:line="233" w:lineRule="exact"/>
        <w:rPr>
          <w:sz w:val="20"/>
          <w:szCs w:val="20"/>
          <w:color w:val="auto"/>
        </w:rPr>
      </w:pPr>
    </w:p>
    <w:p>
      <w:pPr>
        <w:ind w:right="200" w:firstLine="648"/>
        <w:spacing w:after="0" w:line="251" w:lineRule="auto"/>
        <w:rPr>
          <w:sz w:val="20"/>
          <w:szCs w:val="20"/>
          <w:color w:val="auto"/>
        </w:rPr>
      </w:pPr>
      <w:r>
        <w:rPr>
          <w:rFonts w:ascii="Arial" w:cs="Arial" w:eastAsia="Arial" w:hAnsi="Arial"/>
          <w:sz w:val="21"/>
          <w:szCs w:val="21"/>
          <w:b w:val="1"/>
          <w:bCs w:val="1"/>
          <w:u w:val="single" w:color="auto"/>
          <w:color w:val="auto"/>
        </w:rPr>
        <w:t>Consummate</w:t>
      </w:r>
      <w:r>
        <w:rPr>
          <w:rFonts w:ascii="Arial" w:cs="Arial" w:eastAsia="Arial" w:hAnsi="Arial"/>
          <w:sz w:val="21"/>
          <w:szCs w:val="21"/>
          <w:color w:val="auto"/>
        </w:rPr>
        <w:t>: An Exchange Offer shall be deemed “Consummated” for purposes of this Agreement upon the occurrence</w:t>
      </w:r>
      <w:r>
        <w:rPr>
          <w:rFonts w:ascii="Arial" w:cs="Arial" w:eastAsia="Arial" w:hAnsi="Arial"/>
          <w:sz w:val="21"/>
          <w:szCs w:val="21"/>
          <w:b w:val="1"/>
          <w:bCs w:val="1"/>
          <w:color w:val="auto"/>
        </w:rPr>
        <w:t xml:space="preserve"> </w:t>
      </w:r>
      <w:r>
        <w:rPr>
          <w:rFonts w:ascii="Arial" w:cs="Arial" w:eastAsia="Arial" w:hAnsi="Arial"/>
          <w:sz w:val="21"/>
          <w:szCs w:val="21"/>
          <w:color w:val="auto"/>
        </w:rPr>
        <w:t>of (a) the effectiveness under the Act of the Exchange Offer Registration Statement relating to the Initial Exchange Notes to be issued in the Exchange Offer, (b) the maintenance of such Exchange Offer Registration Statement continuously effective and the keeping of the Exchange Offer open for a period not less than the period required pursuant to Section 3(b) hereof and (c) the delivery by the Issuers to the Registrar under the Indenture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07" w:name="page208"/>
    <w:bookmarkEnd w:id="207"/>
    <w:p>
      <w:pPr>
        <w:ind w:right="140"/>
        <w:spacing w:after="0" w:line="251" w:lineRule="auto"/>
        <w:rPr>
          <w:sz w:val="20"/>
          <w:szCs w:val="20"/>
          <w:color w:val="auto"/>
        </w:rPr>
      </w:pPr>
      <w:r>
        <w:rPr>
          <w:rFonts w:ascii="Arial" w:cs="Arial" w:eastAsia="Arial" w:hAnsi="Arial"/>
          <w:sz w:val="22"/>
          <w:szCs w:val="22"/>
          <w:color w:val="auto"/>
        </w:rPr>
        <w:t>Initial Exchange Notes in the same aggregate principal amount as the aggregate principal amount of Initial Notes validly tendered by Holders thereof pursuant to the Exchange Offer.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Consummation Deadline</w:t>
      </w:r>
      <w:r>
        <w:rPr>
          <w:rFonts w:ascii="Arial" w:cs="Arial" w:eastAsia="Arial" w:hAnsi="Arial"/>
          <w:sz w:val="22"/>
          <w:szCs w:val="22"/>
          <w:color w:val="auto"/>
        </w:rPr>
        <w:t>: As defined in Section 3(b)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Effectiveness Deadline</w:t>
      </w:r>
      <w:r>
        <w:rPr>
          <w:rFonts w:ascii="Arial" w:cs="Arial" w:eastAsia="Arial" w:hAnsi="Arial"/>
          <w:sz w:val="22"/>
          <w:szCs w:val="22"/>
          <w:color w:val="auto"/>
        </w:rPr>
        <w:t>: The Exchange Offer Effectiveness Deadline and the Shelf Effectiveness Deadline.</w:t>
      </w:r>
    </w:p>
    <w:p>
      <w:pPr>
        <w:spacing w:after="0" w:line="233" w:lineRule="exact"/>
        <w:rPr>
          <w:sz w:val="20"/>
          <w:szCs w:val="20"/>
          <w:color w:val="auto"/>
        </w:rPr>
      </w:pPr>
    </w:p>
    <w:p>
      <w:pPr>
        <w:ind w:right="640" w:firstLine="648"/>
        <w:spacing w:after="0" w:line="256" w:lineRule="auto"/>
        <w:rPr>
          <w:sz w:val="20"/>
          <w:szCs w:val="20"/>
          <w:color w:val="auto"/>
        </w:rPr>
      </w:pPr>
      <w:r>
        <w:rPr>
          <w:rFonts w:ascii="Arial" w:cs="Arial" w:eastAsia="Arial" w:hAnsi="Arial"/>
          <w:sz w:val="22"/>
          <w:szCs w:val="22"/>
          <w:b w:val="1"/>
          <w:bCs w:val="1"/>
          <w:u w:val="single" w:color="auto"/>
          <w:color w:val="auto"/>
        </w:rPr>
        <w:t>Exchange Act</w:t>
      </w:r>
      <w:r>
        <w:rPr>
          <w:rFonts w:ascii="Arial" w:cs="Arial" w:eastAsia="Arial" w:hAnsi="Arial"/>
          <w:sz w:val="22"/>
          <w:szCs w:val="22"/>
          <w:color w:val="auto"/>
        </w:rPr>
        <w:t>: The Securities Exchange Act of 1934, as amended, and the rules and regulations of the Commission</w:t>
      </w:r>
      <w:r>
        <w:rPr>
          <w:rFonts w:ascii="Arial" w:cs="Arial" w:eastAsia="Arial" w:hAnsi="Arial"/>
          <w:sz w:val="22"/>
          <w:szCs w:val="22"/>
          <w:b w:val="1"/>
          <w:bCs w:val="1"/>
          <w:color w:val="auto"/>
        </w:rPr>
        <w:t xml:space="preserve"> </w:t>
      </w:r>
      <w:r>
        <w:rPr>
          <w:rFonts w:ascii="Arial" w:cs="Arial" w:eastAsia="Arial" w:hAnsi="Arial"/>
          <w:sz w:val="22"/>
          <w:szCs w:val="22"/>
          <w:color w:val="auto"/>
        </w:rPr>
        <w:t>promulgated thereunder.</w:t>
      </w:r>
    </w:p>
    <w:p>
      <w:pPr>
        <w:spacing w:after="0" w:line="190"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b w:val="1"/>
          <w:bCs w:val="1"/>
          <w:u w:val="single" w:color="auto"/>
          <w:color w:val="auto"/>
        </w:rPr>
        <w:t>Exchange Offer</w:t>
      </w:r>
      <w:r>
        <w:rPr>
          <w:rFonts w:ascii="Arial" w:cs="Arial" w:eastAsia="Arial" w:hAnsi="Arial"/>
          <w:sz w:val="22"/>
          <w:szCs w:val="22"/>
          <w:color w:val="auto"/>
        </w:rPr>
        <w:t>: The exchange and issuance by the Issuers of a principal amount of Initial Exchange Notes (which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registered pursuant to the Exchange Offer Registration Statement) equal to the outstanding principal amount of Initial Notes that are validly tendered and not withdrawn by such Holders in connection with such exchange and issuance as required by the terms of this Agreement.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Exchange Offer Effectiveness Deadline</w:t>
      </w:r>
      <w:r>
        <w:rPr>
          <w:rFonts w:ascii="Arial" w:cs="Arial" w:eastAsia="Arial" w:hAnsi="Arial"/>
          <w:sz w:val="22"/>
          <w:szCs w:val="22"/>
          <w:color w:val="auto"/>
        </w:rPr>
        <w:t>: As defined in Section 3(a)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Exchange Offer Filing Deadline</w:t>
      </w:r>
      <w:r>
        <w:rPr>
          <w:rFonts w:ascii="Arial" w:cs="Arial" w:eastAsia="Arial" w:hAnsi="Arial"/>
          <w:sz w:val="22"/>
          <w:szCs w:val="22"/>
          <w:color w:val="auto"/>
        </w:rPr>
        <w:t>: As defined in Section 3(a) hereof.</w:t>
      </w:r>
    </w:p>
    <w:p>
      <w:pPr>
        <w:spacing w:after="0" w:line="233" w:lineRule="exact"/>
        <w:rPr>
          <w:sz w:val="20"/>
          <w:szCs w:val="20"/>
          <w:color w:val="auto"/>
        </w:rPr>
      </w:pPr>
    </w:p>
    <w:p>
      <w:pPr>
        <w:ind w:right="560" w:firstLine="648"/>
        <w:spacing w:after="0" w:line="239" w:lineRule="auto"/>
        <w:rPr>
          <w:sz w:val="20"/>
          <w:szCs w:val="20"/>
          <w:color w:val="auto"/>
        </w:rPr>
      </w:pPr>
      <w:r>
        <w:rPr>
          <w:rFonts w:ascii="Arial" w:cs="Arial" w:eastAsia="Arial" w:hAnsi="Arial"/>
          <w:sz w:val="22"/>
          <w:szCs w:val="22"/>
          <w:b w:val="1"/>
          <w:bCs w:val="1"/>
          <w:u w:val="single" w:color="auto"/>
          <w:color w:val="auto"/>
        </w:rPr>
        <w:t>Exchange Offer Registration Statement</w:t>
      </w:r>
      <w:r>
        <w:rPr>
          <w:rFonts w:ascii="Arial" w:cs="Arial" w:eastAsia="Arial" w:hAnsi="Arial"/>
          <w:sz w:val="22"/>
          <w:szCs w:val="22"/>
          <w:color w:val="auto"/>
        </w:rPr>
        <w:t>: The Registration Statement required to be filed by the Issuers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Commission pursuant to this Agreement relating to the Exchange Offer, including the related Prospectus included therein, all amendments and supplements thereto (including post-effective amendments) and all exhibits and material incorporated by reference therein.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Filing Deadline</w:t>
      </w:r>
      <w:r>
        <w:rPr>
          <w:rFonts w:ascii="Arial" w:cs="Arial" w:eastAsia="Arial" w:hAnsi="Arial"/>
          <w:sz w:val="22"/>
          <w:szCs w:val="22"/>
          <w:color w:val="auto"/>
        </w:rPr>
        <w:t>: The Exchange Offer Filing Deadline and the Shelf Filing Deadline.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Holder</w:t>
      </w:r>
      <w:r>
        <w:rPr>
          <w:rFonts w:ascii="Arial" w:cs="Arial" w:eastAsia="Arial" w:hAnsi="Arial"/>
          <w:sz w:val="22"/>
          <w:szCs w:val="22"/>
          <w:color w:val="auto"/>
        </w:rPr>
        <w:t>: As defined in Section 2 hereof.</w:t>
      </w:r>
    </w:p>
    <w:p>
      <w:pPr>
        <w:spacing w:after="0" w:line="233" w:lineRule="exact"/>
        <w:rPr>
          <w:sz w:val="20"/>
          <w:szCs w:val="20"/>
          <w:color w:val="auto"/>
        </w:rPr>
      </w:pPr>
    </w:p>
    <w:p>
      <w:pPr>
        <w:ind w:right="160" w:firstLine="648"/>
        <w:spacing w:after="0" w:line="256" w:lineRule="auto"/>
        <w:rPr>
          <w:sz w:val="20"/>
          <w:szCs w:val="20"/>
          <w:color w:val="auto"/>
        </w:rPr>
      </w:pPr>
      <w:r>
        <w:rPr>
          <w:rFonts w:ascii="Arial" w:cs="Arial" w:eastAsia="Arial" w:hAnsi="Arial"/>
          <w:sz w:val="22"/>
          <w:szCs w:val="22"/>
          <w:b w:val="1"/>
          <w:bCs w:val="1"/>
          <w:u w:val="single" w:color="auto"/>
          <w:color w:val="auto"/>
        </w:rPr>
        <w:t>Initial Exchange Notes</w:t>
      </w:r>
      <w:r>
        <w:rPr>
          <w:rFonts w:ascii="Arial" w:cs="Arial" w:eastAsia="Arial" w:hAnsi="Arial"/>
          <w:sz w:val="22"/>
          <w:szCs w:val="22"/>
          <w:color w:val="auto"/>
        </w:rPr>
        <w:t>: The Issuers’ 7 % First Mortgage Notes due 2020 to be issued pursuant to the Indenture either (i)</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Exchange Offer or (ii) as contemplated by Section 6 hereof.</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Inspectors</w:t>
      </w:r>
      <w:r>
        <w:rPr>
          <w:rFonts w:ascii="Arial" w:cs="Arial" w:eastAsia="Arial" w:hAnsi="Arial"/>
          <w:sz w:val="22"/>
          <w:szCs w:val="22"/>
          <w:color w:val="auto"/>
        </w:rPr>
        <w:t>: As defined in Section 6(c)(vii)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Notes</w:t>
      </w:r>
      <w:r>
        <w:rPr>
          <w:rFonts w:ascii="Arial" w:cs="Arial" w:eastAsia="Arial" w:hAnsi="Arial"/>
          <w:sz w:val="22"/>
          <w:szCs w:val="22"/>
          <w:color w:val="auto"/>
        </w:rPr>
        <w:t>: Collectively, the Initial Notes and the Initial Exchange Notes.</w:t>
      </w:r>
    </w:p>
    <w:p>
      <w:pPr>
        <w:spacing w:after="0" w:line="233" w:lineRule="exact"/>
        <w:rPr>
          <w:sz w:val="20"/>
          <w:szCs w:val="20"/>
          <w:color w:val="auto"/>
        </w:rPr>
      </w:pPr>
    </w:p>
    <w:p>
      <w:pPr>
        <w:ind w:right="400" w:firstLine="648"/>
        <w:spacing w:after="0" w:line="335" w:lineRule="auto"/>
        <w:rPr>
          <w:sz w:val="20"/>
          <w:szCs w:val="20"/>
          <w:color w:val="auto"/>
        </w:rPr>
      </w:pPr>
      <w:r>
        <w:rPr>
          <w:rFonts w:ascii="Arial" w:cs="Arial" w:eastAsia="Arial" w:hAnsi="Arial"/>
          <w:sz w:val="19"/>
          <w:szCs w:val="19"/>
          <w:b w:val="1"/>
          <w:bCs w:val="1"/>
          <w:u w:val="single" w:color="auto"/>
          <w:color w:val="auto"/>
        </w:rPr>
        <w:t>Person</w:t>
      </w:r>
      <w:r>
        <w:rPr>
          <w:rFonts w:ascii="Arial" w:cs="Arial" w:eastAsia="Arial" w:hAnsi="Arial"/>
          <w:sz w:val="19"/>
          <w:szCs w:val="19"/>
          <w:color w:val="auto"/>
        </w:rPr>
        <w:t>: Any individual, corporation, partnership, joint venture, association, joint-stock company, trust, unincorporated</w:t>
      </w:r>
      <w:r>
        <w:rPr>
          <w:rFonts w:ascii="Arial" w:cs="Arial" w:eastAsia="Arial" w:hAnsi="Arial"/>
          <w:sz w:val="19"/>
          <w:szCs w:val="19"/>
          <w:b w:val="1"/>
          <w:bCs w:val="1"/>
          <w:color w:val="auto"/>
        </w:rPr>
        <w:t xml:space="preserve"> </w:t>
      </w:r>
      <w:r>
        <w:rPr>
          <w:rFonts w:ascii="Arial" w:cs="Arial" w:eastAsia="Arial" w:hAnsi="Arial"/>
          <w:sz w:val="19"/>
          <w:szCs w:val="19"/>
          <w:color w:val="auto"/>
        </w:rPr>
        <w:t>organization, limited liability company or government or any agency or political subdivision thereof or other entity.</w:t>
      </w:r>
    </w:p>
    <w:p>
      <w:pPr>
        <w:spacing w:after="0" w:line="119" w:lineRule="exact"/>
        <w:rPr>
          <w:sz w:val="20"/>
          <w:szCs w:val="20"/>
          <w:color w:val="auto"/>
        </w:rPr>
      </w:pPr>
    </w:p>
    <w:p>
      <w:pPr>
        <w:ind w:right="120" w:firstLine="648"/>
        <w:spacing w:after="0" w:line="254" w:lineRule="auto"/>
        <w:rPr>
          <w:sz w:val="20"/>
          <w:szCs w:val="20"/>
          <w:color w:val="auto"/>
        </w:rPr>
      </w:pPr>
      <w:r>
        <w:rPr>
          <w:rFonts w:ascii="Arial" w:cs="Arial" w:eastAsia="Arial" w:hAnsi="Arial"/>
          <w:sz w:val="21"/>
          <w:szCs w:val="21"/>
          <w:b w:val="1"/>
          <w:bCs w:val="1"/>
          <w:u w:val="single" w:color="auto"/>
          <w:color w:val="auto"/>
        </w:rPr>
        <w:t>Prospectus</w:t>
      </w:r>
      <w:r>
        <w:rPr>
          <w:rFonts w:ascii="Arial" w:cs="Arial" w:eastAsia="Arial" w:hAnsi="Arial"/>
          <w:sz w:val="21"/>
          <w:szCs w:val="21"/>
          <w:color w:val="auto"/>
        </w:rPr>
        <w:t>: The prospectus included in a Registration Statement at the time such Registration Statement is declared</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(including, without limitation, a prospectus that discloses information previously omitted from a prospectus filed as part of an effective Registration Statement in reliance upon Rule 430A under the Act), as amended or supplemented by any prospectus supplement and by all other amendments thereto, including post-effective</w:t>
      </w: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208" w:name="page209"/>
    <w:bookmarkEnd w:id="208"/>
    <w:p>
      <w:pPr>
        <w:ind w:right="60"/>
        <w:spacing w:after="0" w:line="251" w:lineRule="auto"/>
        <w:rPr>
          <w:sz w:val="20"/>
          <w:szCs w:val="20"/>
          <w:color w:val="auto"/>
        </w:rPr>
      </w:pPr>
      <w:r>
        <w:rPr>
          <w:rFonts w:ascii="Arial" w:cs="Arial" w:eastAsia="Arial" w:hAnsi="Arial"/>
          <w:sz w:val="22"/>
          <w:szCs w:val="22"/>
          <w:color w:val="auto"/>
        </w:rPr>
        <w:t>amendments or free writing prospectus (as defined in Rule 405 under the Act), and all material incorporated by reference into such Prospectus.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Recommencement Date</w:t>
      </w:r>
      <w:r>
        <w:rPr>
          <w:rFonts w:ascii="Arial" w:cs="Arial" w:eastAsia="Arial" w:hAnsi="Arial"/>
          <w:sz w:val="22"/>
          <w:szCs w:val="22"/>
          <w:color w:val="auto"/>
        </w:rPr>
        <w:t>: As defined in Section 6(d)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Records</w:t>
      </w:r>
      <w:r>
        <w:rPr>
          <w:rFonts w:ascii="Arial" w:cs="Arial" w:eastAsia="Arial" w:hAnsi="Arial"/>
          <w:sz w:val="22"/>
          <w:szCs w:val="22"/>
          <w:color w:val="auto"/>
        </w:rPr>
        <w:t>: As defined in Section 6(c)(vii)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Registration Default</w:t>
      </w:r>
      <w:r>
        <w:rPr>
          <w:rFonts w:ascii="Arial" w:cs="Arial" w:eastAsia="Arial" w:hAnsi="Arial"/>
          <w:sz w:val="22"/>
          <w:szCs w:val="22"/>
          <w:color w:val="auto"/>
        </w:rPr>
        <w:t>: As defined in Section 5 hereof.</w:t>
      </w:r>
    </w:p>
    <w:p>
      <w:pPr>
        <w:spacing w:after="0" w:line="233" w:lineRule="exact"/>
        <w:rPr>
          <w:sz w:val="20"/>
          <w:szCs w:val="20"/>
          <w:color w:val="auto"/>
        </w:rPr>
      </w:pPr>
    </w:p>
    <w:p>
      <w:pPr>
        <w:ind w:right="80" w:firstLine="648"/>
        <w:spacing w:after="0" w:line="251" w:lineRule="auto"/>
        <w:rPr>
          <w:sz w:val="20"/>
          <w:szCs w:val="20"/>
          <w:color w:val="auto"/>
        </w:rPr>
      </w:pPr>
      <w:r>
        <w:rPr>
          <w:rFonts w:ascii="Arial" w:cs="Arial" w:eastAsia="Arial" w:hAnsi="Arial"/>
          <w:sz w:val="21"/>
          <w:szCs w:val="21"/>
          <w:b w:val="1"/>
          <w:bCs w:val="1"/>
          <w:u w:val="single" w:color="auto"/>
          <w:color w:val="auto"/>
        </w:rPr>
        <w:t>Registration Statement</w:t>
      </w:r>
      <w:r>
        <w:rPr>
          <w:rFonts w:ascii="Arial" w:cs="Arial" w:eastAsia="Arial" w:hAnsi="Arial"/>
          <w:sz w:val="21"/>
          <w:szCs w:val="21"/>
          <w:color w:val="auto"/>
        </w:rPr>
        <w:t>: Any registration statement of the Issuers and the Guarantors relating to (a) an offering of Initial</w:t>
      </w:r>
      <w:r>
        <w:rPr>
          <w:rFonts w:ascii="Arial" w:cs="Arial" w:eastAsia="Arial" w:hAnsi="Arial"/>
          <w:sz w:val="21"/>
          <w:szCs w:val="21"/>
          <w:b w:val="1"/>
          <w:bCs w:val="1"/>
          <w:color w:val="auto"/>
        </w:rPr>
        <w:t xml:space="preserve"> </w:t>
      </w:r>
      <w:r>
        <w:rPr>
          <w:rFonts w:ascii="Arial" w:cs="Arial" w:eastAsia="Arial" w:hAnsi="Arial"/>
          <w:sz w:val="21"/>
          <w:szCs w:val="21"/>
          <w:color w:val="auto"/>
        </w:rPr>
        <w:t>Exchange Notes pursuant to the Exchange Offer Registration Statement or (b) the registration for resale of Transfer Restricted Securities pursuant to the Shelf Registration Statement, in each case, (i) that is filed pursuant to the provisions of this Agreement and (ii) including the Prospectus included therein, all amendments and supplements thereto (including post-effective amendments) and all exhibits and material incorporated by reference therein.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Regulation S</w:t>
      </w:r>
      <w:r>
        <w:rPr>
          <w:rFonts w:ascii="Arial" w:cs="Arial" w:eastAsia="Arial" w:hAnsi="Arial"/>
          <w:sz w:val="22"/>
          <w:szCs w:val="22"/>
          <w:color w:val="auto"/>
        </w:rPr>
        <w:t>: Regulation S promulgated under the Act.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Rule 144</w:t>
      </w:r>
      <w:r>
        <w:rPr>
          <w:rFonts w:ascii="Arial" w:cs="Arial" w:eastAsia="Arial" w:hAnsi="Arial"/>
          <w:sz w:val="22"/>
          <w:szCs w:val="22"/>
          <w:color w:val="auto"/>
        </w:rPr>
        <w:t>: Rule 144 promulgated under the Act.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Rule 415</w:t>
      </w:r>
      <w:r>
        <w:rPr>
          <w:rFonts w:ascii="Arial" w:cs="Arial" w:eastAsia="Arial" w:hAnsi="Arial"/>
          <w:sz w:val="22"/>
          <w:szCs w:val="22"/>
          <w:color w:val="auto"/>
        </w:rPr>
        <w:t>: Rule 415 promulgated under the Act.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Shelf Effectiveness Deadline</w:t>
      </w:r>
      <w:r>
        <w:rPr>
          <w:rFonts w:ascii="Arial" w:cs="Arial" w:eastAsia="Arial" w:hAnsi="Arial"/>
          <w:sz w:val="22"/>
          <w:szCs w:val="22"/>
          <w:color w:val="auto"/>
        </w:rPr>
        <w:t>: As defined in Section 4(a)(y)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Shelf Filing Deadline</w:t>
      </w:r>
      <w:r>
        <w:rPr>
          <w:rFonts w:ascii="Arial" w:cs="Arial" w:eastAsia="Arial" w:hAnsi="Arial"/>
          <w:sz w:val="22"/>
          <w:szCs w:val="22"/>
          <w:color w:val="auto"/>
        </w:rPr>
        <w:t>: As defined in Section 4(a)(x)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Shelf Holder</w:t>
      </w:r>
      <w:r>
        <w:rPr>
          <w:rFonts w:ascii="Arial" w:cs="Arial" w:eastAsia="Arial" w:hAnsi="Arial"/>
          <w:sz w:val="22"/>
          <w:szCs w:val="22"/>
          <w:color w:val="auto"/>
        </w:rPr>
        <w:t>: As defined in Section 4(a)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Shelf Registration Statement</w:t>
      </w:r>
      <w:r>
        <w:rPr>
          <w:rFonts w:ascii="Arial" w:cs="Arial" w:eastAsia="Arial" w:hAnsi="Arial"/>
          <w:sz w:val="22"/>
          <w:szCs w:val="22"/>
          <w:color w:val="auto"/>
        </w:rPr>
        <w:t>: As defined in Section 4(a)(x) hereof.</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Suspension Notice</w:t>
      </w:r>
      <w:r>
        <w:rPr>
          <w:rFonts w:ascii="Arial" w:cs="Arial" w:eastAsia="Arial" w:hAnsi="Arial"/>
          <w:sz w:val="22"/>
          <w:szCs w:val="22"/>
          <w:color w:val="auto"/>
        </w:rPr>
        <w:t>: As defined in Section 6(d) hereof.</w:t>
      </w:r>
    </w:p>
    <w:p>
      <w:pPr>
        <w:spacing w:after="0" w:line="233"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b w:val="1"/>
          <w:bCs w:val="1"/>
          <w:u w:val="single" w:color="auto"/>
          <w:color w:val="auto"/>
        </w:rPr>
        <w:t>Suspension Period</w:t>
      </w:r>
      <w:r>
        <w:rPr>
          <w:rFonts w:ascii="Arial" w:cs="Arial" w:eastAsia="Arial" w:hAnsi="Arial"/>
          <w:sz w:val="19"/>
          <w:szCs w:val="19"/>
          <w:color w:val="auto"/>
        </w:rPr>
        <w:t>: The period of time (a) that the Issuers may delay filing and distributing (i) a post-effective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to (x) the Shelf Registration Statement or (y) after the date on which the Exchange Offer is Consummated, the Exchange Offer Registration Statement that is required to maintain its effectiveness to permit resales of Initial Exchange Notes by Broker-Dealers as contemplated by Section 3(c) below or (ii) a supplement to any related Prospectus so that, as thereafter delivered to Holders or purchasers of Transfer Restricted Securities, the Prospectus will not contain an untrue statement of a material fact or omit to state any material fact required to be stated therein or necessary to make the statements therein, in ligh t of the circumstances under which they were made, not misleading, if the Issuers determine reasonably and in good faith that compliance with the disclosure obligations necessary to maintain the effectiveness of such Registration Statement at such time would reasonably be expected to have a material adverse effect on the Issuers or a pending financing, acquisition, disposition, merger or other material corporate transaction involving the Issuers or any of its subsidiaries or affiliates (it being understood that, in the case of this clause (a), the Issuers shall be required to use their commercially reasonable efforts to proceed in good faith to amend such</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209" w:name="page210"/>
    <w:bookmarkEnd w:id="209"/>
    <w:p>
      <w:pPr>
        <w:spacing w:after="0" w:line="272" w:lineRule="auto"/>
        <w:rPr>
          <w:sz w:val="20"/>
          <w:szCs w:val="20"/>
          <w:color w:val="auto"/>
        </w:rPr>
      </w:pPr>
      <w:r>
        <w:rPr>
          <w:rFonts w:ascii="Arial" w:cs="Arial" w:eastAsia="Arial" w:hAnsi="Arial"/>
          <w:sz w:val="19"/>
          <w:szCs w:val="19"/>
          <w:color w:val="auto"/>
        </w:rPr>
        <w:t xml:space="preserve">Registration Statement or supplement to such related Prospectus as soon as practicable to describe such events or to otherwise cause such Registration Statement to become effective and the related Prospectus to again be usable at such time as so doing would not have such a material adverse effect), or (b) when, at any time prior to the date which is one year from the effective date of the Exchange Offer Registration Statement, (i) the Shelf Registration Statement or (ii) after the date on which the Exchange Offer is Consummated, the Exchange Offer Registration Statement that is required to remain effective to permit resales of Initial Exchange Notes by Broker-Dealers as contemplated by Section 3(c) below, in each case, ceases to be effective or any related Prospectus is not usable solely because the Issuers filed a post-effective a mendment to any such Registration Statement to include annual audited financial information with respect to the Issuers and such post-effective amendment is not yet effective and needs to be declared effective to permit Holders to use the related Prospectus (it being understood that in the case of this clause (b), the Issuers shall be required to use their commercially reasonable efforts to cause any such post-effective amendment to become effective as soon as practicable);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Suspension Periods shall not occur for more than 45 consecutive days, or more than 75 days in the aggregate;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upon the termination of such Suspension Period, the Issuers shall promptly advise each Holder and purchaser and, if request by any such Person, confirm such advice in writing that such Suspension Period has been terminate 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1"/>
          <w:szCs w:val="21"/>
          <w:b w:val="1"/>
          <w:bCs w:val="1"/>
          <w:u w:val="single" w:color="auto"/>
          <w:color w:val="auto"/>
        </w:rPr>
        <w:t>TIA</w:t>
      </w:r>
      <w:r>
        <w:rPr>
          <w:rFonts w:ascii="Arial" w:cs="Arial" w:eastAsia="Arial" w:hAnsi="Arial"/>
          <w:sz w:val="21"/>
          <w:szCs w:val="21"/>
          <w:color w:val="auto"/>
        </w:rPr>
        <w:t>: The Trust Indenture Act of 1939 (15 U.S.C. Section 77aaa-77bbbb) as in effect on the date of the Indenture.</w:t>
      </w:r>
    </w:p>
    <w:p>
      <w:pPr>
        <w:spacing w:after="0" w:line="24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9"/>
          <w:szCs w:val="19"/>
          <w:b w:val="1"/>
          <w:bCs w:val="1"/>
          <w:u w:val="single" w:color="auto"/>
          <w:color w:val="auto"/>
        </w:rPr>
        <w:t>Transfer Restricted Securities</w:t>
      </w:r>
      <w:r>
        <w:rPr>
          <w:rFonts w:ascii="Arial" w:cs="Arial" w:eastAsia="Arial" w:hAnsi="Arial"/>
          <w:sz w:val="19"/>
          <w:szCs w:val="19"/>
          <w:color w:val="auto"/>
        </w:rPr>
        <w:t>: Each Initial Note, until the earliest to occur of (i) the date on which such Initial Note is</w:t>
      </w:r>
      <w:r>
        <w:rPr>
          <w:rFonts w:ascii="Arial" w:cs="Arial" w:eastAsia="Arial" w:hAnsi="Arial"/>
          <w:sz w:val="19"/>
          <w:szCs w:val="19"/>
          <w:b w:val="1"/>
          <w:bCs w:val="1"/>
          <w:color w:val="auto"/>
        </w:rPr>
        <w:t xml:space="preserve"> </w:t>
      </w:r>
      <w:r>
        <w:rPr>
          <w:rFonts w:ascii="Arial" w:cs="Arial" w:eastAsia="Arial" w:hAnsi="Arial"/>
          <w:sz w:val="19"/>
          <w:szCs w:val="19"/>
          <w:color w:val="auto"/>
        </w:rPr>
        <w:t>exchanged by a Person other than a Broker-Dealer for an Initial Exchange Note in the Exchange Offer, (ii) following the exchange by a Broker-Dealer in the Exchange Offer of an Initial Note for an Initial Exchange Note, the date on which such Initial Exchange Note is sold to a purchaser who receives from such Broker-Dealer on or prior to the date of such sale a copy of the Prospectus contained in the Exchange Offer Registration Statement, (iii) the date on which such Initial Note has been effectively registered under the Act and disposed of in accordance with the Shelf Registration Statement, or (iv) the d ate on which such Initial Note is distributed to the public pursuant to Rule 144, provided that on or prior to the date of such distribution either (x) the Exchange Offer has been Consummated or (y) a Shelf Registration Statement has been declared effective by the Commission.</w:t>
      </w:r>
    </w:p>
    <w:p>
      <w:pPr>
        <w:spacing w:after="0" w:line="178"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21"/>
          <w:szCs w:val="21"/>
          <w:b w:val="1"/>
          <w:bCs w:val="1"/>
          <w:color w:val="auto"/>
        </w:rPr>
        <w:t>HOLDERS</w:t>
      </w:r>
    </w:p>
    <w:p>
      <w:pPr>
        <w:spacing w:after="0" w:line="233" w:lineRule="exact"/>
        <w:rPr>
          <w:sz w:val="20"/>
          <w:szCs w:val="20"/>
          <w:color w:val="auto"/>
        </w:rPr>
      </w:pPr>
    </w:p>
    <w:p>
      <w:pPr>
        <w:ind w:right="760" w:firstLine="648"/>
        <w:spacing w:after="0" w:line="256" w:lineRule="auto"/>
        <w:rPr>
          <w:sz w:val="20"/>
          <w:szCs w:val="20"/>
          <w:color w:val="auto"/>
        </w:rPr>
      </w:pPr>
      <w:r>
        <w:rPr>
          <w:rFonts w:ascii="Arial" w:cs="Arial" w:eastAsia="Arial" w:hAnsi="Arial"/>
          <w:sz w:val="22"/>
          <w:szCs w:val="22"/>
          <w:color w:val="auto"/>
        </w:rPr>
        <w:t>A Person is deemed to be a holder of Transfer Restricted Securities (each, a “</w:t>
      </w:r>
      <w:r>
        <w:rPr>
          <w:rFonts w:ascii="Arial" w:cs="Arial" w:eastAsia="Arial" w:hAnsi="Arial"/>
          <w:sz w:val="22"/>
          <w:szCs w:val="22"/>
          <w:b w:val="1"/>
          <w:bCs w:val="1"/>
          <w:u w:val="single" w:color="auto"/>
          <w:color w:val="auto"/>
        </w:rPr>
        <w:t>Holder</w:t>
      </w:r>
      <w:r>
        <w:rPr>
          <w:rFonts w:ascii="Arial" w:cs="Arial" w:eastAsia="Arial" w:hAnsi="Arial"/>
          <w:sz w:val="22"/>
          <w:szCs w:val="22"/>
          <w:color w:val="auto"/>
        </w:rPr>
        <w:t>”) whenever such Person owns Transfer Restricted Securities.</w:t>
      </w:r>
    </w:p>
    <w:p>
      <w:pPr>
        <w:spacing w:after="0" w:line="190"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21"/>
          <w:szCs w:val="21"/>
          <w:b w:val="1"/>
          <w:bCs w:val="1"/>
          <w:color w:val="auto"/>
        </w:rPr>
        <w:t>REGISTERED EXCHANGE OFFER</w:t>
      </w:r>
    </w:p>
    <w:p>
      <w:pPr>
        <w:spacing w:after="0" w:line="239" w:lineRule="exact"/>
        <w:rPr>
          <w:sz w:val="20"/>
          <w:szCs w:val="20"/>
          <w:color w:val="auto"/>
        </w:rPr>
      </w:pPr>
    </w:p>
    <w:p>
      <w:pPr>
        <w:ind w:right="80" w:firstLine="656"/>
        <w:spacing w:after="0" w:line="249" w:lineRule="auto"/>
        <w:tabs>
          <w:tab w:leader="none" w:pos="1482" w:val="left"/>
        </w:tabs>
        <w:numPr>
          <w:ilvl w:val="0"/>
          <w:numId w:val="281"/>
        </w:numPr>
        <w:rPr>
          <w:rFonts w:ascii="Arial" w:cs="Arial" w:eastAsia="Arial" w:hAnsi="Arial"/>
          <w:sz w:val="21"/>
          <w:szCs w:val="21"/>
          <w:color w:val="auto"/>
        </w:rPr>
      </w:pPr>
      <w:r>
        <w:rPr>
          <w:rFonts w:ascii="Arial" w:cs="Arial" w:eastAsia="Arial" w:hAnsi="Arial"/>
          <w:sz w:val="21"/>
          <w:szCs w:val="21"/>
          <w:color w:val="auto"/>
        </w:rPr>
        <w:t xml:space="preserve">Unless the Exchange Offer shall not be permitted by applicable federal law or Commission policy (after the procedures set forth in Section 6(a)(i) below have been complied with), the Issuers and the Guarantors shall (i) cause the Exchange Offer Registration Statement to be filed with the Commission on or prior to 210 days after the Closing Date (such applicable filing deadline, the </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Exchange Offer Filing Deadline</w:t>
      </w:r>
      <w:r>
        <w:rPr>
          <w:rFonts w:ascii="Arial" w:cs="Arial" w:eastAsia="Arial" w:hAnsi="Arial"/>
          <w:sz w:val="21"/>
          <w:szCs w:val="21"/>
          <w:b w:val="1"/>
          <w:bCs w:val="1"/>
          <w:color w:val="auto"/>
        </w:rPr>
        <w:t>”</w:t>
      </w:r>
      <w:r>
        <w:rPr>
          <w:rFonts w:ascii="Arial" w:cs="Arial" w:eastAsia="Arial" w:hAnsi="Arial"/>
          <w:sz w:val="21"/>
          <w:szCs w:val="21"/>
          <w:color w:val="auto"/>
        </w:rPr>
        <w:t>), (ii) use all commercially reasonable efforts to cause such Exchange Offer Registration Statement to be declared effective by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0" w:name="page211"/>
    <w:bookmarkEnd w:id="210"/>
    <w:p>
      <w:pPr>
        <w:spacing w:after="0"/>
        <w:rPr>
          <w:sz w:val="20"/>
          <w:szCs w:val="20"/>
          <w:color w:val="auto"/>
        </w:rPr>
      </w:pPr>
      <w:r>
        <w:rPr>
          <w:rFonts w:ascii="Arial" w:cs="Arial" w:eastAsia="Arial" w:hAnsi="Arial"/>
          <w:sz w:val="19"/>
          <w:szCs w:val="19"/>
          <w:color w:val="auto"/>
        </w:rPr>
        <w:t>Commission on or prior to 300 days after the Closing Date (such 300</w:t>
      </w:r>
      <w:r>
        <w:rPr>
          <w:rFonts w:ascii="Arial" w:cs="Arial" w:eastAsia="Arial" w:hAnsi="Arial"/>
          <w:sz w:val="26"/>
          <w:szCs w:val="26"/>
          <w:color w:val="auto"/>
          <w:vertAlign w:val="superscript"/>
        </w:rPr>
        <w:t>th</w:t>
      </w:r>
      <w:r>
        <w:rPr>
          <w:rFonts w:ascii="Arial" w:cs="Arial" w:eastAsia="Arial" w:hAnsi="Arial"/>
          <w:sz w:val="19"/>
          <w:szCs w:val="19"/>
          <w:color w:val="auto"/>
        </w:rPr>
        <w:t xml:space="preserve"> day being the “</w:t>
      </w:r>
      <w:r>
        <w:rPr>
          <w:rFonts w:ascii="Arial" w:cs="Arial" w:eastAsia="Arial" w:hAnsi="Arial"/>
          <w:sz w:val="19"/>
          <w:szCs w:val="19"/>
          <w:b w:val="1"/>
          <w:bCs w:val="1"/>
          <w:u w:val="single" w:color="auto"/>
          <w:color w:val="auto"/>
        </w:rPr>
        <w:t>Exchange Offer Effectiveness Deadline</w:t>
      </w:r>
      <w:r>
        <w:rPr>
          <w:rFonts w:ascii="Arial" w:cs="Arial" w:eastAsia="Arial" w:hAnsi="Arial"/>
          <w:sz w:val="19"/>
          <w:szCs w:val="19"/>
          <w:color w:val="auto"/>
        </w:rPr>
        <w:t>”),</w:t>
      </w:r>
    </w:p>
    <w:p>
      <w:pPr>
        <w:ind w:right="40" w:firstLine="8"/>
        <w:spacing w:after="0" w:line="243" w:lineRule="auto"/>
        <w:tabs>
          <w:tab w:leader="none" w:pos="378" w:val="left"/>
        </w:tabs>
        <w:numPr>
          <w:ilvl w:val="0"/>
          <w:numId w:val="282"/>
        </w:numPr>
        <w:rPr>
          <w:rFonts w:ascii="Arial" w:cs="Arial" w:eastAsia="Arial" w:hAnsi="Arial"/>
          <w:sz w:val="21"/>
          <w:szCs w:val="21"/>
          <w:color w:val="auto"/>
        </w:rPr>
      </w:pPr>
      <w:r>
        <w:rPr>
          <w:rFonts w:ascii="Arial" w:cs="Arial" w:eastAsia="Arial" w:hAnsi="Arial"/>
          <w:sz w:val="21"/>
          <w:szCs w:val="21"/>
          <w:color w:val="auto"/>
        </w:rPr>
        <w:t>in connection with the foregoing, (A) file all pre-effective amendments to such Exchange Offer Registration Statement as may be necessary in order to cause it to become effective, (B) file, if applicable, a post-effective amendment to such Exchange Offer Registration Statement pursuant to Rule 430A under the Act and (C) use all commercially reasonable efforts to cause all necessa ry filings, if any, in connection with the registration and qualification of the Initial Exchange Notes to be made under the Blue Sky laws of such jurisdictions as are necessary to permit Consummation of the Exchange Offer, and (iv) upon the effectiveness of such Exchange Offer Registration Statement, commence and Consummate the Exchange Offer. The Exchange Offer shall be on the appropriate form permitting (i) registration of the Initial Exchange Notes to be offered in exchange for the Initial Notes that are Transfer Restricted Securities and (ii) resales of Initial Exchange Notes by Broker-Dealers that tendered Initial Notes into the Exchange Offer that such Broker-Dealer acquired for its own account as a result of market making activities or other trading activities (other than Initial Notes acquired directly from the Issuers or any of their respective Affiliates) as contemplated by Section 3(c) below.</w:t>
      </w:r>
    </w:p>
    <w:p>
      <w:pPr>
        <w:spacing w:after="0" w:line="209" w:lineRule="exact"/>
        <w:rPr>
          <w:rFonts w:ascii="Arial" w:cs="Arial" w:eastAsia="Arial" w:hAnsi="Arial"/>
          <w:sz w:val="21"/>
          <w:szCs w:val="21"/>
          <w:color w:val="auto"/>
        </w:rPr>
      </w:pPr>
    </w:p>
    <w:p>
      <w:pPr>
        <w:ind w:right="80" w:firstLine="656"/>
        <w:spacing w:after="0" w:line="225" w:lineRule="auto"/>
        <w:tabs>
          <w:tab w:leader="none" w:pos="1491" w:val="left"/>
        </w:tabs>
        <w:numPr>
          <w:ilvl w:val="1"/>
          <w:numId w:val="282"/>
        </w:numPr>
        <w:rPr>
          <w:rFonts w:ascii="Arial" w:cs="Arial" w:eastAsia="Arial" w:hAnsi="Arial"/>
          <w:sz w:val="21"/>
          <w:szCs w:val="21"/>
          <w:color w:val="auto"/>
        </w:rPr>
      </w:pPr>
      <w:r>
        <w:rPr>
          <w:rFonts w:ascii="Arial" w:cs="Arial" w:eastAsia="Arial" w:hAnsi="Arial"/>
          <w:sz w:val="21"/>
          <w:szCs w:val="21"/>
          <w:color w:val="auto"/>
        </w:rPr>
        <w:t xml:space="preserve">The Issuers and the Guarantors shall use all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in no event shall such period be less than 20 Business Days. The Issuers and the Guarantors shall cause the</w:t>
      </w:r>
      <w:r>
        <w:rPr>
          <w:rFonts w:ascii="Arial" w:cs="Arial" w:eastAsia="Arial" w:hAnsi="Arial"/>
          <w:sz w:val="21"/>
          <w:szCs w:val="21"/>
          <w:i w:val="1"/>
          <w:iCs w:val="1"/>
          <w:color w:val="auto"/>
        </w:rPr>
        <w:t xml:space="preserve"> </w:t>
      </w:r>
      <w:r>
        <w:rPr>
          <w:rFonts w:ascii="Arial" w:cs="Arial" w:eastAsia="Arial" w:hAnsi="Arial"/>
          <w:sz w:val="21"/>
          <w:szCs w:val="21"/>
          <w:color w:val="auto"/>
        </w:rPr>
        <w:t>Exchange Offer to comply with all applicable federal and state securities laws. No securities other than the Initial Exchange Notes shall be included in the Exchange Offer Registration Statement. The Issuers and the Guarantors shall use all commercially reasonable efforts to cause the Exchange Offer to be Consummated not later than the 30</w:t>
      </w:r>
      <w:r>
        <w:rPr>
          <w:rFonts w:ascii="Arial" w:cs="Arial" w:eastAsia="Arial" w:hAnsi="Arial"/>
          <w:sz w:val="29"/>
          <w:szCs w:val="29"/>
          <w:color w:val="auto"/>
          <w:vertAlign w:val="superscript"/>
        </w:rPr>
        <w:t>th</w:t>
      </w:r>
      <w:r>
        <w:rPr>
          <w:rFonts w:ascii="Arial" w:cs="Arial" w:eastAsia="Arial" w:hAnsi="Arial"/>
          <w:sz w:val="21"/>
          <w:szCs w:val="21"/>
          <w:color w:val="auto"/>
        </w:rPr>
        <w:t xml:space="preserve"> Business Day after the Exchange Offer Registration Statement is declared effective, or, if later, the 10</w:t>
      </w:r>
      <w:r>
        <w:rPr>
          <w:rFonts w:ascii="Arial" w:cs="Arial" w:eastAsia="Arial" w:hAnsi="Arial"/>
          <w:sz w:val="29"/>
          <w:szCs w:val="29"/>
          <w:color w:val="auto"/>
          <w:vertAlign w:val="superscript"/>
        </w:rPr>
        <w:t>th</w:t>
      </w:r>
      <w:r>
        <w:rPr>
          <w:rFonts w:ascii="Arial" w:cs="Arial" w:eastAsia="Arial" w:hAnsi="Arial"/>
          <w:sz w:val="21"/>
          <w:szCs w:val="21"/>
          <w:color w:val="auto"/>
        </w:rPr>
        <w:t xml:space="preserve"> Business Day after the Exchange Offer expires (such applicable deadline being the “</w:t>
      </w:r>
      <w:r>
        <w:rPr>
          <w:rFonts w:ascii="Arial" w:cs="Arial" w:eastAsia="Arial" w:hAnsi="Arial"/>
          <w:sz w:val="21"/>
          <w:szCs w:val="21"/>
          <w:b w:val="1"/>
          <w:bCs w:val="1"/>
          <w:u w:val="single" w:color="auto"/>
          <w:color w:val="auto"/>
        </w:rPr>
        <w:t>Consummation Deadline</w:t>
      </w:r>
      <w:r>
        <w:rPr>
          <w:rFonts w:ascii="Arial" w:cs="Arial" w:eastAsia="Arial" w:hAnsi="Arial"/>
          <w:sz w:val="21"/>
          <w:szCs w:val="21"/>
          <w:color w:val="auto"/>
        </w:rPr>
        <w:t>”).</w:t>
      </w:r>
    </w:p>
    <w:p>
      <w:pPr>
        <w:spacing w:after="0" w:line="220" w:lineRule="exact"/>
        <w:rPr>
          <w:rFonts w:ascii="Arial" w:cs="Arial" w:eastAsia="Arial" w:hAnsi="Arial"/>
          <w:sz w:val="21"/>
          <w:szCs w:val="21"/>
          <w:color w:val="auto"/>
        </w:rPr>
      </w:pPr>
    </w:p>
    <w:p>
      <w:pPr>
        <w:ind w:firstLine="656"/>
        <w:spacing w:after="0" w:line="246" w:lineRule="auto"/>
        <w:tabs>
          <w:tab w:leader="none" w:pos="1478" w:val="left"/>
        </w:tabs>
        <w:numPr>
          <w:ilvl w:val="1"/>
          <w:numId w:val="282"/>
        </w:numPr>
        <w:rPr>
          <w:rFonts w:ascii="Arial" w:cs="Arial" w:eastAsia="Arial" w:hAnsi="Arial"/>
          <w:sz w:val="21"/>
          <w:szCs w:val="21"/>
          <w:color w:val="auto"/>
        </w:rPr>
      </w:pPr>
      <w:r>
        <w:rPr>
          <w:rFonts w:ascii="Arial" w:cs="Arial" w:eastAsia="Arial" w:hAnsi="Arial"/>
          <w:sz w:val="21"/>
          <w:szCs w:val="21"/>
          <w:color w:val="auto"/>
        </w:rPr>
        <w:t>The Issuers shall include a “Plan of Distribution” section in the Prospectus contained in the Exchange Offer Registration Statement and indicate therein that any Broker-Dealer who holds Transfer Restricted Securities that were acquired for the account of such Broker-Dealer as a result of market-making activities or other trading activities (other than Initial Notes acquired directly from the Issuers or any Affiliate of the Issuers), may exchange such Transfer Restricted Securities pursuant to the Exchange Offer. Such “Plan of Distribution” section shall also contain all other information with respect to such sales by such Broker-Dealers that the Commission may require in order to permit such sales pursuant thereto, but such R 20;Plan of Distribution” shall not name any such Broker-Dealer or disclose the amount of Transfer Restricted Securities held by any such Broker-Dealer, except to the extent required by the Commission.</w:t>
      </w:r>
    </w:p>
    <w:p>
      <w:pPr>
        <w:spacing w:after="0" w:line="208" w:lineRule="exact"/>
        <w:rPr>
          <w:sz w:val="20"/>
          <w:szCs w:val="20"/>
          <w:color w:val="auto"/>
        </w:rPr>
      </w:pPr>
    </w:p>
    <w:p>
      <w:pPr>
        <w:ind w:right="200" w:firstLine="648"/>
        <w:spacing w:after="0" w:line="287" w:lineRule="auto"/>
        <w:rPr>
          <w:sz w:val="20"/>
          <w:szCs w:val="20"/>
          <w:color w:val="auto"/>
        </w:rPr>
      </w:pPr>
      <w:r>
        <w:rPr>
          <w:rFonts w:ascii="Arial" w:cs="Arial" w:eastAsia="Arial" w:hAnsi="Arial"/>
          <w:sz w:val="19"/>
          <w:szCs w:val="19"/>
          <w:color w:val="auto"/>
        </w:rPr>
        <w:t>Because such Broker-Dealer may be deemed to be an “underwriter” within the meaning of the Act and must, therefore, deliver a prospectus meeting the requirements of the Act in connection with its initial sale of any Initial Exchange Notes received by such Broker-Dealer in the Exchange Offer, the Issuers and Guarantors shall permit the use of the Prospectus contained in the Exchange Offer Registration Statement by such Broker-Dealer to satisfy such prospectus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211" w:name="page212"/>
    <w:bookmarkEnd w:id="211"/>
    <w:p>
      <w:pPr>
        <w:spacing w:after="0" w:line="273" w:lineRule="auto"/>
        <w:rPr>
          <w:sz w:val="20"/>
          <w:szCs w:val="20"/>
          <w:color w:val="auto"/>
        </w:rPr>
      </w:pPr>
      <w:r>
        <w:rPr>
          <w:rFonts w:ascii="Arial" w:cs="Arial" w:eastAsia="Arial" w:hAnsi="Arial"/>
          <w:sz w:val="19"/>
          <w:szCs w:val="19"/>
          <w:color w:val="auto"/>
        </w:rPr>
        <w:t xml:space="preserve">delivery requirement. To the extent necessary to ensure that the Prospectus contained in the Exchange Offer Registration Statement is available for sales of Initial Exchange Notes by Broker-Dealers, the Issuers and the Guarantors agree to use all commercially reasonable efforts to keep the Exchange Offer Registration Statement continuously effective, supplemented, amended and current as required by and subject to (i) the provisions of Section 6(a) and (c) hereof and (ii) any applicable Suspension Period, and in conformity with the requirements of this Agreement, the Act and the policies, rules and regulations of the Commission as announced from time to time, for a period of 180 days from the Consummation Deadline or such shorter period as will terminate when all Transfer Restricted Securities covered by such Registration Statement have been sold pursuant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Exchange Offer Registration Statement ceases to be effective during any Suspension Period, such 180-day period shall be extended by the number of days such Suspension Period is in effect. The Issuers and the Guarantors shall provide sufficient copies of the latest version of such Prospectus to such Broker-Dealers, promptly upon request, and in no event later than two Business Days after such request, at any time during such period.</w:t>
      </w:r>
    </w:p>
    <w:p>
      <w:pPr>
        <w:spacing w:after="0" w:line="177"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21"/>
          <w:szCs w:val="21"/>
          <w:b w:val="1"/>
          <w:bCs w:val="1"/>
          <w:color w:val="auto"/>
        </w:rPr>
        <w:t>SHELF REGISTRATION</w:t>
      </w:r>
    </w:p>
    <w:p>
      <w:pPr>
        <w:spacing w:after="0" w:line="239" w:lineRule="exact"/>
        <w:rPr>
          <w:sz w:val="20"/>
          <w:szCs w:val="20"/>
          <w:color w:val="auto"/>
        </w:rPr>
      </w:pPr>
    </w:p>
    <w:p>
      <w:pPr>
        <w:ind w:right="40" w:firstLine="656"/>
        <w:spacing w:after="0" w:line="275" w:lineRule="auto"/>
        <w:tabs>
          <w:tab w:leader="none" w:pos="1482" w:val="left"/>
        </w:tabs>
        <w:numPr>
          <w:ilvl w:val="0"/>
          <w:numId w:val="283"/>
        </w:numPr>
        <w:rPr>
          <w:rFonts w:ascii="Arial" w:cs="Arial" w:eastAsia="Arial" w:hAnsi="Arial"/>
          <w:sz w:val="19"/>
          <w:szCs w:val="19"/>
          <w:color w:val="auto"/>
        </w:rPr>
      </w:pPr>
      <w:r>
        <w:rPr>
          <w:rFonts w:ascii="Arial" w:cs="Arial" w:eastAsia="Arial" w:hAnsi="Arial"/>
          <w:sz w:val="19"/>
          <w:szCs w:val="19"/>
          <w:u w:val="single" w:color="auto"/>
          <w:color w:val="auto"/>
        </w:rPr>
        <w:t>Shelf Registration</w:t>
      </w:r>
      <w:r>
        <w:rPr>
          <w:rFonts w:ascii="Arial" w:cs="Arial" w:eastAsia="Arial" w:hAnsi="Arial"/>
          <w:sz w:val="19"/>
          <w:szCs w:val="19"/>
          <w:color w:val="auto"/>
        </w:rPr>
        <w:t>. If (i) the Exchange Offer is not permitted by applicable law or Commission policy or (ii) any Holder of Transfer Restricted Securities shall notify the Issuers within 20 Business Days following the Consummation Deadline that (A) such Holder was prohibited by law or Commission policy from participating in the Exchange Offer, (B) such Holder may not resell the Initial Exchange Notes acquired by it in the Exchange Offer to the public without delivering a prospectus and the Prospectus contained in the Exchange Offer Registration Statement is not appropriate or available for such resales by such Holder or (C) such Holder is a Broker-Dealer and holds Initial Notes acquired d irectly from the Issuers or any of their respective Affiliates ((A) all Holders in the case of clause (i) above and (B) each such Holder described in clause (ii) above shall hereinafter be referred to as a “</w:t>
      </w:r>
      <w:r>
        <w:rPr>
          <w:rFonts w:ascii="Arial" w:cs="Arial" w:eastAsia="Arial" w:hAnsi="Arial"/>
          <w:sz w:val="19"/>
          <w:szCs w:val="19"/>
          <w:b w:val="1"/>
          <w:bCs w:val="1"/>
          <w:u w:val="single" w:color="auto"/>
          <w:color w:val="auto"/>
        </w:rPr>
        <w:t>Shelf Holder</w:t>
      </w:r>
      <w:r>
        <w:rPr>
          <w:rFonts w:ascii="Arial" w:cs="Arial" w:eastAsia="Arial" w:hAnsi="Arial"/>
          <w:sz w:val="19"/>
          <w:szCs w:val="19"/>
          <w:color w:val="auto"/>
        </w:rPr>
        <w:t>”), then the Issuers and the Guarantors shall use all commercially reasonable efforts to:</w:t>
      </w:r>
    </w:p>
    <w:p>
      <w:pPr>
        <w:spacing w:after="0" w:line="185" w:lineRule="exact"/>
        <w:rPr>
          <w:sz w:val="20"/>
          <w:szCs w:val="20"/>
          <w:color w:val="auto"/>
        </w:rPr>
      </w:pPr>
    </w:p>
    <w:p>
      <w:pPr>
        <w:ind w:left="340" w:right="140" w:firstLine="316"/>
        <w:spacing w:after="0" w:line="275" w:lineRule="auto"/>
        <w:tabs>
          <w:tab w:leader="none" w:pos="97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 xml:space="preserve">cause to be filed, on or prior to 30 days after the earlier of (i) the date on which the Issuers determine that the Exchange Offer Registration Statement cannot be filed as a result of clause (a)(i) above and (ii) the date on which the Issuers receive the notice specified in clause (a)(ii) above,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Issuers and Guarantors shall not be required to file a Shelf Registration Statement prior to the date that is 240 days following the Closing Date (such applicable filing date, the “</w:t>
      </w:r>
      <w:r>
        <w:rPr>
          <w:rFonts w:ascii="Arial" w:cs="Arial" w:eastAsia="Arial" w:hAnsi="Arial"/>
          <w:sz w:val="19"/>
          <w:szCs w:val="19"/>
          <w:b w:val="1"/>
          <w:bCs w:val="1"/>
          <w:u w:val="single" w:color="auto"/>
          <w:color w:val="auto"/>
        </w:rPr>
        <w:t>Shelf</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Filing Deadline</w:t>
      </w:r>
      <w:r>
        <w:rPr>
          <w:rFonts w:ascii="Arial" w:cs="Arial" w:eastAsia="Arial" w:hAnsi="Arial"/>
          <w:sz w:val="19"/>
          <w:szCs w:val="19"/>
          <w:color w:val="auto"/>
        </w:rPr>
        <w:t>”), a shelf registration statement pursuant to Rule 415 (which may be an amendment to the Exchange Offer</w:t>
      </w:r>
      <w:r>
        <w:rPr>
          <w:rFonts w:ascii="Arial" w:cs="Arial" w:eastAsia="Arial" w:hAnsi="Arial"/>
          <w:sz w:val="19"/>
          <w:szCs w:val="19"/>
          <w:b w:val="1"/>
          <w:bCs w:val="1"/>
          <w:color w:val="auto"/>
        </w:rPr>
        <w:t xml:space="preserve"> </w:t>
      </w:r>
      <w:r>
        <w:rPr>
          <w:rFonts w:ascii="Arial" w:cs="Arial" w:eastAsia="Arial" w:hAnsi="Arial"/>
          <w:sz w:val="19"/>
          <w:szCs w:val="19"/>
          <w:color w:val="auto"/>
        </w:rPr>
        <w:t>Registration Statement, including the related Prosp ectus included therein, all amendments and supplements thereto (including post-effective amendments) and all exhibits and material incorporated by reference therein (the “</w:t>
      </w:r>
      <w:r>
        <w:rPr>
          <w:rFonts w:ascii="Arial" w:cs="Arial" w:eastAsia="Arial" w:hAnsi="Arial"/>
          <w:sz w:val="19"/>
          <w:szCs w:val="19"/>
          <w:b w:val="1"/>
          <w:bCs w:val="1"/>
          <w:u w:val="single" w:color="auto"/>
          <w:color w:val="auto"/>
        </w:rPr>
        <w:t>Shelf Registration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Statement</w:t>
      </w:r>
      <w:r>
        <w:rPr>
          <w:rFonts w:ascii="Arial" w:cs="Arial" w:eastAsia="Arial" w:hAnsi="Arial"/>
          <w:sz w:val="19"/>
          <w:szCs w:val="19"/>
          <w:color w:val="auto"/>
        </w:rPr>
        <w:t>”)), relating to all Transfer Restricted Securities, and</w:t>
      </w:r>
    </w:p>
    <w:p>
      <w:pPr>
        <w:spacing w:after="0" w:line="185" w:lineRule="exact"/>
        <w:rPr>
          <w:rFonts w:ascii="Arial" w:cs="Arial" w:eastAsia="Arial" w:hAnsi="Arial"/>
          <w:sz w:val="19"/>
          <w:szCs w:val="19"/>
          <w:color w:val="auto"/>
        </w:rPr>
      </w:pPr>
    </w:p>
    <w:p>
      <w:pPr>
        <w:ind w:left="340" w:firstLine="316"/>
        <w:spacing w:after="0" w:line="273" w:lineRule="auto"/>
        <w:tabs>
          <w:tab w:leader="none" w:pos="97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cause such Shelf Registration Statement to become effective on or prior to 90 days after the Shelf Filing Deadline for the Shelf Registration Statement (such 90</w:t>
      </w:r>
      <w:r>
        <w:rPr>
          <w:rFonts w:ascii="Arial" w:cs="Arial" w:eastAsia="Arial" w:hAnsi="Arial"/>
          <w:sz w:val="30"/>
          <w:szCs w:val="30"/>
          <w:color w:val="auto"/>
          <w:vertAlign w:val="superscript"/>
        </w:rPr>
        <w:t>th</w:t>
      </w:r>
      <w:r>
        <w:rPr>
          <w:rFonts w:ascii="Arial" w:cs="Arial" w:eastAsia="Arial" w:hAnsi="Arial"/>
          <w:sz w:val="22"/>
          <w:szCs w:val="22"/>
          <w:color w:val="auto"/>
        </w:rPr>
        <w:t xml:space="preserve"> day the “</w:t>
      </w:r>
      <w:r>
        <w:rPr>
          <w:rFonts w:ascii="Arial" w:cs="Arial" w:eastAsia="Arial" w:hAnsi="Arial"/>
          <w:sz w:val="22"/>
          <w:szCs w:val="22"/>
          <w:b w:val="1"/>
          <w:bCs w:val="1"/>
          <w:u w:val="single" w:color="auto"/>
          <w:color w:val="auto"/>
        </w:rPr>
        <w:t>Shelf Effectiveness Deadline</w:t>
      </w:r>
      <w:r>
        <w:rPr>
          <w:rFonts w:ascii="Arial" w:cs="Arial" w:eastAsia="Arial" w:hAnsi="Arial"/>
          <w:sz w:val="22"/>
          <w:szCs w:val="22"/>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2" w:name="page213"/>
    <w:bookmarkEnd w:id="212"/>
    <w:p>
      <w:pPr>
        <w:ind w:right="40" w:firstLine="648"/>
        <w:spacing w:after="0" w:line="282" w:lineRule="auto"/>
        <w:rPr>
          <w:sz w:val="20"/>
          <w:szCs w:val="20"/>
          <w:color w:val="auto"/>
        </w:rPr>
      </w:pPr>
      <w:r>
        <w:rPr>
          <w:rFonts w:ascii="Arial" w:cs="Arial" w:eastAsia="Arial" w:hAnsi="Arial"/>
          <w:sz w:val="19"/>
          <w:szCs w:val="19"/>
          <w:color w:val="auto"/>
        </w:rPr>
        <w:t xml:space="preserve">If, after the Issuers and Guarantors have filed an Exchange Offer Registration Statement that satisfies the requirements of Section 3(a) above, the Issuers and Guarantors are required to file and make effective a Shelf Registration Statement solely because the Exchange Offer is not permitted under applicable federal law (i.e., clause (a)(i) above), then the filing of the Exchange Offer Registration Statement shall be deemed to satisfy the requirements of clause (x)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such event, the Issuers and Guarantors shall remain obligated to meet the Shelf Effectiveness Deadline set forth in clause (y).</w:t>
      </w:r>
    </w:p>
    <w:p>
      <w:pPr>
        <w:spacing w:after="0" w:line="175"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To the extent necessary to ensure that the Shelf Registration Statement is available for sales of Transfer Restricted Securities by the Holders thereof entitled to the benefit of this Section 4(a) and the other securities required to be registered therein pursuant to Section 6(b)(ii) hereof, the Issuers and the Guarantors shall use all commercially reasonable efforts to keep any Shelf Registration Statement required by this Section 4(a) continuously effective, supplemented, amended and current as required by and subject to (i) the provisions of Sections 6(b) and (c) hereof and (ii) any applicable Suspension Period, and in conformity with the requirements of this Agreement, the Act and the policies, rules and regulations of the Commission as announced from time to time, for a period of at least two years, or one year if such Shelf Registration Statement is filed at the request of a Holder or Holders, (in each case, as such time may be extended pursuant to Section 6(d) hereof) following the Closing Date, or such shorter period as will terminate when all Transfer Restricted Securities covered by such Shelf Registration Statement have been sold pursuant thereto or when all Initial Notes cease to be Transfer Restricted Securities.</w:t>
      </w:r>
    </w:p>
    <w:p>
      <w:pPr>
        <w:spacing w:after="0" w:line="189" w:lineRule="exact"/>
        <w:rPr>
          <w:sz w:val="20"/>
          <w:szCs w:val="20"/>
          <w:color w:val="auto"/>
        </w:rPr>
      </w:pPr>
    </w:p>
    <w:p>
      <w:pPr>
        <w:ind w:right="80" w:firstLine="656"/>
        <w:spacing w:after="0" w:line="245" w:lineRule="auto"/>
        <w:tabs>
          <w:tab w:leader="none" w:pos="1494" w:val="left"/>
        </w:tabs>
        <w:numPr>
          <w:ilvl w:val="0"/>
          <w:numId w:val="285"/>
        </w:numPr>
        <w:rPr>
          <w:rFonts w:ascii="Arial" w:cs="Arial" w:eastAsia="Arial" w:hAnsi="Arial"/>
          <w:sz w:val="21"/>
          <w:szCs w:val="21"/>
          <w:color w:val="auto"/>
        </w:rPr>
      </w:pPr>
      <w:r>
        <w:rPr>
          <w:rFonts w:ascii="Arial" w:cs="Arial" w:eastAsia="Arial" w:hAnsi="Arial"/>
          <w:sz w:val="21"/>
          <w:szCs w:val="21"/>
          <w:u w:val="single" w:color="auto"/>
          <w:color w:val="auto"/>
        </w:rPr>
        <w:t>Provision by Holders of Certain Information in Connection with the Shelf Registration Statement</w:t>
      </w:r>
      <w:r>
        <w:rPr>
          <w:rFonts w:ascii="Arial" w:cs="Arial" w:eastAsia="Arial" w:hAnsi="Arial"/>
          <w:sz w:val="21"/>
          <w:szCs w:val="21"/>
          <w:color w:val="auto"/>
        </w:rPr>
        <w:t>. No Holder of Transfer Restricted Securities may include any of its Transfer Restricted Securities in any Shelf Registration Statement pursuant to this Agreement unless and until such Holder furnishes to the Issuers in writing, within 15 Business Days after receipt of a request therefor, the information required by Item 507 or 508 of Regulation S-K, as applicable, of the Act or other information reasonably requested by the Issuers and required by Regulation S-K of the Act in order to fulfill their obligations hereunder for use in connection with any Shelf Registration Statement or Prospectus or preliminary prospectus included therein. No Holder of Transfer Restricted Securities shall be entitled to liquidated damages pursuant to Section 5 hereof unless and until such Holder shall have provided all such information. Each selling Holder agrees to promptly furnish additional information as requested by the Commission or as required to be disclosed in order to make the information previously furnished to the Issuers by such Holder not materially misleading.</w:t>
      </w:r>
    </w:p>
    <w:p>
      <w:pPr>
        <w:spacing w:after="0" w:line="203"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5.</w:t>
        <w:tab/>
        <w:t>LIQUIDATED DAMAGES</w:t>
      </w:r>
    </w:p>
    <w:p>
      <w:pPr>
        <w:spacing w:after="0" w:line="239"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If (a) any Registration Statement required by this Agreement is not filed with the Commission on or prior to the applicable Filing Deadline, (b) any such Registration Statement has not been declared effective by the Commission on or prior to the applicable Effectiveness Deadline, (c) the Exchange Offer has not been Consummated on or prior to the Consummation Deadline or (d) any Registration Statement required by this Agreement is filed and declared effective but shall thereafter cease to be effective or fail to be usable for its intended purpose, except during any Suspension Period, without being succeeded immediately by a post-effective amendment to such Registration Statement or another Registration Statement that cures such failure and that is itself declared effective immediately (each such event referred to in clauses (a)</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3" w:name="page214"/>
    <w:bookmarkEnd w:id="213"/>
    <w:p>
      <w:pPr>
        <w:spacing w:after="0" w:line="271" w:lineRule="auto"/>
        <w:rPr>
          <w:sz w:val="20"/>
          <w:szCs w:val="20"/>
          <w:color w:val="auto"/>
        </w:rPr>
      </w:pPr>
      <w:r>
        <w:rPr>
          <w:rFonts w:ascii="Arial" w:cs="Arial" w:eastAsia="Arial" w:hAnsi="Arial"/>
          <w:sz w:val="19"/>
          <w:szCs w:val="19"/>
          <w:color w:val="auto"/>
        </w:rPr>
        <w:t xml:space="preserve">through (d) of this Section 5, a </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Registration Default</w:t>
      </w:r>
      <w:r>
        <w:rPr>
          <w:rFonts w:ascii="Arial" w:cs="Arial" w:eastAsia="Arial" w:hAnsi="Arial"/>
          <w:sz w:val="19"/>
          <w:szCs w:val="19"/>
          <w:b w:val="1"/>
          <w:bCs w:val="1"/>
          <w:color w:val="auto"/>
        </w:rPr>
        <w:t>”</w:t>
      </w:r>
      <w:r>
        <w:rPr>
          <w:rFonts w:ascii="Arial" w:cs="Arial" w:eastAsia="Arial" w:hAnsi="Arial"/>
          <w:sz w:val="19"/>
          <w:szCs w:val="19"/>
          <w:color w:val="auto"/>
        </w:rPr>
        <w:t xml:space="preserve">), then the Issuers and the Guarantors hereby jointly and severally agree to pay to each Holder of Transfer Restricted Securities affected thereby liquidated damages in an amount equal to $0.05 per week per $1,000 in principal amount of Transfer Restricted Securities held by such Holder for each week or portion thereof that the Registration Default continues for the first 90-day period immediately following the occurrence of such Registration Default. The amount of the liquidated damages shall increase by an additional $0.05 per week per $1,000 in principal amoun t of Transfer Restricted Securities with respect to each subsequent 90-day period until all Registration Defaults have been cured, up to a maximum amount of liquidated damages of $0.50 per week per $1,000 in principal amount of Transfer Restricted Securities;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Issuers and the Guarantors shall in no event be required to pay liquidated damages for more than one Registration</w:t>
      </w:r>
      <w:r>
        <w:rPr>
          <w:rFonts w:ascii="Arial" w:cs="Arial" w:eastAsia="Arial" w:hAnsi="Arial"/>
          <w:sz w:val="19"/>
          <w:szCs w:val="19"/>
          <w:i w:val="1"/>
          <w:iCs w:val="1"/>
          <w:color w:val="auto"/>
        </w:rPr>
        <w:t xml:space="preserve"> </w:t>
      </w:r>
      <w:r>
        <w:rPr>
          <w:rFonts w:ascii="Arial" w:cs="Arial" w:eastAsia="Arial" w:hAnsi="Arial"/>
          <w:sz w:val="19"/>
          <w:szCs w:val="19"/>
          <w:color w:val="auto"/>
        </w:rPr>
        <w:t>Default at any given time. Such interest is payable in addition to any other interest payable from time to time with respect to the Transfer Restricted Securities. Notwithstanding anything to the contrary set forth herein, (i) upon the filing of the Exchange Offer Registration Statement (and/or, if applicable, the Shelf Registration Statement), in the case of (a) above, (ii) upon the effectiveness of the Exchange Offer Registration Statement (and/or, if applicable, the Shelf Registration Statement), in the case of (b) above, (iii) upon Consummati on of the Exchange Offer, in the case of (c) above, or (iv) upon the filing of a post-effective amendment to the Registration Statement or an additional Registration Statement that causes the Exchange Offer Registration Statement (and/or, if applicable, the Shelf Registration Statement) to again be declared effective or made usable in the case of (d) above, the liquidated damages payable with respect to the Transfer Restricted Securities as a result of such clause (a), (b), (c) or (d), as applicable, shall cease to accrue.</w:t>
      </w:r>
    </w:p>
    <w:p>
      <w:pPr>
        <w:spacing w:after="0" w:line="200" w:lineRule="exact"/>
        <w:rPr>
          <w:sz w:val="20"/>
          <w:szCs w:val="20"/>
          <w:color w:val="auto"/>
        </w:rPr>
      </w:pPr>
    </w:p>
    <w:p>
      <w:pPr>
        <w:spacing w:after="0" w:line="234" w:lineRule="exact"/>
        <w:rPr>
          <w:sz w:val="20"/>
          <w:szCs w:val="20"/>
          <w:color w:val="auto"/>
        </w:rPr>
      </w:pPr>
    </w:p>
    <w:p>
      <w:pPr>
        <w:ind w:right="120" w:firstLine="648"/>
        <w:spacing w:after="0" w:line="282" w:lineRule="auto"/>
        <w:rPr>
          <w:sz w:val="20"/>
          <w:szCs w:val="20"/>
          <w:color w:val="auto"/>
        </w:rPr>
      </w:pPr>
      <w:r>
        <w:rPr>
          <w:rFonts w:ascii="Arial" w:cs="Arial" w:eastAsia="Arial" w:hAnsi="Arial"/>
          <w:sz w:val="19"/>
          <w:szCs w:val="19"/>
          <w:color w:val="auto"/>
        </w:rPr>
        <w:t>All accrued liquidated damages shall be paid to the Holders entitled thereto, in the manner provided for with respect to the payment of interest in the Indenture, on each Interest Payment Date (as defined in the Notes), as more fully set forth in the Indenture and the Notes. Notwithstanding the fact that any securities for which liquidated damages are due cease to be Transfer Restricted Securities, all obligations of the Issuers and the Guarantors to pay liquidated damages with respect to securities shall survive until such time as such obligations with respect to such securities shall have been satisfied in full.</w:t>
      </w:r>
    </w:p>
    <w:p>
      <w:pPr>
        <w:spacing w:after="0" w:line="169" w:lineRule="exact"/>
        <w:rPr>
          <w:sz w:val="20"/>
          <w:szCs w:val="20"/>
          <w:color w:val="auto"/>
        </w:rPr>
      </w:pPr>
    </w:p>
    <w:p>
      <w:pPr>
        <w:spacing w:after="0"/>
        <w:tabs>
          <w:tab w:leader="none" w:pos="15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1"/>
          <w:szCs w:val="21"/>
          <w:b w:val="1"/>
          <w:bCs w:val="1"/>
          <w:color w:val="auto"/>
        </w:rPr>
        <w:t>REGISTRATION PROCEDURES</w:t>
      </w:r>
    </w:p>
    <w:p>
      <w:pPr>
        <w:spacing w:after="0" w:line="239" w:lineRule="exact"/>
        <w:rPr>
          <w:sz w:val="20"/>
          <w:szCs w:val="20"/>
          <w:color w:val="auto"/>
        </w:rPr>
      </w:pPr>
    </w:p>
    <w:p>
      <w:pPr>
        <w:ind w:right="40" w:firstLine="656"/>
        <w:spacing w:after="0" w:line="247" w:lineRule="auto"/>
        <w:tabs>
          <w:tab w:leader="none" w:pos="1482" w:val="left"/>
        </w:tabs>
        <w:numPr>
          <w:ilvl w:val="0"/>
          <w:numId w:val="286"/>
        </w:numPr>
        <w:rPr>
          <w:rFonts w:ascii="Arial" w:cs="Arial" w:eastAsia="Arial" w:hAnsi="Arial"/>
          <w:sz w:val="21"/>
          <w:szCs w:val="21"/>
          <w:color w:val="auto"/>
        </w:rPr>
      </w:pPr>
      <w:r>
        <w:rPr>
          <w:rFonts w:ascii="Arial" w:cs="Arial" w:eastAsia="Arial" w:hAnsi="Arial"/>
          <w:sz w:val="21"/>
          <w:szCs w:val="21"/>
          <w:u w:val="single" w:color="auto"/>
          <w:color w:val="auto"/>
        </w:rPr>
        <w:t>Exchange Offer Registration Statement</w:t>
      </w:r>
      <w:r>
        <w:rPr>
          <w:rFonts w:ascii="Arial" w:cs="Arial" w:eastAsia="Arial" w:hAnsi="Arial"/>
          <w:sz w:val="21"/>
          <w:szCs w:val="21"/>
          <w:color w:val="auto"/>
        </w:rPr>
        <w:t>. In connection with the Exchange Offer, each Holder (if applicable) shall comply with clause (z)(ii) below and the Issuers and the Guarantors shall (x) comply with all applicable provisions of Section 6(c) below, (y) use all commercially reasonable efforts to effect such exchange and to permit the resale of Initial Exchange Notes by Broker-Dealers that tendered Initial Notes into the Exchange Offer that such Broker-Dealer acquired for its own account as a result of its market making activities or other trading activities (other than Initial Notes acquired directly from the Issuers or any of their respective Affiliates) being sold in accordance with th e intended method or methods of distribution thereof, and (z) comply with all of the following provisions:</w:t>
      </w:r>
    </w:p>
    <w:p>
      <w:pPr>
        <w:spacing w:after="0" w:line="205" w:lineRule="exact"/>
        <w:rPr>
          <w:rFonts w:ascii="Arial" w:cs="Arial" w:eastAsia="Arial" w:hAnsi="Arial"/>
          <w:sz w:val="21"/>
          <w:szCs w:val="21"/>
          <w:color w:val="auto"/>
        </w:rPr>
      </w:pPr>
    </w:p>
    <w:p>
      <w:pPr>
        <w:ind w:left="660" w:right="280" w:firstLine="807"/>
        <w:spacing w:after="0"/>
        <w:tabs>
          <w:tab w:leader="none" w:pos="2269" w:val="left"/>
        </w:tabs>
        <w:numPr>
          <w:ilvl w:val="1"/>
          <w:numId w:val="286"/>
        </w:numPr>
        <w:rPr>
          <w:rFonts w:ascii="Arial" w:cs="Arial" w:eastAsia="Arial" w:hAnsi="Arial"/>
          <w:sz w:val="22"/>
          <w:szCs w:val="22"/>
          <w:color w:val="auto"/>
        </w:rPr>
      </w:pPr>
      <w:r>
        <w:rPr>
          <w:rFonts w:ascii="Arial" w:cs="Arial" w:eastAsia="Arial" w:hAnsi="Arial"/>
          <w:sz w:val="22"/>
          <w:szCs w:val="22"/>
          <w:color w:val="auto"/>
        </w:rPr>
        <w:t>If, following the date hereof there has been announced a change in Commission policy with respect to exchange offers such as the Exchange Offer that, in the reasonable opinion of counsel to the Issuers, raises a substantial question as to</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04" w:right="299" w:bottom="1440" w:gutter="0" w:footer="0" w:header="0"/>
        </w:sectPr>
      </w:pPr>
    </w:p>
    <w:bookmarkStart w:id="214" w:name="page215"/>
    <w:bookmarkEnd w:id="214"/>
    <w:p>
      <w:pPr>
        <w:ind w:right="80"/>
        <w:spacing w:after="0" w:line="272" w:lineRule="auto"/>
        <w:rPr>
          <w:sz w:val="20"/>
          <w:szCs w:val="20"/>
          <w:color w:val="auto"/>
        </w:rPr>
      </w:pPr>
      <w:r>
        <w:rPr>
          <w:rFonts w:ascii="Arial" w:cs="Arial" w:eastAsia="Arial" w:hAnsi="Arial"/>
          <w:sz w:val="19"/>
          <w:szCs w:val="19"/>
          <w:color w:val="auto"/>
        </w:rPr>
        <w:t>whether the Exchange Offer is permitted by applicable federal law, the Issuers and the Guarantors hereby agree to (A) seek a no-action letter or other favorable decision from the Commission allowing the Issuers and the Guarantors to Consummate an Exchange Offer for such Transfer Restricted Securities or (B) file, in accordance with Section 4(a) hereof, a Shelf Registration Statement to permit the registration and/or resale of the Transfer Restricted Securities that would otherwise be covered by the Exchange Offer Registration Statement but for the announcement of a change in Commission policy. In the case of clause (A) above, the Issuers and the Guarantors hereby agree to use all commercially reasonable efforts to pursue the issuance of such a decision to the Commission staff level. In connection with the for egoing, the Issuers and the Guarantors hereby agree to take all such other commercially reasonable actions as may be requested by the Commission or otherwise required in connection with the issuance of such decision, including, without limitation, (A) participating in telephonic conferences with the Commission, (B) delivering to the Commission staff an analysis prepared by counsel to the Issuers setting forth the legal bases, if any, upon which such counsel has concluded that such an Exchange Offer should be permitted and (C) diligently pursuing a resolution (which need not be favorable) by the Commission staff.</w:t>
      </w:r>
    </w:p>
    <w:p>
      <w:pPr>
        <w:spacing w:after="0" w:line="189" w:lineRule="exact"/>
        <w:rPr>
          <w:sz w:val="20"/>
          <w:szCs w:val="20"/>
          <w:color w:val="auto"/>
        </w:rPr>
      </w:pPr>
    </w:p>
    <w:p>
      <w:pPr>
        <w:ind w:firstLine="807"/>
        <w:spacing w:after="0" w:line="270" w:lineRule="auto"/>
        <w:tabs>
          <w:tab w:leader="none" w:pos="1657" w:val="left"/>
        </w:tabs>
        <w:numPr>
          <w:ilvl w:val="0"/>
          <w:numId w:val="287"/>
        </w:numPr>
        <w:rPr>
          <w:rFonts w:ascii="Arial" w:cs="Arial" w:eastAsia="Arial" w:hAnsi="Arial"/>
          <w:sz w:val="19"/>
          <w:szCs w:val="19"/>
          <w:color w:val="auto"/>
        </w:rPr>
      </w:pPr>
      <w:r>
        <w:rPr>
          <w:rFonts w:ascii="Arial" w:cs="Arial" w:eastAsia="Arial" w:hAnsi="Arial"/>
          <w:sz w:val="19"/>
          <w:szCs w:val="19"/>
          <w:color w:val="auto"/>
        </w:rPr>
        <w:t xml:space="preserve">As a condition to its participation in the Exchange Offer, each Holder of Transfer Restricted Securities (including, without limitation, any Holder who is a Broker-Dealer) shall furnish, upon the request of the Issuers, prior to the Consummation of the Exchange Offer, a written representation to the Issuers and the Guarantors (which may be contained in the letter of transmittal contemplated by the Exchange Offer Registration Statement) to the effect that (A) it is not an Affiliate of either of the Issuers, (B) it is not engaged in, and does not intend to engage in, and has no arrangement or understanding with any person to participate in, a distribution of the Initial Exchange Notes to be issued in the Exchange Offer, (C) it is acquiring the Initia l Exchange Notes in its ordinary course of business and (D) only if such Holder is a Broker-Dealer that will receive Initial Exchange Notes in exchange for Initial Notes in the Exchange Offer that such Broker-Dealer acquired for its own account as a result of market-making activities or other trading activities, it shall deliver the Prospectus included in the Exchange Offer Registration Statement, as required by law, in connection with any sale of such Initial Exchange Notes. As a condition to its participation in the Exchange Offer each Holder using the Exchange Offer to participate in a distribution of the Initial Exchange Notes shall acknowledge and agree that, if the resales are of Initial Exchange Notes obtained by such Holder in exchange for Initial Notes acquired directly from the Issuers or an Affiliate thereof, it (1) could not, under Commission policy as in effect on the date of this Agreement, rely on the position of the Commission enunciated in Exxon Capital Holdings Corporation (available May 13, 1988) and </w:t>
      </w:r>
      <w:r>
        <w:rPr>
          <w:rFonts w:ascii="Arial" w:cs="Arial" w:eastAsia="Arial" w:hAnsi="Arial"/>
          <w:sz w:val="19"/>
          <w:szCs w:val="19"/>
          <w:u w:val="single" w:color="auto"/>
          <w:color w:val="auto"/>
        </w:rPr>
        <w:t>Morgan Stanley and Co., Inc.</w:t>
      </w:r>
      <w:r>
        <w:rPr>
          <w:rFonts w:ascii="Arial" w:cs="Arial" w:eastAsia="Arial" w:hAnsi="Arial"/>
          <w:sz w:val="19"/>
          <w:szCs w:val="19"/>
          <w:color w:val="auto"/>
        </w:rPr>
        <w:t xml:space="preserve"> (available June 5, 1991) as interpreted in the Commission’s letter to </w:t>
      </w:r>
      <w:r>
        <w:rPr>
          <w:rFonts w:ascii="Arial" w:cs="Arial" w:eastAsia="Arial" w:hAnsi="Arial"/>
          <w:sz w:val="19"/>
          <w:szCs w:val="19"/>
          <w:u w:val="single" w:color="auto"/>
          <w:color w:val="auto"/>
        </w:rPr>
        <w:t>Shearman &amp; Sterling</w:t>
      </w:r>
      <w:r>
        <w:rPr>
          <w:rFonts w:ascii="Arial" w:cs="Arial" w:eastAsia="Arial" w:hAnsi="Arial"/>
          <w:sz w:val="19"/>
          <w:szCs w:val="19"/>
          <w:color w:val="auto"/>
        </w:rPr>
        <w:t xml:space="preserve"> dated July 2, 1993, and similar no-action letters (including, if applicable, any no-action letter obtained pursuant to clause (i) above), and (2) must comply with the registration and prospectus delivery requirements of the Act in connection with a secondary resale transaction and that such a secondary resale transaction must be covered by an effective registration statement containing the selling security holder information required by Item 507 or 508 of Regulation S-K, as applicable, of the Act.</w:t>
      </w:r>
    </w:p>
    <w:p>
      <w:pPr>
        <w:spacing w:after="0" w:line="200" w:lineRule="exact"/>
        <w:rPr>
          <w:sz w:val="20"/>
          <w:szCs w:val="20"/>
          <w:color w:val="auto"/>
        </w:rPr>
      </w:pPr>
    </w:p>
    <w:p>
      <w:pPr>
        <w:spacing w:after="0" w:line="385"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76835</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510" w:right="239" w:bottom="1440" w:gutter="0" w:footer="0" w:header="0"/>
        </w:sectPr>
      </w:pPr>
    </w:p>
    <w:bookmarkStart w:id="215" w:name="page216"/>
    <w:bookmarkEnd w:id="215"/>
    <w:p>
      <w:pPr>
        <w:ind w:left="660" w:right="20" w:firstLine="807"/>
        <w:spacing w:after="0" w:line="272" w:lineRule="auto"/>
        <w:tabs>
          <w:tab w:leader="none" w:pos="2385" w:val="left"/>
        </w:tabs>
        <w:numPr>
          <w:ilvl w:val="1"/>
          <w:numId w:val="288"/>
        </w:numPr>
        <w:rPr>
          <w:rFonts w:ascii="Arial" w:cs="Arial" w:eastAsia="Arial" w:hAnsi="Arial"/>
          <w:sz w:val="19"/>
          <w:szCs w:val="19"/>
          <w:color w:val="auto"/>
        </w:rPr>
      </w:pPr>
      <w:r>
        <w:rPr>
          <w:rFonts w:ascii="Arial" w:cs="Arial" w:eastAsia="Arial" w:hAnsi="Arial"/>
          <w:sz w:val="19"/>
          <w:szCs w:val="19"/>
          <w:color w:val="auto"/>
        </w:rPr>
        <w:t xml:space="preserve">To the extent required by Commission policies and procedures, prior to effectiveness of the Exchange Offer Registration Statement, the Issuers and the Guarantors shall provide a supplemental letter to the Commission (A) stating that the Issuers and the Guarantors are registering the Exchange Offer in reliance on the position of the Commission enunciated in </w:t>
      </w:r>
      <w:r>
        <w:rPr>
          <w:rFonts w:ascii="Arial" w:cs="Arial" w:eastAsia="Arial" w:hAnsi="Arial"/>
          <w:sz w:val="19"/>
          <w:szCs w:val="19"/>
          <w:u w:val="single" w:color="auto"/>
          <w:color w:val="auto"/>
        </w:rPr>
        <w:t>Exxon Capital Holdings Corporation</w:t>
      </w:r>
      <w:r>
        <w:rPr>
          <w:rFonts w:ascii="Arial" w:cs="Arial" w:eastAsia="Arial" w:hAnsi="Arial"/>
          <w:sz w:val="19"/>
          <w:szCs w:val="19"/>
          <w:color w:val="auto"/>
        </w:rPr>
        <w:t xml:space="preserve"> (available May 13, 1988) and </w:t>
      </w:r>
      <w:r>
        <w:rPr>
          <w:rFonts w:ascii="Arial" w:cs="Arial" w:eastAsia="Arial" w:hAnsi="Arial"/>
          <w:sz w:val="19"/>
          <w:szCs w:val="19"/>
          <w:u w:val="single" w:color="auto"/>
          <w:color w:val="auto"/>
        </w:rPr>
        <w:t>Morgan Stanley and Co., Inc.</w:t>
      </w:r>
      <w:r>
        <w:rPr>
          <w:rFonts w:ascii="Arial" w:cs="Arial" w:eastAsia="Arial" w:hAnsi="Arial"/>
          <w:sz w:val="19"/>
          <w:szCs w:val="19"/>
          <w:color w:val="auto"/>
        </w:rPr>
        <w:t xml:space="preserve"> (available June 5, 1991) as interpreted in the Commission’s letter to </w:t>
      </w:r>
      <w:r>
        <w:rPr>
          <w:rFonts w:ascii="Arial" w:cs="Arial" w:eastAsia="Arial" w:hAnsi="Arial"/>
          <w:sz w:val="19"/>
          <w:szCs w:val="19"/>
          <w:u w:val="single" w:color="auto"/>
          <w:color w:val="auto"/>
        </w:rPr>
        <w:t>Shearman &amp; Sterling</w:t>
      </w:r>
      <w:r>
        <w:rPr>
          <w:rFonts w:ascii="Arial" w:cs="Arial" w:eastAsia="Arial" w:hAnsi="Arial"/>
          <w:sz w:val="19"/>
          <w:szCs w:val="19"/>
          <w:color w:val="auto"/>
        </w:rPr>
        <w:t xml:space="preserve"> dated July 2, 1993, and, if applicable, any no-action letter obtained pursuant to clause (i) above, (B) including a representation that neither of the Issuers nor any Guarantor has entered into any arrangement or understanding with any Person to distribute the Initial Exchange Notes to be received in the Exchange Offer and that, to the best of each Issuer’s and each Guarantor’s information and belief, each Holder participating in the Exchange Offer is acquiring the Initial Exchange Notes in its ordinary course of business and has no arrangement or understanding with any Person to participate in the distribution of the Initial Exchange Notes received in the Exchange Offer and (C) making any other commercially reasonable undertaking or representation required by the Commission as set forth in any no-action letter obtained pursuant to clause (i) above, if applicable.</w:t>
      </w:r>
    </w:p>
    <w:p>
      <w:pPr>
        <w:spacing w:after="0" w:line="188" w:lineRule="exact"/>
        <w:rPr>
          <w:rFonts w:ascii="Arial" w:cs="Arial" w:eastAsia="Arial" w:hAnsi="Arial"/>
          <w:sz w:val="19"/>
          <w:szCs w:val="19"/>
          <w:color w:val="auto"/>
        </w:rPr>
      </w:pPr>
    </w:p>
    <w:p>
      <w:pPr>
        <w:ind w:left="1500" w:hanging="844"/>
        <w:spacing w:after="0"/>
        <w:tabs>
          <w:tab w:leader="none" w:pos="1500" w:val="left"/>
        </w:tabs>
        <w:numPr>
          <w:ilvl w:val="0"/>
          <w:numId w:val="289"/>
        </w:numPr>
        <w:rPr>
          <w:rFonts w:ascii="Arial" w:cs="Arial" w:eastAsia="Arial" w:hAnsi="Arial"/>
          <w:sz w:val="19"/>
          <w:szCs w:val="19"/>
          <w:color w:val="auto"/>
        </w:rPr>
      </w:pPr>
      <w:r>
        <w:rPr>
          <w:rFonts w:ascii="Arial" w:cs="Arial" w:eastAsia="Arial" w:hAnsi="Arial"/>
          <w:sz w:val="19"/>
          <w:szCs w:val="19"/>
          <w:u w:val="single" w:color="auto"/>
          <w:color w:val="auto"/>
        </w:rPr>
        <w:t>Shelf Registration Statement</w:t>
      </w:r>
      <w:r>
        <w:rPr>
          <w:rFonts w:ascii="Arial" w:cs="Arial" w:eastAsia="Arial" w:hAnsi="Arial"/>
          <w:sz w:val="19"/>
          <w:szCs w:val="19"/>
          <w:color w:val="auto"/>
        </w:rPr>
        <w:t>. In connection with the Shelf Registration Statement, the Issuers and the Guarantors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shall:</w:t>
      </w:r>
    </w:p>
    <w:p>
      <w:pPr>
        <w:spacing w:after="0" w:line="215" w:lineRule="exact"/>
        <w:rPr>
          <w:sz w:val="20"/>
          <w:szCs w:val="20"/>
          <w:color w:val="auto"/>
        </w:rPr>
      </w:pPr>
    </w:p>
    <w:p>
      <w:pPr>
        <w:ind w:left="760" w:right="20" w:firstLine="761"/>
        <w:spacing w:after="0" w:line="277" w:lineRule="auto"/>
        <w:tabs>
          <w:tab w:leader="none" w:pos="2314" w:val="left"/>
        </w:tabs>
        <w:numPr>
          <w:ilvl w:val="2"/>
          <w:numId w:val="290"/>
        </w:numPr>
        <w:rPr>
          <w:rFonts w:ascii="Arial" w:cs="Arial" w:eastAsia="Arial" w:hAnsi="Arial"/>
          <w:sz w:val="19"/>
          <w:szCs w:val="19"/>
          <w:color w:val="auto"/>
        </w:rPr>
      </w:pPr>
      <w:r>
        <w:rPr>
          <w:rFonts w:ascii="Arial" w:cs="Arial" w:eastAsia="Arial" w:hAnsi="Arial"/>
          <w:sz w:val="19"/>
          <w:szCs w:val="19"/>
          <w:color w:val="auto"/>
        </w:rPr>
        <w:t>comply with all the provisions of Section 6(c) below and use all commercially reasonable efforts to effect such registration to permit the sale of the Transfer Restricted Securities being sold in accordance with the intended method or methods of distribution thereof (as indicated in the information furnished to the Issuers pursuant to Section 4(b) hereof), and pursuant thereto the Issuers and the Guarantors will prepare and file with the Commission a Shelf Registration Statement relating to the registration on any appropriate form under the Act, which form shall be available for the sale of the Transfer Restricted Securities in accordance with the intended method or methods of distribution thereof within the time periods and otherwise in accordance with the provisions hereof, and</w:t>
      </w:r>
    </w:p>
    <w:p>
      <w:pPr>
        <w:spacing w:after="0" w:line="179" w:lineRule="exact"/>
        <w:rPr>
          <w:rFonts w:ascii="Arial" w:cs="Arial" w:eastAsia="Arial" w:hAnsi="Arial"/>
          <w:sz w:val="19"/>
          <w:szCs w:val="19"/>
          <w:color w:val="auto"/>
        </w:rPr>
      </w:pPr>
    </w:p>
    <w:p>
      <w:pPr>
        <w:ind w:left="760" w:firstLine="761"/>
        <w:spacing w:after="0" w:line="248" w:lineRule="auto"/>
        <w:tabs>
          <w:tab w:leader="none" w:pos="2375" w:val="left"/>
        </w:tabs>
        <w:numPr>
          <w:ilvl w:val="2"/>
          <w:numId w:val="290"/>
        </w:numPr>
        <w:rPr>
          <w:rFonts w:ascii="Arial" w:cs="Arial" w:eastAsia="Arial" w:hAnsi="Arial"/>
          <w:sz w:val="21"/>
          <w:szCs w:val="21"/>
          <w:color w:val="auto"/>
        </w:rPr>
      </w:pPr>
      <w:r>
        <w:rPr>
          <w:rFonts w:ascii="Arial" w:cs="Arial" w:eastAsia="Arial" w:hAnsi="Arial"/>
          <w:sz w:val="21"/>
          <w:szCs w:val="21"/>
          <w:color w:val="auto"/>
        </w:rPr>
        <w:t>issue, upon request, to any Holder or purchaser of Initial Notes covered by any Shelf Registration Statement contemplated by this Agreement, Initial Exchange Notes having an aggregate principal amount equal to the aggregate principal amount of Initial Notes sold pursuant to the Shelf Registration Statement and surrendered to the Issuers for cancellation; the Issuers shall register Initial Exchange Notes on the Shelf Registration Statement for this purpose and issue the Initial Exchange Notes to the purchaser(s) of securities subject to the Shelf Registration Statement in the names as such purchaser(s) shall designate.</w:t>
      </w:r>
    </w:p>
    <w:p>
      <w:pPr>
        <w:spacing w:after="0" w:line="204" w:lineRule="exact"/>
        <w:rPr>
          <w:rFonts w:ascii="Arial" w:cs="Arial" w:eastAsia="Arial" w:hAnsi="Arial"/>
          <w:sz w:val="21"/>
          <w:szCs w:val="21"/>
          <w:color w:val="auto"/>
        </w:rPr>
      </w:pPr>
    </w:p>
    <w:p>
      <w:pPr>
        <w:ind w:right="320" w:firstLine="656"/>
        <w:spacing w:after="0" w:line="251" w:lineRule="auto"/>
        <w:tabs>
          <w:tab w:leader="none" w:pos="1482" w:val="left"/>
        </w:tabs>
        <w:numPr>
          <w:ilvl w:val="0"/>
          <w:numId w:val="291"/>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r>
        <w:rPr>
          <w:rFonts w:ascii="Arial" w:cs="Arial" w:eastAsia="Arial" w:hAnsi="Arial"/>
          <w:sz w:val="22"/>
          <w:szCs w:val="22"/>
          <w:color w:val="auto"/>
        </w:rPr>
        <w:t>. In connection with any Registration Statement and any related Prospectus required by this Agreement, the Issuers and the Guarantors shall:</w:t>
      </w:r>
    </w:p>
    <w:p>
      <w:pPr>
        <w:spacing w:after="0" w:line="200" w:lineRule="exact"/>
        <w:rPr>
          <w:rFonts w:ascii="Arial" w:cs="Arial" w:eastAsia="Arial" w:hAnsi="Arial"/>
          <w:sz w:val="22"/>
          <w:szCs w:val="22"/>
          <w:color w:val="auto"/>
        </w:rPr>
      </w:pPr>
    </w:p>
    <w:p>
      <w:pPr>
        <w:jc w:val="both"/>
        <w:ind w:left="660" w:right="220" w:firstLine="807"/>
        <w:spacing w:after="0"/>
        <w:tabs>
          <w:tab w:leader="none" w:pos="2269" w:val="left"/>
        </w:tabs>
        <w:numPr>
          <w:ilvl w:val="1"/>
          <w:numId w:val="291"/>
        </w:numPr>
        <w:rPr>
          <w:rFonts w:ascii="Arial" w:cs="Arial" w:eastAsia="Arial" w:hAnsi="Arial"/>
          <w:sz w:val="22"/>
          <w:szCs w:val="22"/>
          <w:color w:val="auto"/>
        </w:rPr>
      </w:pPr>
      <w:r>
        <w:rPr>
          <w:rFonts w:ascii="Arial" w:cs="Arial" w:eastAsia="Arial" w:hAnsi="Arial"/>
          <w:sz w:val="22"/>
          <w:szCs w:val="22"/>
          <w:color w:val="auto"/>
        </w:rPr>
        <w:t>use all commercially reasonable efforts to keep such Registration Statement continuously effective and provide all requisite financial statements for the period specified in Section 3 or 4 of this Agreement, as applicable. Upon the occurrence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6" w:name="page217"/>
    <w:bookmarkEnd w:id="216"/>
    <w:p>
      <w:pPr>
        <w:ind w:right="60"/>
        <w:spacing w:after="0" w:line="273" w:lineRule="auto"/>
        <w:rPr>
          <w:sz w:val="20"/>
          <w:szCs w:val="20"/>
          <w:color w:val="auto"/>
        </w:rPr>
      </w:pPr>
      <w:r>
        <w:rPr>
          <w:rFonts w:ascii="Arial" w:cs="Arial" w:eastAsia="Arial" w:hAnsi="Arial"/>
          <w:sz w:val="19"/>
          <w:szCs w:val="19"/>
          <w:color w:val="auto"/>
        </w:rPr>
        <w:t>of any event that would cause any such Registration Statement or Prospectus contained therein (A) to contain an untrue statement of material fact or omit to state any material fact necessary to make the statements therein (and in the case of the Prospectus or any supplement thereto, in light of the circumstances under which they were made) not misleading or (B) not to be effective and usable for resale of Transfer Restricted Securities during the period required by this Agreement, the Issuers and the Guarantors shall file as soon as practicable, subject to any applicable Suspension Period, an appropriate amendment to such Registration Statement curing such defect, and, if Commission review is required, use all commercially reasonable efforts to cause such amendment to be declared effective as soon as practicable. If at any time the Commission shall issue any stop order suspending the effectiveness of the Registration Statement, or any state securities commission or other regulatory authority shall issue an order suspending the qualification or exemption from qualification of the Transfer Restricted Securities under state securities or Blue Sky laws, the Issuers and the Guarantors shall use all commercially reasonable efforts to obtain the withdrawal or lifting of such order at the earliest possible time;</w:t>
      </w:r>
    </w:p>
    <w:p>
      <w:pPr>
        <w:spacing w:after="0" w:line="183" w:lineRule="exact"/>
        <w:rPr>
          <w:sz w:val="20"/>
          <w:szCs w:val="20"/>
          <w:color w:val="auto"/>
        </w:rPr>
      </w:pPr>
    </w:p>
    <w:p>
      <w:pPr>
        <w:ind w:right="60" w:firstLine="807"/>
        <w:spacing w:after="0" w:line="275" w:lineRule="auto"/>
        <w:tabs>
          <w:tab w:leader="none" w:pos="1669" w:val="left"/>
        </w:tabs>
        <w:numPr>
          <w:ilvl w:val="0"/>
          <w:numId w:val="292"/>
        </w:numPr>
        <w:rPr>
          <w:rFonts w:ascii="Arial" w:cs="Arial" w:eastAsia="Arial" w:hAnsi="Arial"/>
          <w:sz w:val="19"/>
          <w:szCs w:val="19"/>
          <w:color w:val="auto"/>
        </w:rPr>
      </w:pPr>
      <w:r>
        <w:rPr>
          <w:rFonts w:ascii="Arial" w:cs="Arial" w:eastAsia="Arial" w:hAnsi="Arial"/>
          <w:sz w:val="19"/>
          <w:szCs w:val="19"/>
          <w:color w:val="auto"/>
        </w:rPr>
        <w:t>(A) prepare and file with the Commission such amendments and post-effective amendments to the applicable Registration Statement as may be necessary to keep such Registration Statement effective for the applicable period set forth in Section 3 or 4 hereof, as the case may be, subject to any applicable Suspension Period; (B) cause the Prospectus to be supplemented by any required Prospectus supplement, and as so supplemented to be filed pursuant to Rule 424 under the Act, and to comply fully with Rules 424, 430A, 430B and 462, as applicable, under the Act in a timely manner; and (C) comply with the provisions of the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w:t>
      </w:r>
    </w:p>
    <w:p>
      <w:pPr>
        <w:spacing w:after="0" w:line="185" w:lineRule="exact"/>
        <w:rPr>
          <w:rFonts w:ascii="Arial" w:cs="Arial" w:eastAsia="Arial" w:hAnsi="Arial"/>
          <w:sz w:val="19"/>
          <w:szCs w:val="19"/>
          <w:color w:val="auto"/>
        </w:rPr>
      </w:pPr>
    </w:p>
    <w:p>
      <w:pPr>
        <w:ind w:firstLine="807"/>
        <w:spacing w:after="0" w:line="244" w:lineRule="auto"/>
        <w:tabs>
          <w:tab w:leader="none" w:pos="1675" w:val="left"/>
        </w:tabs>
        <w:numPr>
          <w:ilvl w:val="0"/>
          <w:numId w:val="292"/>
        </w:numPr>
        <w:rPr>
          <w:rFonts w:ascii="Arial" w:cs="Arial" w:eastAsia="Arial" w:hAnsi="Arial"/>
          <w:sz w:val="21"/>
          <w:szCs w:val="21"/>
          <w:color w:val="auto"/>
        </w:rPr>
      </w:pPr>
      <w:r>
        <w:rPr>
          <w:rFonts w:ascii="Arial" w:cs="Arial" w:eastAsia="Arial" w:hAnsi="Arial"/>
          <w:sz w:val="21"/>
          <w:szCs w:val="21"/>
          <w:color w:val="auto"/>
        </w:rPr>
        <w:t>advise each Holder promptly and, if requested by such Holder, confirm such advice in writing, (A) when the Prospectus or any Prospectus supplement or post-effective amendment has been filed, and, with respect to any applicable Registration Statement or any post-effective amendment thereto, when the same has become effective, (B) of any request by the Commission for amendments to the Registration Statement or amendments or supplements to the Prospectus or for additional information relating thereto, (C) of the issuance by the Commission of any stop order suspending the effectiveness of the Registration Statement under the Act or of the suspension by any state securities commission of the qualification of the Transfer Restricted Securities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in order to make the statements therein (and in the case of the Prospectus or any supplement thereto, in light of the circumstances under which they were made) not misleading, or that requires the making of any additions to or changes 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76835</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900" w:top="510" w:right="259" w:bottom="1440" w:gutter="0" w:footer="0" w:header="0"/>
        </w:sectPr>
      </w:pPr>
    </w:p>
    <w:bookmarkStart w:id="217" w:name="page218"/>
    <w:bookmarkEnd w:id="217"/>
    <w:p>
      <w:pPr>
        <w:ind w:right="280"/>
        <w:spacing w:after="0" w:line="251" w:lineRule="auto"/>
        <w:rPr>
          <w:sz w:val="20"/>
          <w:szCs w:val="20"/>
          <w:color w:val="auto"/>
        </w:rPr>
      </w:pPr>
      <w:r>
        <w:rPr>
          <w:rFonts w:ascii="Arial" w:cs="Arial" w:eastAsia="Arial" w:hAnsi="Arial"/>
          <w:sz w:val="22"/>
          <w:szCs w:val="22"/>
          <w:color w:val="auto"/>
        </w:rPr>
        <w:t>the Prospectus in order to make the statements therein, in the light of the circumstances under which they were made, not misleading and (E) of any Suspension Period;</w:t>
      </w:r>
    </w:p>
    <w:p>
      <w:pPr>
        <w:spacing w:after="0" w:line="200" w:lineRule="exact"/>
        <w:rPr>
          <w:sz w:val="20"/>
          <w:szCs w:val="20"/>
          <w:color w:val="auto"/>
        </w:rPr>
      </w:pPr>
    </w:p>
    <w:p>
      <w:pPr>
        <w:ind w:right="220" w:firstLine="807"/>
        <w:spacing w:after="0" w:line="279" w:lineRule="auto"/>
        <w:tabs>
          <w:tab w:leader="none" w:pos="1663" w:val="left"/>
        </w:tabs>
        <w:numPr>
          <w:ilvl w:val="0"/>
          <w:numId w:val="293"/>
        </w:numPr>
        <w:rPr>
          <w:rFonts w:ascii="Arial" w:cs="Arial" w:eastAsia="Arial" w:hAnsi="Arial"/>
          <w:sz w:val="19"/>
          <w:szCs w:val="19"/>
          <w:color w:val="auto"/>
        </w:rPr>
      </w:pPr>
      <w:r>
        <w:rPr>
          <w:rFonts w:ascii="Arial" w:cs="Arial" w:eastAsia="Arial" w:hAnsi="Arial"/>
          <w:sz w:val="19"/>
          <w:szCs w:val="19"/>
          <w:color w:val="auto"/>
        </w:rPr>
        <w:t>subject to Section 6(c)(i), if any fact or event contemplated by Section 6(c)(iii)(D) above shall exist or have occurred, prepare as soon as practicable, subject to any applicable Suspension Period, a supplement or post-effective amendment to the Registration Statement or related Prospectus or any document incorporated therein by reference or file any other required document so that, as thereafter delivered to the purchasers of Transfer Restricted Securities, the Prospectus will not contain an untrue statement of a material fact or omit to state any material fact necessary to make the statements therein, in the light of the circumstances under which they were made, not misleading;</w:t>
      </w:r>
    </w:p>
    <w:p>
      <w:pPr>
        <w:spacing w:after="0" w:line="177" w:lineRule="exact"/>
        <w:rPr>
          <w:rFonts w:ascii="Arial" w:cs="Arial" w:eastAsia="Arial" w:hAnsi="Arial"/>
          <w:sz w:val="19"/>
          <w:szCs w:val="19"/>
          <w:color w:val="auto"/>
        </w:rPr>
      </w:pPr>
    </w:p>
    <w:p>
      <w:pPr>
        <w:ind w:firstLine="807"/>
        <w:spacing w:after="0" w:line="271" w:lineRule="auto"/>
        <w:tabs>
          <w:tab w:leader="none" w:pos="1657" w:val="left"/>
        </w:tabs>
        <w:numPr>
          <w:ilvl w:val="0"/>
          <w:numId w:val="293"/>
        </w:numPr>
        <w:rPr>
          <w:rFonts w:ascii="Arial" w:cs="Arial" w:eastAsia="Arial" w:hAnsi="Arial"/>
          <w:sz w:val="19"/>
          <w:szCs w:val="19"/>
          <w:color w:val="auto"/>
        </w:rPr>
      </w:pPr>
      <w:r>
        <w:rPr>
          <w:rFonts w:ascii="Arial" w:cs="Arial" w:eastAsia="Arial" w:hAnsi="Arial"/>
          <w:sz w:val="19"/>
          <w:szCs w:val="19"/>
          <w:color w:val="auto"/>
        </w:rPr>
        <w:t xml:space="preserve">furnish to counsel for the Dealer Managers provided in Section 7(b) (on behalf of the Holders) and to each Shelf Holder, in each case, in connection with such exchange or sale, if any, before filing with the Commission, copies of any Registration Statement (in the case of such counsel (on behalf of the Holders)) or of any Shelf Registration Statement (in the case of any such Shelf Holder) or any Prospectus included therein or any amendments or supplements to any such Registration Statement or Prospectus (including, upon request, all documents incorporated by reference after the initial filing of such Registration Statement), which documents will be subject to the review and comment of such counsel (on behalf of the Holders) or, if applicable, such S helf Holders in connection with such sale, if any, for a period of at least three Business Days, and the Issuers shall reasonably consider and shall use all commercially reasonable efforts to reflect in each such document, when filed with the Commission, any such comments that such counsel (on behalf of the Holders) or, if applicable, such Shelf Holders shall reasonably propose prior to the expiration of such three Business Day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Issuers need not furnish (A) any amendment or supplement to any Registration Statement that solely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names a Holder as a selling securityholder therein or (B) the first filing of the Exchange Offer Registration Statement;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further</w:t>
      </w:r>
      <w:r>
        <w:rPr>
          <w:rFonts w:ascii="Arial" w:cs="Arial" w:eastAsia="Arial" w:hAnsi="Arial"/>
          <w:sz w:val="19"/>
          <w:szCs w:val="19"/>
          <w:color w:val="auto"/>
        </w:rPr>
        <w:t>, that the Issuers shall furnish to any Shelf Holder any amendment or supplement to an eff ective Shelf</w:t>
      </w:r>
      <w:r>
        <w:rPr>
          <w:rFonts w:ascii="Arial" w:cs="Arial" w:eastAsia="Arial" w:hAnsi="Arial"/>
          <w:sz w:val="19"/>
          <w:szCs w:val="19"/>
          <w:i w:val="1"/>
          <w:iCs w:val="1"/>
          <w:color w:val="auto"/>
        </w:rPr>
        <w:t xml:space="preserve"> </w:t>
      </w:r>
      <w:r>
        <w:rPr>
          <w:rFonts w:ascii="Arial" w:cs="Arial" w:eastAsia="Arial" w:hAnsi="Arial"/>
          <w:sz w:val="19"/>
          <w:szCs w:val="19"/>
          <w:color w:val="auto"/>
        </w:rPr>
        <w:t>Registration Statement that names such Shelf Holder as a selling securityholder therein;</w:t>
      </w:r>
    </w:p>
    <w:p>
      <w:pPr>
        <w:spacing w:after="0" w:line="192" w:lineRule="exact"/>
        <w:rPr>
          <w:rFonts w:ascii="Arial" w:cs="Arial" w:eastAsia="Arial" w:hAnsi="Arial"/>
          <w:sz w:val="19"/>
          <w:szCs w:val="19"/>
          <w:color w:val="auto"/>
        </w:rPr>
      </w:pPr>
    </w:p>
    <w:p>
      <w:pPr>
        <w:ind w:right="100" w:firstLine="807"/>
        <w:spacing w:after="0" w:line="246" w:lineRule="auto"/>
        <w:tabs>
          <w:tab w:leader="none" w:pos="1663" w:val="left"/>
        </w:tabs>
        <w:numPr>
          <w:ilvl w:val="0"/>
          <w:numId w:val="293"/>
        </w:numPr>
        <w:rPr>
          <w:rFonts w:ascii="Arial" w:cs="Arial" w:eastAsia="Arial" w:hAnsi="Arial"/>
          <w:sz w:val="21"/>
          <w:szCs w:val="21"/>
          <w:color w:val="auto"/>
        </w:rPr>
      </w:pPr>
      <w:r>
        <w:rPr>
          <w:rFonts w:ascii="Arial" w:cs="Arial" w:eastAsia="Arial" w:hAnsi="Arial"/>
          <w:sz w:val="21"/>
          <w:szCs w:val="21"/>
          <w:color w:val="auto"/>
        </w:rPr>
        <w:t xml:space="preserve">upon request, promptly prior to the filing of any document filed with the Commission pursuant to the requirements of Section 13 or Section 15(d) of the Exchange Act that is to be incorporated by reference into a Registration Statement or Prospectus in connection with such exchange or sale, if any, provide copies of such document to counsel for the Dealer Managers provided in Section 7(b) and, in connection with any Shelf Registration Statement, each Shelf Holder, and include such information in such document prior to the filing thereof as such counsel or such Shelf Holder may reasonably request;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this requirement shall not be applicable to any document to be filed by the Issuers in con nection with their periodic reporting requirements under the Exchange Act, including with respect to reports to be filed on Form 8-K, Form 10-Q or Form 10-K;</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76835</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510" w:right="239" w:bottom="1440" w:gutter="0" w:footer="0" w:header="0"/>
        </w:sectPr>
      </w:pPr>
    </w:p>
    <w:bookmarkStart w:id="218" w:name="page219"/>
    <w:bookmarkEnd w:id="218"/>
    <w:p>
      <w:pPr>
        <w:ind w:left="-540" w:firstLine="807"/>
        <w:spacing w:after="0" w:line="269" w:lineRule="auto"/>
        <w:tabs>
          <w:tab w:leader="none" w:pos="1129" w:val="left"/>
        </w:tabs>
        <w:numPr>
          <w:ilvl w:val="0"/>
          <w:numId w:val="294"/>
        </w:numPr>
        <w:rPr>
          <w:rFonts w:ascii="Arial" w:cs="Arial" w:eastAsia="Arial" w:hAnsi="Arial"/>
          <w:sz w:val="19"/>
          <w:szCs w:val="19"/>
          <w:color w:val="auto"/>
        </w:rPr>
      </w:pPr>
      <w:r>
        <w:rPr>
          <w:rFonts w:ascii="Arial" w:cs="Arial" w:eastAsia="Arial" w:hAnsi="Arial"/>
          <w:sz w:val="19"/>
          <w:szCs w:val="19"/>
          <w:color w:val="auto"/>
        </w:rPr>
        <w:t>make available, upon reasonable request and at reasonable times, for inspection by each such Holder who would be an “underwriter” as a result of either (i) the sale by such Holder of Initial Notes covered by such Shelf Registration Statement or (ii) the sale during the period referred to in Section 3(c) above by a Broker-Dealer of Initial Exchange 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Broker-Dealer shall not be deemed to be an underwriter solely as a result of it being required to deliver a Prospectus in connection with any resale of Initial Exchange Notes) and any attorney or accountant retained by any such Holder solely for the purpose of conducting a due diligence investigation in connection with such u nderwritten offering (collectively, the “</w:t>
      </w:r>
      <w:r>
        <w:rPr>
          <w:rFonts w:ascii="Arial" w:cs="Arial" w:eastAsia="Arial" w:hAnsi="Arial"/>
          <w:sz w:val="19"/>
          <w:szCs w:val="19"/>
          <w:b w:val="1"/>
          <w:bCs w:val="1"/>
          <w:u w:val="single" w:color="auto"/>
          <w:color w:val="auto"/>
        </w:rPr>
        <w:t>Inspectors</w:t>
      </w:r>
      <w:r>
        <w:rPr>
          <w:rFonts w:ascii="Arial" w:cs="Arial" w:eastAsia="Arial" w:hAnsi="Arial"/>
          <w:sz w:val="19"/>
          <w:szCs w:val="19"/>
          <w:color w:val="auto"/>
        </w:rPr>
        <w:t>”), at the offices where normally kept, during reasonable business hours, all financial and other records and pertinent corporate and organizational documents of the Issuers, the Guarantors and their respective subsidiaries (collectively, the “</w:t>
      </w:r>
      <w:r>
        <w:rPr>
          <w:rFonts w:ascii="Arial" w:cs="Arial" w:eastAsia="Arial" w:hAnsi="Arial"/>
          <w:sz w:val="19"/>
          <w:szCs w:val="19"/>
          <w:b w:val="1"/>
          <w:bCs w:val="1"/>
          <w:u w:val="single" w:color="auto"/>
          <w:color w:val="auto"/>
        </w:rPr>
        <w:t>Records</w:t>
      </w:r>
      <w:r>
        <w:rPr>
          <w:rFonts w:ascii="Arial" w:cs="Arial" w:eastAsia="Arial" w:hAnsi="Arial"/>
          <w:sz w:val="19"/>
          <w:szCs w:val="19"/>
          <w:color w:val="auto"/>
        </w:rPr>
        <w:t>”) as shall be reasonably necessary to enable them to exercise any applicable due diligence responsibilities, and cause the officers, directors and employees of the Issuers and their subsidiaries to supply all information, in each case, reasonably requested by any such Inspector in connection with such Registration Statement and make such representatives available for discussion with respect to customary due diligence matters. Records which the Issuers determine, in good faith, to be confidential and any Records which they notify the Inspectors are confidential shall not be disclosed by the Inspectors unless (i) the disclosure of such Records is necessary to avoid or correct a material misstatement or omission in such Registration Statement, (ii) the release of such Records is ordered pursuant to a subpoena or other order from a court of competent jurisdiction or (iii) the information in such Records has been generally available to the public. Each selling Holder of such Transfer Restricted Securities and each such Broker-Dealer will be required to agree that information obtained by it as a result of such inspections shall be deemed confidential and shall not be used by it as the basis for any market transactions in the securities of the Issuers unless and until such information is made generally available to the public. Each selling Holder of such Transfer Restricted Securities and each such Broker-Dealer will be required to further agree that it will, upon learning that disclosure of such Rec ords is sought in a court of competent jurisdiction, give notice to the Issuers and allow the Issuers at their expense to undertake appropriate action to prevent disclosure of the Records deemed confidential;</w:t>
      </w: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ind w:left="-540" w:right="120" w:firstLine="807"/>
        <w:spacing w:after="0" w:line="234" w:lineRule="auto"/>
        <w:tabs>
          <w:tab w:leader="none" w:pos="1189" w:val="left"/>
        </w:tabs>
        <w:numPr>
          <w:ilvl w:val="0"/>
          <w:numId w:val="294"/>
        </w:numPr>
        <w:rPr>
          <w:rFonts w:ascii="Arial" w:cs="Arial" w:eastAsia="Arial" w:hAnsi="Arial"/>
          <w:sz w:val="22"/>
          <w:szCs w:val="22"/>
          <w:color w:val="auto"/>
        </w:rPr>
      </w:pPr>
      <w:r>
        <w:rPr>
          <w:rFonts w:ascii="Arial" w:cs="Arial" w:eastAsia="Arial" w:hAnsi="Arial"/>
          <w:sz w:val="22"/>
          <w:szCs w:val="22"/>
          <w:color w:val="auto"/>
        </w:rPr>
        <w:t>if reasonably requested by any Holders in connection with such exchange or sale, promptly include in any Registration Statement or Prospectus, pursuant to a supplement or post-effective amendment if necessary, such information as such Holders may reasonably request to have included therein that is required by the federal securities laws to be so included, including, without limitation, information relating to the “Plan of Distribution” concerning their Transfer Restricted Securities; and make all required filings of such Prospectus supplement or post-effective amendment as soon as practicable after the Issuers are notified of the matters to be included in such Prospectus supplement or post-effective amendment;</w:t>
      </w:r>
    </w:p>
    <w:p>
      <w:pPr>
        <w:spacing w:after="0" w:line="218" w:lineRule="exact"/>
        <w:rPr>
          <w:rFonts w:ascii="Arial" w:cs="Arial" w:eastAsia="Arial" w:hAnsi="Arial"/>
          <w:sz w:val="22"/>
          <w:szCs w:val="22"/>
          <w:color w:val="auto"/>
        </w:rPr>
      </w:pPr>
    </w:p>
    <w:p>
      <w:pPr>
        <w:jc w:val="both"/>
        <w:ind w:left="-540" w:right="280" w:firstLine="807"/>
        <w:spacing w:after="0" w:line="297" w:lineRule="auto"/>
        <w:tabs>
          <w:tab w:leader="none" w:pos="1123" w:val="left"/>
        </w:tabs>
        <w:numPr>
          <w:ilvl w:val="0"/>
          <w:numId w:val="294"/>
        </w:numPr>
        <w:rPr>
          <w:rFonts w:ascii="Arial" w:cs="Arial" w:eastAsia="Arial" w:hAnsi="Arial"/>
          <w:sz w:val="19"/>
          <w:szCs w:val="19"/>
          <w:color w:val="auto"/>
        </w:rPr>
      </w:pPr>
      <w:r>
        <w:rPr>
          <w:rFonts w:ascii="Arial" w:cs="Arial" w:eastAsia="Arial" w:hAnsi="Arial"/>
          <w:sz w:val="19"/>
          <w:szCs w:val="19"/>
          <w:color w:val="auto"/>
        </w:rPr>
        <w:t>upon request, furnish to each Holder in connection with such exchange or sale without charge, at least one copy of the Registration Statement, as first filed with the Commission, and of each amendment thereto, including all documents incorporated by reference therein and all exhibits (including exhibits incorporated therein by reference);</w:t>
      </w:r>
    </w:p>
    <w:p>
      <w:pPr>
        <w:spacing w:after="0" w:line="200" w:lineRule="exact"/>
        <w:rPr>
          <w:sz w:val="20"/>
          <w:szCs w:val="20"/>
          <w:color w:val="auto"/>
        </w:rPr>
      </w:pPr>
    </w:p>
    <w:p>
      <w:pPr>
        <w:spacing w:after="0" w:line="358"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76835</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19" w:name="page220"/>
    <w:bookmarkEnd w:id="219"/>
    <w:p>
      <w:pPr>
        <w:ind w:left="-540" w:right="20" w:firstLine="807"/>
        <w:spacing w:after="0" w:line="277" w:lineRule="auto"/>
        <w:tabs>
          <w:tab w:leader="none" w:pos="1063" w:val="left"/>
        </w:tabs>
        <w:numPr>
          <w:ilvl w:val="0"/>
          <w:numId w:val="295"/>
        </w:numPr>
        <w:rPr>
          <w:rFonts w:ascii="Arial" w:cs="Arial" w:eastAsia="Arial" w:hAnsi="Arial"/>
          <w:sz w:val="19"/>
          <w:szCs w:val="19"/>
          <w:color w:val="auto"/>
        </w:rPr>
      </w:pPr>
      <w:r>
        <w:rPr>
          <w:rFonts w:ascii="Arial" w:cs="Arial" w:eastAsia="Arial" w:hAnsi="Arial"/>
          <w:sz w:val="19"/>
          <w:szCs w:val="19"/>
          <w:color w:val="auto"/>
        </w:rPr>
        <w:t xml:space="preserve">upon request, deliver to each Holder without charge, as many copies of the Prospectus (including each preliminary prospectus) and any amendment or supplement thereto as such Persons reasonably may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copies shall only be provided to (A) Shelf Holders and (B) Broker-Dealers in order to permit the use of the Prospectus contained in the Exchange Offer Registration Statement by such Broker-Dealer to satisfy its prospectus delivery requirements. The Issuers and the Guarantors hereby consent to the use (in accordance with applicable law) of the Prospectus and any amendment or supplement thereto by each selling Holder in connection with the offering and the sale of t he Transfer Restricted Securities covered by the Prospectus or any amendment or supplement thereto;</w:t>
      </w:r>
    </w:p>
    <w:p>
      <w:pPr>
        <w:spacing w:after="0" w:line="179" w:lineRule="exact"/>
        <w:rPr>
          <w:rFonts w:ascii="Arial" w:cs="Arial" w:eastAsia="Arial" w:hAnsi="Arial"/>
          <w:sz w:val="19"/>
          <w:szCs w:val="19"/>
          <w:color w:val="auto"/>
        </w:rPr>
      </w:pPr>
    </w:p>
    <w:p>
      <w:pPr>
        <w:ind w:left="-540" w:right="240" w:firstLine="807"/>
        <w:spacing w:after="0" w:line="277" w:lineRule="auto"/>
        <w:tabs>
          <w:tab w:leader="none" w:pos="1123" w:val="left"/>
        </w:tabs>
        <w:numPr>
          <w:ilvl w:val="0"/>
          <w:numId w:val="295"/>
        </w:numPr>
        <w:rPr>
          <w:rFonts w:ascii="Arial" w:cs="Arial" w:eastAsia="Arial" w:hAnsi="Arial"/>
          <w:sz w:val="19"/>
          <w:szCs w:val="19"/>
          <w:color w:val="auto"/>
        </w:rPr>
      </w:pPr>
      <w:r>
        <w:rPr>
          <w:rFonts w:ascii="Arial" w:cs="Arial" w:eastAsia="Arial" w:hAnsi="Arial"/>
          <w:sz w:val="19"/>
          <w:szCs w:val="19"/>
          <w:color w:val="auto"/>
        </w:rPr>
        <w:t>in connection with an underwritten offering pursuant to a Shelf Registration Statement, upon the reasonable request of Holders aggregating at least 25% in aggregate principal amount of Transfer Restricted Securities covered by such Shelf Registration Statement, enter into such agreements (including underwriting agreements containing customary terms) and make such customary representations and warranties and take all such other actions in connection therewith in order to expedite or facilitate the disposition of the Transfer Restricted Securities pursuant to any Shelf Registration Statement contemplated by this Agreement in connection with any sale or resale pursuant to any applicable Shelf Registration Statement. In such connection, the Issuers and the Guarantors shall:</w:t>
      </w:r>
    </w:p>
    <w:p>
      <w:pPr>
        <w:spacing w:after="0" w:line="179" w:lineRule="exact"/>
        <w:rPr>
          <w:rFonts w:ascii="Arial" w:cs="Arial" w:eastAsia="Arial" w:hAnsi="Arial"/>
          <w:sz w:val="19"/>
          <w:szCs w:val="19"/>
          <w:color w:val="auto"/>
        </w:rPr>
      </w:pPr>
    </w:p>
    <w:p>
      <w:pPr>
        <w:jc w:val="both"/>
        <w:ind w:left="100" w:right="40" w:firstLine="923"/>
        <w:spacing w:after="0" w:line="238" w:lineRule="auto"/>
        <w:tabs>
          <w:tab w:leader="none" w:pos="1804" w:val="left"/>
        </w:tabs>
        <w:numPr>
          <w:ilvl w:val="1"/>
          <w:numId w:val="295"/>
        </w:numPr>
        <w:rPr>
          <w:rFonts w:ascii="Arial" w:cs="Arial" w:eastAsia="Arial" w:hAnsi="Arial"/>
          <w:sz w:val="22"/>
          <w:szCs w:val="22"/>
          <w:color w:val="auto"/>
        </w:rPr>
      </w:pPr>
      <w:r>
        <w:rPr>
          <w:rFonts w:ascii="Arial" w:cs="Arial" w:eastAsia="Arial" w:hAnsi="Arial"/>
          <w:sz w:val="22"/>
          <w:szCs w:val="22"/>
          <w:color w:val="auto"/>
        </w:rPr>
        <w:t>upon the request of any such Holder, furnish (or in the case of paragraphs (2) and (3) below, use all commercially reasonable efforts to cause to be furnished) to each such Holder participating in such underwritten offering, upon the effectiveness of the Shelf Registration Statement or upon the consummation of such underwritten offering, as the case may be:</w:t>
      </w:r>
    </w:p>
    <w:p>
      <w:pPr>
        <w:spacing w:after="0" w:line="212" w:lineRule="exact"/>
        <w:rPr>
          <w:rFonts w:ascii="Arial" w:cs="Arial" w:eastAsia="Arial" w:hAnsi="Arial"/>
          <w:sz w:val="22"/>
          <w:szCs w:val="22"/>
          <w:color w:val="auto"/>
        </w:rPr>
      </w:pPr>
    </w:p>
    <w:p>
      <w:pPr>
        <w:ind w:left="760" w:right="180" w:firstLine="1019"/>
        <w:spacing w:after="0" w:line="282" w:lineRule="auto"/>
        <w:tabs>
          <w:tab w:leader="none" w:pos="2633" w:val="left"/>
        </w:tabs>
        <w:numPr>
          <w:ilvl w:val="2"/>
          <w:numId w:val="295"/>
        </w:numPr>
        <w:rPr>
          <w:rFonts w:ascii="Arial" w:cs="Arial" w:eastAsia="Arial" w:hAnsi="Arial"/>
          <w:sz w:val="19"/>
          <w:szCs w:val="19"/>
          <w:color w:val="auto"/>
        </w:rPr>
      </w:pPr>
      <w:r>
        <w:rPr>
          <w:rFonts w:ascii="Arial" w:cs="Arial" w:eastAsia="Arial" w:hAnsi="Arial"/>
          <w:sz w:val="19"/>
          <w:szCs w:val="19"/>
          <w:color w:val="auto"/>
        </w:rPr>
        <w:t>a certificate, dated such applicable date, signed on behalf of each Issuer and each Guarantor by (x) the President or any Vice President of such Issuer and such Guarantor and (y) a principal financial or accounting officer of such Issuer and such Guarantor, in customary form, confirming, as of the date thereof, the matters set forth in Section 7(i) and the first paragraph of Section 7 of the Dealer Manager Agreement and such other similar matters as such Holders may reasonably request;</w:t>
      </w:r>
    </w:p>
    <w:p>
      <w:pPr>
        <w:spacing w:after="0" w:line="174" w:lineRule="exact"/>
        <w:rPr>
          <w:rFonts w:ascii="Arial" w:cs="Arial" w:eastAsia="Arial" w:hAnsi="Arial"/>
          <w:sz w:val="19"/>
          <w:szCs w:val="19"/>
          <w:color w:val="auto"/>
        </w:rPr>
      </w:pPr>
    </w:p>
    <w:p>
      <w:pPr>
        <w:ind w:left="760" w:firstLine="1019"/>
        <w:spacing w:after="0" w:line="275" w:lineRule="auto"/>
        <w:tabs>
          <w:tab w:leader="none" w:pos="2633" w:val="left"/>
        </w:tabs>
        <w:numPr>
          <w:ilvl w:val="2"/>
          <w:numId w:val="295"/>
        </w:numPr>
        <w:rPr>
          <w:rFonts w:ascii="Arial" w:cs="Arial" w:eastAsia="Arial" w:hAnsi="Arial"/>
          <w:sz w:val="19"/>
          <w:szCs w:val="19"/>
          <w:color w:val="auto"/>
        </w:rPr>
      </w:pPr>
      <w:r>
        <w:rPr>
          <w:rFonts w:ascii="Arial" w:cs="Arial" w:eastAsia="Arial" w:hAnsi="Arial"/>
          <w:sz w:val="19"/>
          <w:szCs w:val="19"/>
          <w:color w:val="auto"/>
        </w:rPr>
        <w:t>an opinion, dated the date of effectiveness of the Shelf Registration Statement or the date of consummation of such underwritten offering, as the case may be, of counsel for the Issuers and the Guarantors covering the matters similar to those set forth in the opinions required to be delivered pursuant to Sections 7(e)(i) and (ii) of the Dealer Manager Agreement that are customarily provided to selling securityholders in an underwritten offering and such other matters as such Holders may reasonably request, and in any event including a statement to the effect that such counsel has participated in conferences with officers and other representatives of the Issuers and the Guarantors, representatives of the independent public ac countants for the Issuers and the Guarantors and</w:t>
      </w:r>
    </w:p>
    <w:p>
      <w:pPr>
        <w:spacing w:after="0" w:line="200" w:lineRule="exact"/>
        <w:rPr>
          <w:sz w:val="20"/>
          <w:szCs w:val="20"/>
          <w:color w:val="auto"/>
        </w:rPr>
      </w:pPr>
    </w:p>
    <w:p>
      <w:pPr>
        <w:spacing w:after="0" w:line="381"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76835</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1440" w:top="510" w:right="279" w:bottom="1440" w:gutter="0" w:footer="0" w:header="0"/>
        </w:sectPr>
      </w:pPr>
    </w:p>
    <w:bookmarkStart w:id="220" w:name="page221"/>
    <w:bookmarkEnd w:id="220"/>
    <w:p>
      <w:pPr>
        <w:ind w:left="760"/>
        <w:spacing w:after="0" w:line="271" w:lineRule="auto"/>
        <w:rPr>
          <w:sz w:val="20"/>
          <w:szCs w:val="20"/>
          <w:color w:val="auto"/>
        </w:rPr>
      </w:pPr>
      <w:r>
        <w:rPr>
          <w:rFonts w:ascii="Arial" w:cs="Arial" w:eastAsia="Arial" w:hAnsi="Arial"/>
          <w:sz w:val="19"/>
          <w:szCs w:val="19"/>
          <w:color w:val="auto"/>
        </w:rPr>
        <w:t>have considered the matters required to be stated therein and the statements contained therein, although such counsel has not independently verified the accuracy, completeness or fairness of such statements; and that such counsel advises that, on the basis of the foregoing, no facts came to such counsel’s attention that caused such counsel to believe that the applicable Registration Statement, at the time such Registration Statement or any post-effective amendment thereto became effective and, in the case of the Exchange Offer Registration Statement, as of the date of Consummation of the Exchange Offer, contained an untrue statement of a material fact or omitted to state a material fact required to be stated therein or necessary to make the statements therein not misleading, or that the Prospectus contained in such Registra tion Statement as of its date and, in the case of the opinion dated the date of Consummation of the Exchange Offer, as of the date of Consummation, contained an untrue statement of a material fact or omitted to state a material fact necessary in order to make the statements therein, in the light of the circumstances under which they were made, not misleading. Without limiting the foregoing, such counsel may state further that such counsel assumes no responsibility for, and has not independently verified, the accuracy, completeness or fairness of the financial statements, notes and schedules and other financial data included in any Registration Statement contemplated by this Agreement or the related Prospectus; and</w:t>
      </w:r>
    </w:p>
    <w:p>
      <w:pPr>
        <w:spacing w:after="0" w:line="189" w:lineRule="exact"/>
        <w:rPr>
          <w:sz w:val="20"/>
          <w:szCs w:val="20"/>
          <w:color w:val="auto"/>
        </w:rPr>
      </w:pPr>
    </w:p>
    <w:p>
      <w:pPr>
        <w:ind w:left="760" w:right="120" w:firstLine="1019"/>
        <w:spacing w:after="0" w:line="277" w:lineRule="auto"/>
        <w:tabs>
          <w:tab w:leader="none" w:pos="2633" w:val="left"/>
        </w:tabs>
        <w:numPr>
          <w:ilvl w:val="0"/>
          <w:numId w:val="296"/>
        </w:numPr>
        <w:rPr>
          <w:rFonts w:ascii="Arial" w:cs="Arial" w:eastAsia="Arial" w:hAnsi="Arial"/>
          <w:sz w:val="19"/>
          <w:szCs w:val="19"/>
          <w:color w:val="auto"/>
        </w:rPr>
      </w:pPr>
      <w:r>
        <w:rPr>
          <w:rFonts w:ascii="Arial" w:cs="Arial" w:eastAsia="Arial" w:hAnsi="Arial"/>
          <w:sz w:val="19"/>
          <w:szCs w:val="19"/>
          <w:color w:val="auto"/>
        </w:rPr>
        <w:t>a customary comfort letter, dated the date of effectiveness of the Shelf Registration Statement or the date of consummation of such underwritten offering, as the case may be, from the Issuers’ independent accountants, in the customary form and covering matters of the type customarily covered in comfort letters to underwriters in connection with underwritten offerings, and affirming the matters set forth in the comfort letter delivered pursuant to Section 7(l) of the Dealer Manager Agreement or (in the case of a person that does not satisfy the conditions for receipt) if a “cold comfort” letter specified in Statement of Auditing Standards No. 72, an “agreed-upon procedures letter”; and</w:t>
      </w:r>
    </w:p>
    <w:p>
      <w:pPr>
        <w:spacing w:after="0" w:line="179" w:lineRule="exact"/>
        <w:rPr>
          <w:rFonts w:ascii="Arial" w:cs="Arial" w:eastAsia="Arial" w:hAnsi="Arial"/>
          <w:sz w:val="19"/>
          <w:szCs w:val="19"/>
          <w:color w:val="auto"/>
        </w:rPr>
      </w:pPr>
    </w:p>
    <w:p>
      <w:pPr>
        <w:ind w:left="2040" w:right="120" w:firstLine="928"/>
        <w:spacing w:after="0" w:line="252" w:lineRule="auto"/>
        <w:tabs>
          <w:tab w:leader="none" w:pos="3733" w:val="left"/>
        </w:tabs>
        <w:numPr>
          <w:ilvl w:val="2"/>
          <w:numId w:val="296"/>
        </w:numPr>
        <w:rPr>
          <w:rFonts w:ascii="Arial" w:cs="Arial" w:eastAsia="Arial" w:hAnsi="Arial"/>
          <w:sz w:val="21"/>
          <w:szCs w:val="21"/>
          <w:color w:val="auto"/>
        </w:rPr>
      </w:pPr>
      <w:r>
        <w:rPr>
          <w:rFonts w:ascii="Arial" w:cs="Arial" w:eastAsia="Arial" w:hAnsi="Arial"/>
          <w:sz w:val="21"/>
          <w:szCs w:val="21"/>
          <w:color w:val="auto"/>
        </w:rPr>
        <w:t>deliver such other documents and certificates as may be reasonably requested by the such selling Holders to evidence compliance with the matters covered in clause (A) above and with any customary conditions contained in any agreement entered into by the Issuers and the Guarantors pursuant to this clause (xi);</w:t>
      </w:r>
    </w:p>
    <w:p>
      <w:pPr>
        <w:spacing w:after="0" w:line="201" w:lineRule="exact"/>
        <w:rPr>
          <w:rFonts w:ascii="Arial" w:cs="Arial" w:eastAsia="Arial" w:hAnsi="Arial"/>
          <w:sz w:val="21"/>
          <w:szCs w:val="21"/>
          <w:color w:val="auto"/>
        </w:rPr>
      </w:pPr>
    </w:p>
    <w:p>
      <w:pPr>
        <w:ind w:left="1400" w:right="40" w:firstLine="811"/>
        <w:spacing w:after="0" w:line="279" w:lineRule="auto"/>
        <w:tabs>
          <w:tab w:leader="none" w:pos="3015" w:val="left"/>
        </w:tabs>
        <w:numPr>
          <w:ilvl w:val="1"/>
          <w:numId w:val="296"/>
        </w:numPr>
        <w:rPr>
          <w:rFonts w:ascii="Arial" w:cs="Arial" w:eastAsia="Arial" w:hAnsi="Arial"/>
          <w:sz w:val="19"/>
          <w:szCs w:val="19"/>
          <w:color w:val="auto"/>
        </w:rPr>
      </w:pPr>
      <w:r>
        <w:rPr>
          <w:rFonts w:ascii="Arial" w:cs="Arial" w:eastAsia="Arial" w:hAnsi="Arial"/>
          <w:sz w:val="19"/>
          <w:szCs w:val="19"/>
          <w:color w:val="auto"/>
        </w:rPr>
        <w:t xml:space="preserve">prior to any public offering of Transfer Restricted Securities, cooperate with the selling Holders and their counsel in connection with the registration and qualification of the Transfer Restricted Securities under the securities or Blue Sky laws of such jurisdictions as the selling Holders may request and do any and all other commercially reasonable acts or things necessary to enable the disposition in such jurisdictions of the Transfer Restricted Securities covered by the applicable Registration Statement;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neither of the Issuers nor any Guarantor shall be</w:t>
      </w:r>
    </w:p>
    <w:p>
      <w:pPr>
        <w:spacing w:after="0" w:line="200" w:lineRule="exact"/>
        <w:rPr>
          <w:sz w:val="20"/>
          <w:szCs w:val="20"/>
          <w:color w:val="auto"/>
        </w:rPr>
      </w:pPr>
    </w:p>
    <w:p>
      <w:pPr>
        <w:spacing w:after="0" w:line="374"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76835</wp:posOffset>
            </wp:positionV>
            <wp:extent cx="601599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21" w:name="page222"/>
    <w:bookmarkEnd w:id="221"/>
    <w:p>
      <w:pPr>
        <w:ind w:left="1400" w:right="180"/>
        <w:spacing w:after="0" w:line="238" w:lineRule="auto"/>
        <w:rPr>
          <w:sz w:val="20"/>
          <w:szCs w:val="20"/>
          <w:color w:val="auto"/>
        </w:rPr>
      </w:pPr>
      <w:r>
        <w:rPr>
          <w:rFonts w:ascii="Arial" w:cs="Arial" w:eastAsia="Arial" w:hAnsi="Arial"/>
          <w:sz w:val="22"/>
          <w:szCs w:val="22"/>
          <w:color w:val="auto"/>
        </w:rPr>
        <w:t>required to register or qualify as a foreign corporation or broker dealer where it is not now so qualified or to take any action that would subject it to the service of process in suits, other than as to matters and transactions relating to the Registration Statement or to taxation, in any jurisdiction where it is not now so subject;</w:t>
      </w:r>
    </w:p>
    <w:p>
      <w:pPr>
        <w:spacing w:after="0" w:line="212" w:lineRule="exact"/>
        <w:rPr>
          <w:sz w:val="20"/>
          <w:szCs w:val="20"/>
          <w:color w:val="auto"/>
        </w:rPr>
      </w:pPr>
    </w:p>
    <w:p>
      <w:pPr>
        <w:ind w:left="1400" w:right="60" w:firstLine="811"/>
        <w:spacing w:after="0" w:line="277" w:lineRule="auto"/>
        <w:tabs>
          <w:tab w:leader="none" w:pos="3075" w:val="left"/>
        </w:tabs>
        <w:numPr>
          <w:ilvl w:val="1"/>
          <w:numId w:val="297"/>
        </w:numPr>
        <w:rPr>
          <w:rFonts w:ascii="Arial" w:cs="Arial" w:eastAsia="Arial" w:hAnsi="Arial"/>
          <w:sz w:val="19"/>
          <w:szCs w:val="19"/>
          <w:color w:val="auto"/>
        </w:rPr>
      </w:pPr>
      <w:r>
        <w:rPr>
          <w:rFonts w:ascii="Arial" w:cs="Arial" w:eastAsia="Arial" w:hAnsi="Arial"/>
          <w:sz w:val="19"/>
          <w:szCs w:val="19"/>
          <w:color w:val="auto"/>
        </w:rPr>
        <w:t>if Certificated Securities are permitted pursuant to the Indenture, in connection with any sale of Transfer Restricted Securities that will result in such securities no longer being Transfer Restricted Securities, cooperate with the Holders to facilitate the timely preparation and delivery of certificates representing Transfer Restricted Securities to be sold and not bearing any restrictive legends; and to register, subject to compliance with the Indenture, such Transfer Restricted Securities in such denominations and such names as the selling Holders may request at least two Business Days prior to such sale of Transfer Restricted Securities;</w:t>
      </w:r>
    </w:p>
    <w:p>
      <w:pPr>
        <w:spacing w:after="0" w:line="179" w:lineRule="exact"/>
        <w:rPr>
          <w:rFonts w:ascii="Arial" w:cs="Arial" w:eastAsia="Arial" w:hAnsi="Arial"/>
          <w:sz w:val="19"/>
          <w:szCs w:val="19"/>
          <w:color w:val="auto"/>
        </w:rPr>
      </w:pPr>
    </w:p>
    <w:p>
      <w:pPr>
        <w:ind w:left="1400" w:right="260" w:firstLine="811"/>
        <w:spacing w:after="0" w:line="236" w:lineRule="auto"/>
        <w:tabs>
          <w:tab w:leader="none" w:pos="3063" w:val="left"/>
        </w:tabs>
        <w:numPr>
          <w:ilvl w:val="1"/>
          <w:numId w:val="297"/>
        </w:numPr>
        <w:rPr>
          <w:rFonts w:ascii="Arial" w:cs="Arial" w:eastAsia="Arial" w:hAnsi="Arial"/>
          <w:sz w:val="22"/>
          <w:szCs w:val="22"/>
          <w:color w:val="auto"/>
        </w:rPr>
      </w:pPr>
      <w:r>
        <w:rPr>
          <w:rFonts w:ascii="Arial" w:cs="Arial" w:eastAsia="Arial" w:hAnsi="Arial"/>
          <w:sz w:val="22"/>
          <w:szCs w:val="22"/>
          <w:color w:val="auto"/>
        </w:rPr>
        <w:t>use all commercially reasonable efforts to cause the disposition of the Transfer Restricted Securities covered by the Registration Statement to be registered with, or approved by, such other governmental agencies or authorities as may be necessary to enable the seller or sellers thereof to consummate the disposition of such Transfer Restricted Securities, subject to the proviso contained in clause (xii) above;</w:t>
      </w:r>
    </w:p>
    <w:p>
      <w:pPr>
        <w:spacing w:after="0" w:line="214" w:lineRule="exact"/>
        <w:rPr>
          <w:rFonts w:ascii="Arial" w:cs="Arial" w:eastAsia="Arial" w:hAnsi="Arial"/>
          <w:sz w:val="22"/>
          <w:szCs w:val="22"/>
          <w:color w:val="auto"/>
        </w:rPr>
      </w:pPr>
    </w:p>
    <w:p>
      <w:pPr>
        <w:jc w:val="both"/>
        <w:ind w:left="1400" w:right="160" w:firstLine="811"/>
        <w:spacing w:after="0" w:line="252" w:lineRule="auto"/>
        <w:tabs>
          <w:tab w:leader="none" w:pos="3003" w:val="left"/>
        </w:tabs>
        <w:numPr>
          <w:ilvl w:val="1"/>
          <w:numId w:val="297"/>
        </w:numPr>
        <w:rPr>
          <w:rFonts w:ascii="Arial" w:cs="Arial" w:eastAsia="Arial" w:hAnsi="Arial"/>
          <w:sz w:val="21"/>
          <w:szCs w:val="21"/>
          <w:color w:val="auto"/>
        </w:rPr>
      </w:pPr>
      <w:r>
        <w:rPr>
          <w:rFonts w:ascii="Arial" w:cs="Arial" w:eastAsia="Arial" w:hAnsi="Arial"/>
          <w:sz w:val="21"/>
          <w:szCs w:val="21"/>
          <w:color w:val="auto"/>
        </w:rPr>
        <w:t>provide a CUSIP number for all Transfer Restricted Securities not later than the effective date of a Registration Statement covering such Transfer Restricted Securities and provide the Trustee under the Indenture with certificates for the Transfer Restricted Securities which are in a form eligible for deposit with The Depository Trust Company;</w:t>
      </w:r>
    </w:p>
    <w:p>
      <w:pPr>
        <w:spacing w:after="0" w:line="201" w:lineRule="exact"/>
        <w:rPr>
          <w:rFonts w:ascii="Arial" w:cs="Arial" w:eastAsia="Arial" w:hAnsi="Arial"/>
          <w:sz w:val="21"/>
          <w:szCs w:val="21"/>
          <w:color w:val="auto"/>
        </w:rPr>
      </w:pPr>
    </w:p>
    <w:p>
      <w:pPr>
        <w:ind w:left="1400" w:right="60" w:firstLine="811"/>
        <w:spacing w:after="0" w:line="248" w:lineRule="auto"/>
        <w:tabs>
          <w:tab w:leader="none" w:pos="3009" w:val="left"/>
        </w:tabs>
        <w:numPr>
          <w:ilvl w:val="1"/>
          <w:numId w:val="297"/>
        </w:numPr>
        <w:rPr>
          <w:rFonts w:ascii="Arial" w:cs="Arial" w:eastAsia="Arial" w:hAnsi="Arial"/>
          <w:sz w:val="21"/>
          <w:szCs w:val="21"/>
          <w:color w:val="auto"/>
        </w:rPr>
      </w:pPr>
      <w:r>
        <w:rPr>
          <w:rFonts w:ascii="Arial" w:cs="Arial" w:eastAsia="Arial" w:hAnsi="Arial"/>
          <w:sz w:val="21"/>
          <w:szCs w:val="21"/>
          <w:color w:val="auto"/>
        </w:rPr>
        <w:t>otherwise use all commercially reasonable efforts to comply with all applicable rules and regulations of the Commission, and make generally available to its security holders with regard to any applicable Registration Statement, as soon as practicable, a consolidated earnings statement meeting the requirements of Rule 158 (which need not be audited) covering a twelve-month period beginning after the effective date of the Registration Statement (as such term is defined in paragraph (c) of Rule 158 under the Act); and</w:t>
      </w:r>
    </w:p>
    <w:p>
      <w:pPr>
        <w:spacing w:after="0" w:line="204" w:lineRule="exact"/>
        <w:rPr>
          <w:rFonts w:ascii="Arial" w:cs="Arial" w:eastAsia="Arial" w:hAnsi="Arial"/>
          <w:sz w:val="21"/>
          <w:szCs w:val="21"/>
          <w:color w:val="auto"/>
        </w:rPr>
      </w:pPr>
    </w:p>
    <w:p>
      <w:pPr>
        <w:ind w:left="1400" w:firstLine="811"/>
        <w:spacing w:after="0" w:line="277" w:lineRule="auto"/>
        <w:tabs>
          <w:tab w:leader="none" w:pos="3015" w:val="left"/>
        </w:tabs>
        <w:numPr>
          <w:ilvl w:val="1"/>
          <w:numId w:val="297"/>
        </w:numPr>
        <w:rPr>
          <w:rFonts w:ascii="Arial" w:cs="Arial" w:eastAsia="Arial" w:hAnsi="Arial"/>
          <w:sz w:val="19"/>
          <w:szCs w:val="19"/>
          <w:color w:val="auto"/>
        </w:rPr>
      </w:pPr>
      <w:r>
        <w:rPr>
          <w:rFonts w:ascii="Arial" w:cs="Arial" w:eastAsia="Arial" w:hAnsi="Arial"/>
          <w:sz w:val="19"/>
          <w:szCs w:val="19"/>
          <w:color w:val="auto"/>
        </w:rPr>
        <w:t>cause the Indenture to be qualified under the TIA not later than the effective date of the first Registration Statement required by this Agreement and, in connection therewith, cooperate with the Trustee and the Holders to effect such changes to the Indenture as may be required for such Indenture to be so qualified in accordance with the terms of the TIA; and execute and use all commercially reasonable efforts to cause the Trustee to execute, all documents that may be required to effect such changes and all other forms and documents required to be filed with the Commission to enable such Indenture to be so qualified in a timely manner.</w:t>
      </w:r>
    </w:p>
    <w:p>
      <w:pPr>
        <w:spacing w:after="0" w:line="179" w:lineRule="exact"/>
        <w:rPr>
          <w:rFonts w:ascii="Arial" w:cs="Arial" w:eastAsia="Arial" w:hAnsi="Arial"/>
          <w:sz w:val="19"/>
          <w:szCs w:val="19"/>
          <w:color w:val="auto"/>
        </w:rPr>
      </w:pPr>
    </w:p>
    <w:p>
      <w:pPr>
        <w:ind w:left="760" w:right="240" w:firstLine="641"/>
        <w:spacing w:after="0" w:line="252" w:lineRule="auto"/>
        <w:tabs>
          <w:tab w:leader="none" w:pos="2200" w:val="left"/>
        </w:tabs>
        <w:numPr>
          <w:ilvl w:val="0"/>
          <w:numId w:val="298"/>
        </w:numPr>
        <w:rPr>
          <w:rFonts w:ascii="Arial" w:cs="Arial" w:eastAsia="Arial" w:hAnsi="Arial"/>
          <w:sz w:val="21"/>
          <w:szCs w:val="21"/>
          <w:color w:val="auto"/>
        </w:rPr>
      </w:pPr>
      <w:r>
        <w:rPr>
          <w:rFonts w:ascii="Arial" w:cs="Arial" w:eastAsia="Arial" w:hAnsi="Arial"/>
          <w:sz w:val="21"/>
          <w:szCs w:val="21"/>
          <w:u w:val="single" w:color="auto"/>
          <w:color w:val="auto"/>
        </w:rPr>
        <w:t>Restrictions on Holders</w:t>
      </w:r>
      <w:r>
        <w:rPr>
          <w:rFonts w:ascii="Arial" w:cs="Arial" w:eastAsia="Arial" w:hAnsi="Arial"/>
          <w:sz w:val="21"/>
          <w:szCs w:val="21"/>
          <w:color w:val="auto"/>
        </w:rPr>
        <w:t>. Each Holder agrees by acquisition of a Transfer Restricted Security that, upon receipt of the notice referred to in Sections 6(c)(iii)(B) or (C) hereof or any notice from the Issuers of the existence of any fact of the kind described in Section 6(c)(iii)(D) hereof (in each case, a “</w:t>
      </w:r>
      <w:r>
        <w:rPr>
          <w:rFonts w:ascii="Arial" w:cs="Arial" w:eastAsia="Arial" w:hAnsi="Arial"/>
          <w:sz w:val="21"/>
          <w:szCs w:val="21"/>
          <w:b w:val="1"/>
          <w:bCs w:val="1"/>
          <w:u w:val="single" w:color="auto"/>
          <w:color w:val="auto"/>
        </w:rPr>
        <w:t>Suspension Notice</w:t>
      </w:r>
      <w:r>
        <w:rPr>
          <w:rFonts w:ascii="Arial" w:cs="Arial" w:eastAsia="Arial" w:hAnsi="Arial"/>
          <w:sz w:val="21"/>
          <w:szCs w:val="21"/>
          <w:color w:val="auto"/>
        </w:rPr>
        <w:t>”), such Holder will forthwith discontinue</w:t>
      </w:r>
    </w:p>
    <w:p>
      <w:pPr>
        <w:spacing w:after="0" w:line="200" w:lineRule="exact"/>
        <w:rPr>
          <w:sz w:val="20"/>
          <w:szCs w:val="20"/>
          <w:color w:val="auto"/>
        </w:rPr>
      </w:pPr>
    </w:p>
    <w:p>
      <w:pPr>
        <w:spacing w:after="0" w:line="398"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76835</wp:posOffset>
            </wp:positionV>
            <wp:extent cx="601599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22" w:name="page223"/>
    <w:bookmarkEnd w:id="222"/>
    <w:p>
      <w:pPr>
        <w:ind w:left="760" w:right="20"/>
        <w:spacing w:after="0" w:line="272" w:lineRule="auto"/>
        <w:rPr>
          <w:sz w:val="20"/>
          <w:szCs w:val="20"/>
          <w:color w:val="auto"/>
        </w:rPr>
      </w:pPr>
      <w:r>
        <w:rPr>
          <w:rFonts w:ascii="Arial" w:cs="Arial" w:eastAsia="Arial" w:hAnsi="Arial"/>
          <w:sz w:val="19"/>
          <w:szCs w:val="19"/>
          <w:color w:val="auto"/>
        </w:rPr>
        <w:t>disposition of Transfer Restricted Securities pursuant to the applicable Registration Statement until (i) such Holder has received copies of the supplemented or amended Prospectus contemplated by Section 6(c)(iv) hereof, or (ii) such Holder is advised in writing by the Issuers that the use of the Prospectus may be resumed, and has received copies of any additional or supplemental filings that are incorporated by reference in the Prospectus (in each case, the “</w:t>
      </w:r>
      <w:r>
        <w:rPr>
          <w:rFonts w:ascii="Arial" w:cs="Arial" w:eastAsia="Arial" w:hAnsi="Arial"/>
          <w:sz w:val="19"/>
          <w:szCs w:val="19"/>
          <w:b w:val="1"/>
          <w:bCs w:val="1"/>
          <w:u w:val="single" w:color="auto"/>
          <w:color w:val="auto"/>
        </w:rPr>
        <w:t>Recommencement Date</w:t>
      </w:r>
      <w:r>
        <w:rPr>
          <w:rFonts w:ascii="Arial" w:cs="Arial" w:eastAsia="Arial" w:hAnsi="Arial"/>
          <w:sz w:val="19"/>
          <w:szCs w:val="19"/>
          <w:color w:val="auto"/>
        </w:rPr>
        <w:t>”). Each Holder receiving a Suspension Notice hereby agrees that it will either (i) destroy any Prospectuses, other than permanent file copies, then in such Holder’s possession which have been replaced by the Issuers with more recently dated Prosp ectuses or (ii) deliver to the Issuers (at the Issuers’ expense) all copies, other than permanent file copies, then in such Holder’s possession of the Prospectus covering such Transfer Restricted Securities that was current at the time of receipt of the Suspension Notice. The time period regarding the effectiveness of such Registration Statement set forth in Section 3 or 4 hereof, as applicable, shall be extended by a number of days equal to the number of days in the period from and including the date of delivery of the Suspension Notice to the date of delivery of the Recommencement Date.</w:t>
      </w:r>
    </w:p>
    <w:p>
      <w:pPr>
        <w:spacing w:after="0" w:line="178" w:lineRule="exact"/>
        <w:rPr>
          <w:sz w:val="20"/>
          <w:szCs w:val="20"/>
          <w:color w:val="auto"/>
        </w:rPr>
      </w:pPr>
    </w:p>
    <w:p>
      <w:pPr>
        <w:ind w:left="760"/>
        <w:spacing w:after="0"/>
        <w:tabs>
          <w:tab w:leader="none" w:pos="224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1"/>
          <w:szCs w:val="21"/>
          <w:b w:val="1"/>
          <w:bCs w:val="1"/>
          <w:color w:val="auto"/>
        </w:rPr>
        <w:t>REGISTRATION EXPENSES</w:t>
      </w:r>
    </w:p>
    <w:p>
      <w:pPr>
        <w:spacing w:after="0" w:line="239" w:lineRule="exact"/>
        <w:rPr>
          <w:sz w:val="20"/>
          <w:szCs w:val="20"/>
          <w:color w:val="auto"/>
        </w:rPr>
      </w:pPr>
    </w:p>
    <w:p>
      <w:pPr>
        <w:ind w:left="760" w:firstLine="641"/>
        <w:spacing w:after="0" w:line="272" w:lineRule="auto"/>
        <w:tabs>
          <w:tab w:leader="none" w:pos="223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All expenses incident to the Issuers’ and the Guarantors’ performance of or compliance with this Agreement will be borne by the Issuers, regardless of whether a Registration Statement becomes effective, including, without limitation: (i) all registration and filing fees and expenses; (ii) all fees and expenses of compliance with federal securities and state Blue Sky or securities laws; (iii) all expenses of printing (including printing certificates for the Initial Exchange Notes to be issued in the Exchange Offer and printing of Prospectuses), messenger and delivery services and telephone; (iv) reasonable fees and disbursements of counsel for the Issuers and the Guarantors and not more than one counsel for the Holders of the Transfer Restricted Securi ties (which counsel for the Holders shall be chosen by the Holders of a majority of the outstanding Transfer Restricted Securities); (v) all application and filing fees in connection with listing the Initial Exchange Notes on a national securities exchange or automated quotation system pursuant to the requirements hereof; and (vi) all fees and disbursements of independent certified public accountants of the Issuers and the Guarantors (including the expenses of any special audit and comfort letters required by or incident to such performance).</w:t>
      </w:r>
    </w:p>
    <w:p>
      <w:pPr>
        <w:spacing w:after="0" w:line="184" w:lineRule="exact"/>
        <w:rPr>
          <w:sz w:val="20"/>
          <w:szCs w:val="20"/>
          <w:color w:val="auto"/>
        </w:rPr>
      </w:pPr>
    </w:p>
    <w:p>
      <w:pPr>
        <w:ind w:left="760" w:right="60" w:firstLine="648"/>
        <w:spacing w:after="0" w:line="238" w:lineRule="auto"/>
        <w:rPr>
          <w:sz w:val="20"/>
          <w:szCs w:val="20"/>
          <w:color w:val="auto"/>
        </w:rPr>
      </w:pPr>
      <w:r>
        <w:rPr>
          <w:rFonts w:ascii="Arial" w:cs="Arial" w:eastAsia="Arial" w:hAnsi="Arial"/>
          <w:sz w:val="22"/>
          <w:szCs w:val="22"/>
          <w:color w:val="auto"/>
        </w:rPr>
        <w:t>The Issuers will, in any event, bear their and the Guarantors’ internal expenses (including, without limitation, all salaries and expenses of their officers and employees performing legal or accounting duties), the expenses of any annual audit and the fees and expenses of any Person, including special experts, retained by the Issuers or the Guarantors.</w:t>
      </w:r>
    </w:p>
    <w:p>
      <w:pPr>
        <w:spacing w:after="0" w:line="212" w:lineRule="exact"/>
        <w:rPr>
          <w:sz w:val="20"/>
          <w:szCs w:val="20"/>
          <w:color w:val="auto"/>
        </w:rPr>
      </w:pPr>
    </w:p>
    <w:p>
      <w:pPr>
        <w:ind w:left="760" w:firstLine="641"/>
        <w:spacing w:after="0" w:line="277" w:lineRule="auto"/>
        <w:tabs>
          <w:tab w:leader="none" w:pos="2254" w:val="left"/>
        </w:tabs>
        <w:numPr>
          <w:ilvl w:val="0"/>
          <w:numId w:val="300"/>
        </w:numPr>
        <w:rPr>
          <w:rFonts w:ascii="Arial" w:cs="Arial" w:eastAsia="Arial" w:hAnsi="Arial"/>
          <w:sz w:val="19"/>
          <w:szCs w:val="19"/>
          <w:color w:val="auto"/>
        </w:rPr>
      </w:pPr>
      <w:r>
        <w:rPr>
          <w:rFonts w:ascii="Arial" w:cs="Arial" w:eastAsia="Arial" w:hAnsi="Arial"/>
          <w:sz w:val="19"/>
          <w:szCs w:val="19"/>
          <w:color w:val="auto"/>
        </w:rPr>
        <w:t>In connection with any Registration Statement required by this Agreement (including, without limitation, the Exchange Offer Registration Statement and the Shelf Registration Statement), the Issuers and the Guarantors will reimburse the Dealer Managers and the Holders of Transfer Restricted Securities who are tendering Initial Notes in the Exchange Offer and/or selling or reselling Initial Notes or Initial Exchange Notes pursuant to the “Plan of Distribution” contained in the Exchange Offer Registration Statement or the Shelf Registration Statement, as applicable, for the reasonable fees and disbursements of not more than one counsel, who shall be Latham &amp; Watkins LLP, unless another firm shall be chosen by the</w:t>
      </w:r>
    </w:p>
    <w:p>
      <w:pPr>
        <w:spacing w:after="0" w:line="200" w:lineRule="exact"/>
        <w:rPr>
          <w:sz w:val="20"/>
          <w:szCs w:val="20"/>
          <w:color w:val="auto"/>
        </w:rPr>
      </w:pPr>
    </w:p>
    <w:p>
      <w:pPr>
        <w:spacing w:after="0" w:line="37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76835</wp:posOffset>
            </wp:positionV>
            <wp:extent cx="601599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23" w:name="page224"/>
    <w:bookmarkEnd w:id="223"/>
    <w:p>
      <w:pPr>
        <w:ind w:left="760" w:right="680"/>
        <w:spacing w:after="0" w:line="251" w:lineRule="auto"/>
        <w:rPr>
          <w:sz w:val="20"/>
          <w:szCs w:val="20"/>
          <w:color w:val="auto"/>
        </w:rPr>
      </w:pPr>
      <w:r>
        <w:rPr>
          <w:rFonts w:ascii="Arial" w:cs="Arial" w:eastAsia="Arial" w:hAnsi="Arial"/>
          <w:sz w:val="22"/>
          <w:szCs w:val="22"/>
          <w:color w:val="auto"/>
        </w:rPr>
        <w:t>Holders of a majority in principal amount of the Transfer Restricted Securities for whose benefit such Registration Statement is being prepared.</w:t>
      </w:r>
    </w:p>
    <w:p>
      <w:pPr>
        <w:spacing w:after="0" w:line="194" w:lineRule="exact"/>
        <w:rPr>
          <w:sz w:val="20"/>
          <w:szCs w:val="20"/>
          <w:color w:val="auto"/>
        </w:rPr>
      </w:pPr>
    </w:p>
    <w:p>
      <w:pPr>
        <w:ind w:left="760"/>
        <w:spacing w:after="0"/>
        <w:tabs>
          <w:tab w:leader="none" w:pos="2240" w:val="left"/>
        </w:tabs>
        <w:rPr>
          <w:sz w:val="20"/>
          <w:szCs w:val="20"/>
          <w:color w:val="auto"/>
        </w:rPr>
      </w:pPr>
      <w:r>
        <w:rPr>
          <w:rFonts w:ascii="Arial" w:cs="Arial" w:eastAsia="Arial" w:hAnsi="Arial"/>
          <w:sz w:val="22"/>
          <w:szCs w:val="22"/>
          <w:b w:val="1"/>
          <w:bCs w:val="1"/>
          <w:color w:val="auto"/>
        </w:rPr>
        <w:t>SECTION 8.</w:t>
        <w:tab/>
        <w:t>INDEMNIFICATION</w:t>
      </w:r>
    </w:p>
    <w:p>
      <w:pPr>
        <w:spacing w:after="0" w:line="239" w:lineRule="exact"/>
        <w:rPr>
          <w:sz w:val="20"/>
          <w:szCs w:val="20"/>
          <w:color w:val="auto"/>
        </w:rPr>
      </w:pPr>
    </w:p>
    <w:p>
      <w:pPr>
        <w:ind w:left="760" w:firstLine="641"/>
        <w:spacing w:after="0" w:line="270" w:lineRule="auto"/>
        <w:tabs>
          <w:tab w:leader="none" w:pos="2238" w:val="left"/>
        </w:tabs>
        <w:numPr>
          <w:ilvl w:val="0"/>
          <w:numId w:val="301"/>
        </w:numPr>
        <w:rPr>
          <w:rFonts w:ascii="Arial" w:cs="Arial" w:eastAsia="Arial" w:hAnsi="Arial"/>
          <w:sz w:val="19"/>
          <w:szCs w:val="19"/>
          <w:color w:val="auto"/>
        </w:rPr>
      </w:pPr>
      <w:r>
        <w:rPr>
          <w:rFonts w:ascii="Arial" w:cs="Arial" w:eastAsia="Arial" w:hAnsi="Arial"/>
          <w:sz w:val="19"/>
          <w:szCs w:val="19"/>
          <w:color w:val="auto"/>
        </w:rPr>
        <w:t xml:space="preserve">The Issuers and the Guarantors agree, jointly and severally, to indemnify and hold harmless each Holder, its directors, officers and each Person, if any, who controls such Holder (within the meaning of Section 15 of the Act or Section 20 of the Exchange Act), from and against any and all losses, claims, damages, liabilities and judgments (including, without limitation, any reasonable legal or other expenses incurred in connection with investigating or defending any matter, including any action that could give rise to any such losses, claims, damages, liabilities or judgments) caused by any untrue statement or alleged untrue statement of a material fact contained in any Registration Statement, preliminary prospectus or Prospectus (or any amendment or supplement th ereto) provided by the Issuers to any Holder or any prospective purchaser of Initial Exchange Notes or registered Initial Notes, or caused by any omission or alleged omission to state therein a material fact required to be stated therein or necessary to make the statements therein (in the case of a preliminary prospectus or Prospectus or any supplement thereto, in the light of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indemnity does not apply to any loss, claim, damage, liability, judgment or expense to the extent arising out of an untrue statement or omission or alleged untrue statement or omission made in reliance upon and in conformity with written information expressly furnished to the Issuers by or on behalf of such Holder or any underwriter with respect to such Holder or underwriter, expressly for use in the Registration Statement (or any amendment or supplement thereto) or any Prospectus (or any amendment or supplement thereto). Any amounts advanced by the Issuers to an indemnified party pursuant to this Section 8 as a result of such losses shall be returned to the Issuers if it shall be finally determined by a court of competent jurisdiction in a judgment not subject to appeal or final review that such indemnified party was not entitled to indemnification by the Issuers. The foregoing indemnity agreement is in addition to any liability that the Issuers may otherwise have to any Holder.</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ind w:left="760" w:right="20" w:firstLine="641"/>
        <w:spacing w:after="0" w:line="271" w:lineRule="auto"/>
        <w:tabs>
          <w:tab w:leader="none" w:pos="2254" w:val="left"/>
        </w:tabs>
        <w:numPr>
          <w:ilvl w:val="0"/>
          <w:numId w:val="301"/>
        </w:numPr>
        <w:rPr>
          <w:rFonts w:ascii="Arial" w:cs="Arial" w:eastAsia="Arial" w:hAnsi="Arial"/>
          <w:sz w:val="19"/>
          <w:szCs w:val="19"/>
          <w:color w:val="auto"/>
        </w:rPr>
      </w:pPr>
      <w:r>
        <w:rPr>
          <w:rFonts w:ascii="Arial" w:cs="Arial" w:eastAsia="Arial" w:hAnsi="Arial"/>
          <w:sz w:val="19"/>
          <w:szCs w:val="19"/>
          <w:color w:val="auto"/>
        </w:rPr>
        <w:t>Each Holder of Transfer Restricted Securities agrees, severally and not jointly, to indemnify and hold harmless the Issuers and the Guarantors, and their respective members, managers, directors and officers, and each person, if any, who controls (within the meaning of Section 15 of the Act or Section 20 of the Exchange Act) the Issuers, or the Guarantors to the same extent as the foregoing indemnity from the Issuers and the Guarantors set forth in section (a) above, but only with reference to information included in the Registration Statement or any Prospectus (or any amendment or supplement thereto) in reliance upon, and in conformity with, written information expressly furnished to the Issuers by or on behalf of such Holder expressly for use in any Registration Statement. In no event shall any Holder, its directors, officers or any Person who controls such Holder be liable or responsible for any amount in excess of the amount by which the total amount received by such Holder with respect to its sale of Transfer Restricted Securities pursuant to a Registration Statement exceeds (i) the amount paid by such Holder for such Transfer Restricted Securities and (ii) the amount of any damages that such Holder, its directors, officers or any Person who controls such Holder has otherwise been required to pay by reason of such untrue or alleged untrue statement of a material fact or omission or alleged omission to state a material fact. The foregoing indemnity agreement is in addition to any liability that the each Holder may otherwise have to the Issuers and the Guarantors.</w:t>
      </w:r>
    </w:p>
    <w:p>
      <w:pPr>
        <w:spacing w:after="0" w:line="200" w:lineRule="exact"/>
        <w:rPr>
          <w:sz w:val="20"/>
          <w:szCs w:val="20"/>
          <w:color w:val="auto"/>
        </w:rPr>
      </w:pPr>
    </w:p>
    <w:p>
      <w:pPr>
        <w:spacing w:after="0" w:line="385"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76835</wp:posOffset>
            </wp:positionV>
            <wp:extent cx="601599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24" w:name="page225"/>
    <w:bookmarkEnd w:id="224"/>
    <w:p>
      <w:pPr>
        <w:ind w:left="760" w:firstLine="641"/>
        <w:spacing w:after="0" w:line="268" w:lineRule="auto"/>
        <w:tabs>
          <w:tab w:leader="none" w:pos="2242" w:val="left"/>
        </w:tabs>
        <w:numPr>
          <w:ilvl w:val="0"/>
          <w:numId w:val="302"/>
        </w:numPr>
        <w:rPr>
          <w:rFonts w:ascii="Arial" w:cs="Arial" w:eastAsia="Arial" w:hAnsi="Arial"/>
          <w:sz w:val="19"/>
          <w:szCs w:val="19"/>
          <w:color w:val="auto"/>
        </w:rPr>
      </w:pPr>
      <w:r>
        <w:rPr>
          <w:rFonts w:ascii="Arial" w:cs="Arial" w:eastAsia="Arial" w:hAnsi="Arial"/>
          <w:sz w:val="19"/>
          <w:szCs w:val="19"/>
          <w:color w:val="auto"/>
        </w:rPr>
        <w:t>In case any action shall be commenced involving any person in respect of which indemnity may be sought pursuant to Section 8(a) or 8(b) (the “</w:t>
      </w:r>
      <w:r>
        <w:rPr>
          <w:rFonts w:ascii="Arial" w:cs="Arial" w:eastAsia="Arial" w:hAnsi="Arial"/>
          <w:sz w:val="19"/>
          <w:szCs w:val="19"/>
          <w:b w:val="1"/>
          <w:bCs w:val="1"/>
          <w:u w:val="single" w:color="auto"/>
          <w:color w:val="auto"/>
        </w:rPr>
        <w:t>indemnified party</w:t>
      </w:r>
      <w:r>
        <w:rPr>
          <w:rFonts w:ascii="Arial" w:cs="Arial" w:eastAsia="Arial" w:hAnsi="Arial"/>
          <w:sz w:val="19"/>
          <w:szCs w:val="19"/>
          <w:color w:val="auto"/>
        </w:rPr>
        <w:t>”), the indemnified party shall promptly notify the person against whom such indemnity may be sought (the “</w:t>
      </w:r>
      <w:r>
        <w:rPr>
          <w:rFonts w:ascii="Arial" w:cs="Arial" w:eastAsia="Arial" w:hAnsi="Arial"/>
          <w:sz w:val="19"/>
          <w:szCs w:val="19"/>
          <w:b w:val="1"/>
          <w:bCs w:val="1"/>
          <w:u w:val="single" w:color="auto"/>
          <w:color w:val="auto"/>
        </w:rPr>
        <w:t>indemnifying party</w:t>
      </w:r>
      <w:r>
        <w:rPr>
          <w:rFonts w:ascii="Arial" w:cs="Arial" w:eastAsia="Arial" w:hAnsi="Arial"/>
          <w:sz w:val="19"/>
          <w:szCs w:val="19"/>
          <w:color w:val="auto"/>
        </w:rPr>
        <w:t>”) in writing and the indemnifying party shall assume the defense of such action, including the employment of counsel reasonably satisfactory to the indemnified party and the payment of all reasonable fees and expenses of such counsel, as incurred (except that in the case of any action in respect of which indemnity may be sought pursuant to both Sections 8(a) and 8(b), a Holder shall not be required to assume the defense of such action pursuant to this Section 8(c), but may employ separate counsel and participate in the defense thereof, but the fees and expenses of such counsel, except as provided below, shall be at the expense of the Holder). Any indemnified party shall have the right to employ separate counsel in any such action and participate in the defense thereof, but the fees and expenses of such counsel shall be at the expense of the indemnified party unless (i) the employment of such counsel shall have been specifically authorized in writing by the indemnifying party, (ii) the indemnifying party shall have failed to assume the defense of such action or employ counsel reasonably satisfactory to the indemnified party or (iii) the named parties to any such action (including any impleaded parties) include both the indemnified party and the indemnifying party, and the indemnified part y shall have been advised by such counsel that there may be one or more legal defenses available to it which are different from or additional to those available to the indemnifying party (in which case the indemnifying party shall not have the right to assume the defense of such action on behalf of the indemnified party). In any such case, the indemnifying party shall not, in connection with any one action or separate but substantially similar or related actions in the same jurisdiction arising out of the same general allegations or circumstances, be liable for the fees and expenses of more than one separate firm of attorneys (in addition to any local counsel) for all indemnified parties and all such fees and expenses shall be reimbursed as they are incurred. Such firm shall be designated in writing by a majority of the Holders, in the case of the parties indemnified pursuant to Section 8(a), and by the Issuers and the Guarantors, in the case of parties indemnified pursuant to Section 8 (b). The indemnifying party shall indemnify and hold harmless the indemnified party from and against any and all losses, claims, damages, liabilities and judgments by reason of any settlement of any action (i) effected with the indemnifying party’s written consent or (ii) effected without the indemnifying party’s written consent, if the settlement is entered into more than 30 business days after the indemnifying party shall have received a request from the indemnified party for reimbursement for the fees and expenses of counsel (in any case where such fees and expenses are at the expense of the indemnifying party) and, prior to the date of such settlement, the indemnifying party shall have failed to comply with such reimbursement request. No indemnifying party shall, without the prior written consent of the indemnified party, effect any settlement or compromise of, or consent to the entry of judgment with respect to, any pending or threatened action in respect of which the indemnified party is or could have been a party and indemnity or contribution may be or could have been sought hereunder by the indemnified party, unless such settlement, compromise or judgment (i) includes an unconditional release of the indemnified party from all liability on claims that are or could have been the subject matter of such action and (ii) does not include a statement as to or an admission of fault, culpability or a failure to act, by or on behalf of the indemnified party.</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760" w:right="380" w:firstLine="641"/>
        <w:spacing w:after="0" w:line="274" w:lineRule="auto"/>
        <w:tabs>
          <w:tab w:leader="none" w:pos="2251" w:val="left"/>
        </w:tabs>
        <w:numPr>
          <w:ilvl w:val="0"/>
          <w:numId w:val="302"/>
        </w:numPr>
        <w:rPr>
          <w:rFonts w:ascii="Arial" w:cs="Arial" w:eastAsia="Arial" w:hAnsi="Arial"/>
          <w:sz w:val="21"/>
          <w:szCs w:val="21"/>
          <w:color w:val="auto"/>
        </w:rPr>
      </w:pPr>
      <w:r>
        <w:rPr>
          <w:rFonts w:ascii="Arial" w:cs="Arial" w:eastAsia="Arial" w:hAnsi="Arial"/>
          <w:sz w:val="21"/>
          <w:szCs w:val="21"/>
          <w:color w:val="auto"/>
        </w:rPr>
        <w:t>To the extent that the indemnification provided for in this Section 8 is unavailable to an indemnified party in respect of any losses, claims, damages, liabilities or judgments</w:t>
      </w:r>
    </w:p>
    <w:p>
      <w:pPr>
        <w:spacing w:after="0" w:line="200" w:lineRule="exact"/>
        <w:rPr>
          <w:sz w:val="20"/>
          <w:szCs w:val="20"/>
          <w:color w:val="auto"/>
        </w:rPr>
      </w:pPr>
    </w:p>
    <w:p>
      <w:pPr>
        <w:spacing w:after="0" w:line="374"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76835</wp:posOffset>
            </wp:positionV>
            <wp:extent cx="601599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180"/>
          </w:cols>
          <w:pgMar w:left="1440" w:top="510" w:right="279" w:bottom="1440" w:gutter="0" w:footer="0" w:header="0"/>
        </w:sectPr>
      </w:pPr>
    </w:p>
    <w:bookmarkStart w:id="225" w:name="page226"/>
    <w:bookmarkEnd w:id="225"/>
    <w:p>
      <w:pPr>
        <w:ind w:left="760" w:right="20"/>
        <w:spacing w:after="0" w:line="270" w:lineRule="auto"/>
        <w:rPr>
          <w:sz w:val="20"/>
          <w:szCs w:val="20"/>
          <w:color w:val="auto"/>
        </w:rPr>
      </w:pPr>
      <w:r>
        <w:rPr>
          <w:rFonts w:ascii="Arial" w:cs="Arial" w:eastAsia="Arial" w:hAnsi="Arial"/>
          <w:sz w:val="19"/>
          <w:szCs w:val="19"/>
          <w:color w:val="auto"/>
        </w:rPr>
        <w:t>referred to therein, then each indemnifying party, in lieu of indemnifying such indemnified party, shall contribute to the amount paid or payable by such indemnified party as a result of such losses, claims, damages, liabilities or judgments (i) in such proportion as is appropriate to reflect the relative benefits received by the Issuers and the Guarantors, on the one hand, and the Holders, on the other hand, from their sale of Transfer Restricted Securities or (ii) if the allocation provided by clause 8(d)(i) is not permitted by applicable law, in such proportion as is appropriate to reflect not only the relative benefits referred to in clause 8(d)(i) above but also the relative fault of the Issuers and the Guarantors, on the one hand, and of the Holder, on the other hand, in connection with the statements or omissions which resul ted in such losses, claims, damages, liabilities or judgments, as well as any other relevant equitable considerations. The relative fault of the Issuers and the Guarantors, on the one hand, and of the Holder, on the other hand, shall be determined by reference to, among other things, whether the untrue or alleged untrue statement of a material fact or the omission or alleged omission to state a material fact relates to information supplied by such Issuer or such Guarantor, on the one hand, or by the Holder, on the other hand, and the parties’ relative intent, knowledge, access to information and opportunity to correct or prevent such statement or omission. The amount paid or payable by a party as a result of the losses, claims, damages, liabilities and judgments referred to above shall be deemed to include, subject to the limitations set forth in Section 8(a), any legal or other fees or expenses reasonably incurred by such party in connection with investigating or defending any ac tion or claim.</w:t>
      </w:r>
    </w:p>
    <w:p>
      <w:pPr>
        <w:spacing w:after="0" w:line="200" w:lineRule="exact"/>
        <w:rPr>
          <w:sz w:val="20"/>
          <w:szCs w:val="20"/>
          <w:color w:val="auto"/>
        </w:rPr>
      </w:pPr>
    </w:p>
    <w:p>
      <w:pPr>
        <w:spacing w:after="0" w:line="240" w:lineRule="exact"/>
        <w:rPr>
          <w:sz w:val="20"/>
          <w:szCs w:val="20"/>
          <w:color w:val="auto"/>
        </w:rPr>
      </w:pPr>
    </w:p>
    <w:p>
      <w:pPr>
        <w:ind w:left="760" w:firstLine="648"/>
        <w:spacing w:after="0" w:line="270" w:lineRule="auto"/>
        <w:rPr>
          <w:sz w:val="20"/>
          <w:szCs w:val="20"/>
          <w:color w:val="auto"/>
        </w:rPr>
      </w:pPr>
      <w:r>
        <w:rPr>
          <w:rFonts w:ascii="Arial" w:cs="Arial" w:eastAsia="Arial" w:hAnsi="Arial"/>
          <w:sz w:val="19"/>
          <w:szCs w:val="19"/>
          <w:color w:val="auto"/>
        </w:rPr>
        <w:t>The Issuers, the Guarantors and each Holder agree that it would not be just and equitable if contribution pursuant to this Section 8(d)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judgments referred to in the immediately preceding paragraph shall be deemed to include, subject to the limitations set forth above, any legal or other expenses reasonably incurred by such indemnified party in connection with investigating or defending any matter, including any action that could have given rise to such losses, cl aims, damages, liabilities or judgments. Notwithstanding the provisions of this Section 8, no Holder, its directors, its officers or any Person, if any, who controls such Holder shall be required to contribute, in the aggregate, any amount in excess of the amount by which the total received by such Holder with respect to the sale of Transfer Restricted Securities pursuant to a Registration Statement exceeds (i) the amount paid by such Holder for such Transfer Restricted Securities and (ii) the amount of any damages which such Holder has otherwise been required to pay by reason of such untrue or alleged untrue statement of a material fact or omission or alleged omission to state a material fact. No person guilty of fraudulent misrepresentation (within the meaning of Section 11(f) of the Act) shall be entitled to contribution from any person who was not guilty of such fraudulent misrepresentation. The Holders’ obligations to contribute pursuant to this Section 8(c) are se veral in proportion to the respective principal amount of Transfer Restricted Securities held by each Holder hereunder and not joint.</w:t>
      </w:r>
    </w:p>
    <w:p>
      <w:pPr>
        <w:spacing w:after="0" w:line="200" w:lineRule="exact"/>
        <w:rPr>
          <w:sz w:val="20"/>
          <w:szCs w:val="20"/>
          <w:color w:val="auto"/>
        </w:rPr>
      </w:pPr>
    </w:p>
    <w:p>
      <w:pPr>
        <w:spacing w:after="0" w:line="232" w:lineRule="exact"/>
        <w:rPr>
          <w:sz w:val="20"/>
          <w:szCs w:val="20"/>
          <w:color w:val="auto"/>
        </w:rPr>
      </w:pPr>
    </w:p>
    <w:p>
      <w:pPr>
        <w:ind w:left="760"/>
        <w:spacing w:after="0"/>
        <w:tabs>
          <w:tab w:leader="none" w:pos="224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21"/>
          <w:szCs w:val="21"/>
          <w:b w:val="1"/>
          <w:bCs w:val="1"/>
          <w:color w:val="auto"/>
        </w:rPr>
        <w:t>RULE 144A AND RULE 144</w:t>
      </w:r>
    </w:p>
    <w:p>
      <w:pPr>
        <w:spacing w:after="0" w:line="239" w:lineRule="exact"/>
        <w:rPr>
          <w:sz w:val="20"/>
          <w:szCs w:val="20"/>
          <w:color w:val="auto"/>
        </w:rPr>
      </w:pPr>
    </w:p>
    <w:p>
      <w:pPr>
        <w:ind w:left="760" w:right="560" w:firstLine="648"/>
        <w:spacing w:after="0" w:line="274" w:lineRule="auto"/>
        <w:rPr>
          <w:sz w:val="20"/>
          <w:szCs w:val="20"/>
          <w:color w:val="auto"/>
        </w:rPr>
      </w:pPr>
      <w:r>
        <w:rPr>
          <w:rFonts w:ascii="Arial" w:cs="Arial" w:eastAsia="Arial" w:hAnsi="Arial"/>
          <w:sz w:val="21"/>
          <w:szCs w:val="21"/>
          <w:color w:val="auto"/>
        </w:rPr>
        <w:t>Each Issuer and each Guarantor agrees with each Holder, for so long as any Transfer Restricted Securities remain outstanding and during any period in which such Issuer and such</w:t>
      </w:r>
    </w:p>
    <w:p>
      <w:pPr>
        <w:spacing w:after="0" w:line="200" w:lineRule="exact"/>
        <w:rPr>
          <w:sz w:val="20"/>
          <w:szCs w:val="20"/>
          <w:color w:val="auto"/>
        </w:rPr>
      </w:pPr>
    </w:p>
    <w:p>
      <w:pPr>
        <w:spacing w:after="0" w:line="374"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76835</wp:posOffset>
            </wp:positionV>
            <wp:extent cx="601599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00"/>
          </w:cols>
          <w:pgMar w:left="1440" w:top="510" w:right="259" w:bottom="1440" w:gutter="0" w:footer="0" w:header="0"/>
        </w:sectPr>
      </w:pPr>
    </w:p>
    <w:bookmarkStart w:id="226" w:name="page227"/>
    <w:bookmarkEnd w:id="226"/>
    <w:p>
      <w:pPr>
        <w:ind w:left="760" w:right="120"/>
        <w:spacing w:after="0" w:line="277" w:lineRule="auto"/>
        <w:rPr>
          <w:sz w:val="20"/>
          <w:szCs w:val="20"/>
          <w:color w:val="auto"/>
        </w:rPr>
      </w:pPr>
      <w:r>
        <w:rPr>
          <w:rFonts w:ascii="Arial" w:cs="Arial" w:eastAsia="Arial" w:hAnsi="Arial"/>
          <w:sz w:val="19"/>
          <w:szCs w:val="19"/>
          <w:color w:val="auto"/>
        </w:rPr>
        <w:t>Guarantor (i) is not subject to Section 13 or 15(d) of the Exchange Act, to make available, upon request of any Holder, to such Holder or beneficial owner of Transfer Restricted Securities in connection with any sale thereof and any prospective purchaser of such Transfer Restricted Securities designated by such Holder or beneficial owner, the information required by Rule 144A(d)(4) under the Act in order to permit resales of such Transfer Restricted Securities pursuant to Rule 144A, and (ii) is subject to Section 13 or 15 (d) of the Exchange Act, to make all filings required thereby in a timely manner in order to permit resales of such Transfer Restricted Securities pursuant to Rule 144.</w:t>
      </w:r>
    </w:p>
    <w:p>
      <w:pPr>
        <w:spacing w:after="0" w:line="174" w:lineRule="exact"/>
        <w:rPr>
          <w:sz w:val="20"/>
          <w:szCs w:val="20"/>
          <w:color w:val="auto"/>
        </w:rPr>
      </w:pPr>
    </w:p>
    <w:p>
      <w:pPr>
        <w:ind w:left="760"/>
        <w:spacing w:after="0"/>
        <w:tabs>
          <w:tab w:leader="none" w:pos="224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21"/>
          <w:szCs w:val="21"/>
          <w:b w:val="1"/>
          <w:bCs w:val="1"/>
          <w:color w:val="auto"/>
        </w:rPr>
        <w:t>MISCELLANEOUS</w:t>
      </w:r>
    </w:p>
    <w:p>
      <w:pPr>
        <w:spacing w:after="0" w:line="239" w:lineRule="exact"/>
        <w:rPr>
          <w:sz w:val="20"/>
          <w:szCs w:val="20"/>
          <w:color w:val="auto"/>
        </w:rPr>
      </w:pPr>
    </w:p>
    <w:p>
      <w:pPr>
        <w:ind w:left="760" w:right="120" w:firstLine="641"/>
        <w:spacing w:after="0" w:line="246" w:lineRule="auto"/>
        <w:tabs>
          <w:tab w:leader="none" w:pos="2242" w:val="left"/>
        </w:tabs>
        <w:numPr>
          <w:ilvl w:val="0"/>
          <w:numId w:val="303"/>
        </w:numPr>
        <w:rPr>
          <w:rFonts w:ascii="Arial" w:cs="Arial" w:eastAsia="Arial" w:hAnsi="Arial"/>
          <w:sz w:val="21"/>
          <w:szCs w:val="21"/>
          <w:color w:val="auto"/>
        </w:rPr>
      </w:pPr>
      <w:r>
        <w:rPr>
          <w:rFonts w:ascii="Arial" w:cs="Arial" w:eastAsia="Arial" w:hAnsi="Arial"/>
          <w:sz w:val="21"/>
          <w:szCs w:val="21"/>
          <w:u w:val="single" w:color="auto"/>
          <w:color w:val="auto"/>
        </w:rPr>
        <w:t>Remedies</w:t>
      </w:r>
      <w:r>
        <w:rPr>
          <w:rFonts w:ascii="Arial" w:cs="Arial" w:eastAsia="Arial" w:hAnsi="Arial"/>
          <w:sz w:val="21"/>
          <w:szCs w:val="21"/>
          <w:color w:val="auto"/>
        </w:rPr>
        <w:t>. The Issuers and the Guarantors acknowledge and agree that any failure by the Issuers and/or the Guarantors to comply with their respective obligations under Sections 3 and 4 hereof may result in material irreparable injury to the Dealer Managers or the Holders for which there is no adequate remedy at law, that it will not be possible to measure damages for such injuries precisely and that, in the event of any such failure, the Dealer Managers or any Holder may obtain such relief as may be required to specifically enforce the Issuers’ and the Guarantor’s obligations under Sections 3 and 4 hereof. The Issuers and the Guarantors further agree to waive the def ense in any action for specific performance that a remedy at law would be adequate.</w:t>
      </w:r>
    </w:p>
    <w:p>
      <w:pPr>
        <w:spacing w:after="0" w:line="207" w:lineRule="exact"/>
        <w:rPr>
          <w:rFonts w:ascii="Arial" w:cs="Arial" w:eastAsia="Arial" w:hAnsi="Arial"/>
          <w:sz w:val="21"/>
          <w:szCs w:val="21"/>
          <w:color w:val="auto"/>
        </w:rPr>
      </w:pPr>
    </w:p>
    <w:p>
      <w:pPr>
        <w:ind w:left="760" w:firstLine="641"/>
        <w:spacing w:after="0" w:line="279" w:lineRule="auto"/>
        <w:tabs>
          <w:tab w:leader="none" w:pos="2254" w:val="left"/>
        </w:tabs>
        <w:numPr>
          <w:ilvl w:val="0"/>
          <w:numId w:val="303"/>
        </w:numPr>
        <w:rPr>
          <w:rFonts w:ascii="Arial" w:cs="Arial" w:eastAsia="Arial" w:hAnsi="Arial"/>
          <w:sz w:val="19"/>
          <w:szCs w:val="19"/>
          <w:color w:val="auto"/>
        </w:rPr>
      </w:pPr>
      <w:r>
        <w:rPr>
          <w:rFonts w:ascii="Arial" w:cs="Arial" w:eastAsia="Arial" w:hAnsi="Arial"/>
          <w:sz w:val="19"/>
          <w:szCs w:val="19"/>
          <w:u w:val="single" w:color="auto"/>
          <w:color w:val="auto"/>
        </w:rPr>
        <w:t>No Inconsistent Agreements</w:t>
      </w:r>
      <w:r>
        <w:rPr>
          <w:rFonts w:ascii="Arial" w:cs="Arial" w:eastAsia="Arial" w:hAnsi="Arial"/>
          <w:sz w:val="19"/>
          <w:szCs w:val="19"/>
          <w:color w:val="auto"/>
        </w:rPr>
        <w:t>. Neither of the Issuers nor any Guarantor will, on or after the date of this Agreement, enter into any agreement with respect to its securities that is inconsistent with the rights granted to the Holders in this Agreement or otherwise conflicts with the provisions hereof. The Issuers and the Guarantors represent and warrant to the Holders and the Dealer Managers that the rights granted to the Holders hereunder do not in any way conflict with and are not inconsistent with the rights granted to the holders of the Issuers’ and the Guarantors’ securities under any agreement in effect on the date hereof.</w:t>
      </w:r>
    </w:p>
    <w:p>
      <w:pPr>
        <w:spacing w:after="0" w:line="177" w:lineRule="exact"/>
        <w:rPr>
          <w:rFonts w:ascii="Arial" w:cs="Arial" w:eastAsia="Arial" w:hAnsi="Arial"/>
          <w:sz w:val="19"/>
          <w:szCs w:val="19"/>
          <w:color w:val="auto"/>
        </w:rPr>
      </w:pPr>
    </w:p>
    <w:p>
      <w:pPr>
        <w:ind w:left="760" w:right="20" w:firstLine="641"/>
        <w:spacing w:after="0" w:line="244" w:lineRule="auto"/>
        <w:tabs>
          <w:tab w:leader="none" w:pos="2242" w:val="left"/>
        </w:tabs>
        <w:numPr>
          <w:ilvl w:val="0"/>
          <w:numId w:val="303"/>
        </w:numPr>
        <w:rPr>
          <w:rFonts w:ascii="Arial" w:cs="Arial" w:eastAsia="Arial" w:hAnsi="Arial"/>
          <w:sz w:val="21"/>
          <w:szCs w:val="21"/>
          <w:color w:val="auto"/>
        </w:rPr>
      </w:pPr>
      <w:r>
        <w:rPr>
          <w:rFonts w:ascii="Arial" w:cs="Arial" w:eastAsia="Arial" w:hAnsi="Arial"/>
          <w:sz w:val="21"/>
          <w:szCs w:val="21"/>
          <w:u w:val="single" w:color="auto"/>
          <w:color w:val="auto"/>
        </w:rPr>
        <w:t>Amendments and Waivers</w:t>
      </w:r>
      <w:r>
        <w:rPr>
          <w:rFonts w:ascii="Arial" w:cs="Arial" w:eastAsia="Arial" w:hAnsi="Arial"/>
          <w:sz w:val="21"/>
          <w:szCs w:val="21"/>
          <w:color w:val="auto"/>
        </w:rPr>
        <w:t>. The provisions of this Agreement may not be amended, modified or supplemented, and waivers or consents to or departures from the provisions hereof may not be given unless (i) in the case of Section 5 hereof and this Section 10(c)(i), the Issuers have obtained the written consent of Holders of all outstanding Transfer Restricted Securities and (ii) in the case of all other provisions hereof, the Issuers have obtained the written consent of Holders of a majority of the outstanding principal amount of Transfer Restricted Securities (excluding Transfer Restricted Securities held by the Issuers or their Affiliates). Notwithstanding the foregoing, a waiver or consent to or departure from the provisions hereof that relates exclusively to the rights of Holders whose Transfer Restricted Securities are being tendered pursuant to the Exchange Offer, and that does not affect, directly or indirectly, the rights of other Holders whose Transfer Restricted Securities are not being tendered pursuant to such Exchange Offer, may be given by the Holders of a majority of the outstanding principal amount of Transfer Restricted Securities subject to such Exchange Offer.</w:t>
      </w:r>
    </w:p>
    <w:p>
      <w:pPr>
        <w:spacing w:after="0" w:line="214" w:lineRule="exact"/>
        <w:rPr>
          <w:rFonts w:ascii="Arial" w:cs="Arial" w:eastAsia="Arial" w:hAnsi="Arial"/>
          <w:sz w:val="21"/>
          <w:szCs w:val="21"/>
          <w:color w:val="auto"/>
        </w:rPr>
      </w:pPr>
    </w:p>
    <w:p>
      <w:pPr>
        <w:jc w:val="both"/>
        <w:ind w:left="760" w:right="240" w:firstLine="641"/>
        <w:spacing w:after="0" w:line="258" w:lineRule="auto"/>
        <w:tabs>
          <w:tab w:leader="none" w:pos="2254" w:val="left"/>
        </w:tabs>
        <w:numPr>
          <w:ilvl w:val="0"/>
          <w:numId w:val="303"/>
        </w:numPr>
        <w:rPr>
          <w:rFonts w:ascii="Arial" w:cs="Arial" w:eastAsia="Arial" w:hAnsi="Arial"/>
          <w:sz w:val="21"/>
          <w:szCs w:val="21"/>
          <w:color w:val="auto"/>
        </w:rPr>
      </w:pPr>
      <w:r>
        <w:rPr>
          <w:rFonts w:ascii="Arial" w:cs="Arial" w:eastAsia="Arial" w:hAnsi="Arial"/>
          <w:sz w:val="21"/>
          <w:szCs w:val="21"/>
          <w:u w:val="single" w:color="auto"/>
          <w:color w:val="auto"/>
        </w:rPr>
        <w:t>Third Party Beneficiary</w:t>
      </w:r>
      <w:r>
        <w:rPr>
          <w:rFonts w:ascii="Arial" w:cs="Arial" w:eastAsia="Arial" w:hAnsi="Arial"/>
          <w:sz w:val="21"/>
          <w:szCs w:val="21"/>
          <w:color w:val="auto"/>
        </w:rPr>
        <w:t>. The Holders shall be third party beneficiaries to the agreements made hereunder between the Issuers and the Guarantors, on the one hand, and the Dealer Managers, on the other hand, and shall have the right to enforce such agreements directly</w:t>
      </w:r>
    </w:p>
    <w:p>
      <w:pPr>
        <w:spacing w:after="0" w:line="200" w:lineRule="exact"/>
        <w:rPr>
          <w:sz w:val="20"/>
          <w:szCs w:val="20"/>
          <w:color w:val="auto"/>
        </w:rPr>
      </w:pPr>
    </w:p>
    <w:p>
      <w:pPr>
        <w:spacing w:after="0" w:line="390"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76835</wp:posOffset>
            </wp:positionV>
            <wp:extent cx="601599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27" w:name="page228"/>
    <w:bookmarkEnd w:id="227"/>
    <w:p>
      <w:pPr>
        <w:ind w:left="760" w:right="720"/>
        <w:spacing w:after="0" w:line="251" w:lineRule="auto"/>
        <w:rPr>
          <w:sz w:val="20"/>
          <w:szCs w:val="20"/>
          <w:color w:val="auto"/>
        </w:rPr>
      </w:pPr>
      <w:r>
        <w:rPr>
          <w:rFonts w:ascii="Arial" w:cs="Arial" w:eastAsia="Arial" w:hAnsi="Arial"/>
          <w:sz w:val="22"/>
          <w:szCs w:val="22"/>
          <w:color w:val="auto"/>
        </w:rPr>
        <w:t>to the extent they may deem such enforcement necessary or advisable to protect the rights of Holders hereunder.</w:t>
      </w:r>
    </w:p>
    <w:p>
      <w:pPr>
        <w:spacing w:after="0" w:line="200" w:lineRule="exact"/>
        <w:rPr>
          <w:sz w:val="20"/>
          <w:szCs w:val="20"/>
          <w:color w:val="auto"/>
        </w:rPr>
      </w:pPr>
    </w:p>
    <w:p>
      <w:pPr>
        <w:ind w:left="760" w:firstLine="641"/>
        <w:spacing w:after="0"/>
        <w:tabs>
          <w:tab w:leader="none" w:pos="2242" w:val="left"/>
        </w:tabs>
        <w:numPr>
          <w:ilvl w:val="0"/>
          <w:numId w:val="30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and other communications provided for or permitted hereunder shall be made in writing by hand-delivery, first-class mail (registered or certified, return receipt requested), telex, telecopier, or air courier guaranteeing overnight delivery:</w:t>
      </w:r>
    </w:p>
    <w:p>
      <w:pPr>
        <w:spacing w:after="0" w:line="213" w:lineRule="exact"/>
        <w:rPr>
          <w:rFonts w:ascii="Arial" w:cs="Arial" w:eastAsia="Arial" w:hAnsi="Arial"/>
          <w:sz w:val="22"/>
          <w:szCs w:val="22"/>
          <w:color w:val="auto"/>
        </w:rPr>
      </w:pPr>
    </w:p>
    <w:p>
      <w:pPr>
        <w:ind w:left="1400" w:right="20" w:firstLine="811"/>
        <w:spacing w:after="0" w:line="282" w:lineRule="auto"/>
        <w:tabs>
          <w:tab w:leader="none" w:pos="3009" w:val="left"/>
        </w:tabs>
        <w:numPr>
          <w:ilvl w:val="1"/>
          <w:numId w:val="304"/>
        </w:numPr>
        <w:rPr>
          <w:rFonts w:ascii="Arial" w:cs="Arial" w:eastAsia="Arial" w:hAnsi="Arial"/>
          <w:sz w:val="19"/>
          <w:szCs w:val="19"/>
          <w:color w:val="auto"/>
        </w:rPr>
      </w:pPr>
      <w:r>
        <w:rPr>
          <w:rFonts w:ascii="Arial" w:cs="Arial" w:eastAsia="Arial" w:hAnsi="Arial"/>
          <w:sz w:val="19"/>
          <w:szCs w:val="19"/>
          <w:color w:val="auto"/>
        </w:rPr>
        <w:t>if to a Holder, at the most current address given by such Holder to the Issuers in accordance with the provisions of this Section 10(e), which address initially is, with respect to each Holder, the address set forth on the records of the Registrar under the Indenture, with a copy (which shall not constitute notice) to the Registrar under the Indenture and with a further copy to the Dealer Managers, care of Deutsche Bank Securities Inc., at the address set forth in paragraph (iii) below; and</w:t>
      </w:r>
    </w:p>
    <w:p>
      <w:pPr>
        <w:spacing w:after="0" w:line="174" w:lineRule="exact"/>
        <w:rPr>
          <w:rFonts w:ascii="Arial" w:cs="Arial" w:eastAsia="Arial" w:hAnsi="Arial"/>
          <w:sz w:val="19"/>
          <w:szCs w:val="19"/>
          <w:color w:val="auto"/>
        </w:rPr>
      </w:pPr>
    </w:p>
    <w:p>
      <w:pPr>
        <w:ind w:left="3020" w:hanging="809"/>
        <w:spacing w:after="0"/>
        <w:tabs>
          <w:tab w:leader="none" w:pos="3020" w:val="left"/>
        </w:tabs>
        <w:numPr>
          <w:ilvl w:val="1"/>
          <w:numId w:val="304"/>
        </w:numPr>
        <w:rPr>
          <w:rFonts w:ascii="Arial" w:cs="Arial" w:eastAsia="Arial" w:hAnsi="Arial"/>
          <w:sz w:val="22"/>
          <w:szCs w:val="22"/>
          <w:color w:val="auto"/>
        </w:rPr>
      </w:pPr>
      <w:r>
        <w:rPr>
          <w:rFonts w:ascii="Arial" w:cs="Arial" w:eastAsia="Arial" w:hAnsi="Arial"/>
          <w:sz w:val="22"/>
          <w:szCs w:val="22"/>
          <w:color w:val="auto"/>
        </w:rPr>
        <w:t>if to the Issuers or the Guarantors:</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c/o Wynn Resorts Limited</w:t>
      </w:r>
    </w:p>
    <w:p>
      <w:pPr>
        <w:ind w:left="3340"/>
        <w:spacing w:after="0" w:line="238" w:lineRule="auto"/>
        <w:rPr>
          <w:sz w:val="20"/>
          <w:szCs w:val="20"/>
          <w:color w:val="auto"/>
        </w:rPr>
      </w:pPr>
      <w:r>
        <w:rPr>
          <w:rFonts w:ascii="Arial" w:cs="Arial" w:eastAsia="Arial" w:hAnsi="Arial"/>
          <w:sz w:val="22"/>
          <w:szCs w:val="22"/>
          <w:color w:val="auto"/>
        </w:rPr>
        <w:t>3131 Las Vegas Boulevard South</w:t>
      </w:r>
    </w:p>
    <w:p>
      <w:pPr>
        <w:ind w:left="3340"/>
        <w:spacing w:after="0" w:line="230" w:lineRule="auto"/>
        <w:rPr>
          <w:sz w:val="20"/>
          <w:szCs w:val="20"/>
          <w:color w:val="auto"/>
        </w:rPr>
      </w:pPr>
      <w:r>
        <w:rPr>
          <w:rFonts w:ascii="Arial" w:cs="Arial" w:eastAsia="Arial" w:hAnsi="Arial"/>
          <w:sz w:val="22"/>
          <w:szCs w:val="22"/>
          <w:color w:val="auto"/>
        </w:rPr>
        <w:t>Las Vegas, Nevada 89109</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General Counsel</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Skadden, Arps, Slate, Meagher &amp; Flom LLP</w:t>
      </w:r>
    </w:p>
    <w:p>
      <w:pPr>
        <w:ind w:left="3340"/>
        <w:spacing w:after="0" w:line="238" w:lineRule="auto"/>
        <w:rPr>
          <w:sz w:val="20"/>
          <w:szCs w:val="20"/>
          <w:color w:val="auto"/>
        </w:rPr>
      </w:pPr>
      <w:r>
        <w:rPr>
          <w:rFonts w:ascii="Arial" w:cs="Arial" w:eastAsia="Arial" w:hAnsi="Arial"/>
          <w:sz w:val="22"/>
          <w:szCs w:val="22"/>
          <w:color w:val="auto"/>
        </w:rPr>
        <w:t>300 South Grand Ave., Suite 3400</w:t>
      </w:r>
    </w:p>
    <w:p>
      <w:pPr>
        <w:ind w:left="3340"/>
        <w:spacing w:after="0" w:line="230" w:lineRule="auto"/>
        <w:rPr>
          <w:sz w:val="20"/>
          <w:szCs w:val="20"/>
          <w:color w:val="auto"/>
        </w:rPr>
      </w:pPr>
      <w:r>
        <w:rPr>
          <w:rFonts w:ascii="Arial" w:cs="Arial" w:eastAsia="Arial" w:hAnsi="Arial"/>
          <w:sz w:val="22"/>
          <w:szCs w:val="22"/>
          <w:color w:val="auto"/>
        </w:rPr>
        <w:t>Los Angeles, California 90071</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Casey Fleck</w:t>
      </w:r>
    </w:p>
    <w:p>
      <w:pPr>
        <w:spacing w:after="0" w:line="215" w:lineRule="exact"/>
        <w:rPr>
          <w:sz w:val="20"/>
          <w:szCs w:val="20"/>
          <w:color w:val="auto"/>
        </w:rPr>
      </w:pPr>
    </w:p>
    <w:p>
      <w:pPr>
        <w:ind w:left="2960" w:hanging="911"/>
        <w:spacing w:after="0"/>
        <w:tabs>
          <w:tab w:leader="none" w:pos="2960" w:val="left"/>
        </w:tabs>
        <w:numPr>
          <w:ilvl w:val="0"/>
          <w:numId w:val="305"/>
        </w:numPr>
        <w:rPr>
          <w:rFonts w:ascii="Arial" w:cs="Arial" w:eastAsia="Arial" w:hAnsi="Arial"/>
          <w:sz w:val="22"/>
          <w:szCs w:val="22"/>
          <w:color w:val="auto"/>
        </w:rPr>
      </w:pPr>
      <w:r>
        <w:rPr>
          <w:rFonts w:ascii="Arial" w:cs="Arial" w:eastAsia="Arial" w:hAnsi="Arial"/>
          <w:sz w:val="22"/>
          <w:szCs w:val="22"/>
          <w:color w:val="auto"/>
        </w:rPr>
        <w:t>if to the Dealer Managers:</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Deutsche Bank Securities Inc.</w:t>
      </w:r>
    </w:p>
    <w:p>
      <w:pPr>
        <w:ind w:left="3340"/>
        <w:spacing w:after="0" w:line="238" w:lineRule="auto"/>
        <w:rPr>
          <w:sz w:val="20"/>
          <w:szCs w:val="20"/>
          <w:color w:val="auto"/>
        </w:rPr>
      </w:pPr>
      <w:r>
        <w:rPr>
          <w:rFonts w:ascii="Arial" w:cs="Arial" w:eastAsia="Arial" w:hAnsi="Arial"/>
          <w:sz w:val="22"/>
          <w:szCs w:val="22"/>
          <w:color w:val="auto"/>
        </w:rPr>
        <w:t>60 Wall Street, 2nd Floor</w:t>
      </w:r>
    </w:p>
    <w:p>
      <w:pPr>
        <w:ind w:left="3340"/>
        <w:spacing w:after="0" w:line="230" w:lineRule="auto"/>
        <w:rPr>
          <w:sz w:val="20"/>
          <w:szCs w:val="20"/>
          <w:color w:val="auto"/>
        </w:rPr>
      </w:pPr>
      <w:r>
        <w:rPr>
          <w:rFonts w:ascii="Arial" w:cs="Arial" w:eastAsia="Arial" w:hAnsi="Arial"/>
          <w:sz w:val="22"/>
          <w:szCs w:val="22"/>
          <w:color w:val="auto"/>
        </w:rPr>
        <w:t>New York, New York 10005</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General Counsel</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Banc of America Securities LLC</w:t>
      </w:r>
    </w:p>
    <w:p>
      <w:pPr>
        <w:ind w:left="3340"/>
        <w:spacing w:after="0" w:line="238" w:lineRule="auto"/>
        <w:rPr>
          <w:sz w:val="20"/>
          <w:szCs w:val="20"/>
          <w:color w:val="auto"/>
        </w:rPr>
      </w:pPr>
      <w:r>
        <w:rPr>
          <w:rFonts w:ascii="Arial" w:cs="Arial" w:eastAsia="Arial" w:hAnsi="Arial"/>
          <w:sz w:val="22"/>
          <w:szCs w:val="22"/>
          <w:color w:val="auto"/>
        </w:rPr>
        <w:t>214 North Tryon Street</w:t>
      </w:r>
    </w:p>
    <w:p>
      <w:pPr>
        <w:ind w:left="3340"/>
        <w:spacing w:after="0" w:line="230" w:lineRule="auto"/>
        <w:rPr>
          <w:sz w:val="20"/>
          <w:szCs w:val="20"/>
          <w:color w:val="auto"/>
        </w:rPr>
      </w:pPr>
      <w:r>
        <w:rPr>
          <w:rFonts w:ascii="Arial" w:cs="Arial" w:eastAsia="Arial" w:hAnsi="Arial"/>
          <w:sz w:val="22"/>
          <w:szCs w:val="22"/>
          <w:color w:val="auto"/>
        </w:rPr>
        <w:t>Charlotte, North Carolina 28255</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General Counsel</w:t>
      </w:r>
    </w:p>
    <w:p>
      <w:pPr>
        <w:spacing w:after="0" w:line="215"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J.P. Morgan Securities Inc.</w:t>
      </w:r>
    </w:p>
    <w:p>
      <w:pPr>
        <w:ind w:left="3340"/>
        <w:spacing w:after="0" w:line="238" w:lineRule="auto"/>
        <w:rPr>
          <w:sz w:val="20"/>
          <w:szCs w:val="20"/>
          <w:color w:val="auto"/>
        </w:rPr>
      </w:pPr>
      <w:r>
        <w:rPr>
          <w:rFonts w:ascii="Arial" w:cs="Arial" w:eastAsia="Arial" w:hAnsi="Arial"/>
          <w:sz w:val="22"/>
          <w:szCs w:val="22"/>
          <w:color w:val="auto"/>
        </w:rPr>
        <w:t>383 Madison Avenue</w:t>
      </w:r>
    </w:p>
    <w:p>
      <w:pPr>
        <w:ind w:left="3340"/>
        <w:spacing w:after="0" w:line="230" w:lineRule="auto"/>
        <w:rPr>
          <w:sz w:val="20"/>
          <w:szCs w:val="20"/>
          <w:color w:val="auto"/>
        </w:rPr>
      </w:pPr>
      <w:r>
        <w:rPr>
          <w:rFonts w:ascii="Arial" w:cs="Arial" w:eastAsia="Arial" w:hAnsi="Arial"/>
          <w:sz w:val="22"/>
          <w:szCs w:val="22"/>
          <w:color w:val="auto"/>
        </w:rPr>
        <w:t>27th Floor</w:t>
      </w:r>
    </w:p>
    <w:p>
      <w:pPr>
        <w:ind w:left="3340"/>
        <w:spacing w:after="0" w:line="231" w:lineRule="auto"/>
        <w:rPr>
          <w:sz w:val="20"/>
          <w:szCs w:val="20"/>
          <w:color w:val="auto"/>
        </w:rPr>
      </w:pPr>
      <w:r>
        <w:rPr>
          <w:rFonts w:ascii="Arial" w:cs="Arial" w:eastAsia="Arial" w:hAnsi="Arial"/>
          <w:sz w:val="22"/>
          <w:szCs w:val="22"/>
          <w:color w:val="auto"/>
        </w:rPr>
        <w:t>New York, New York 10179</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Brian Tramontozzi</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76835</wp:posOffset>
            </wp:positionV>
            <wp:extent cx="601599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28" w:name="page229"/>
    <w:bookmarkEnd w:id="228"/>
    <w:p>
      <w:pPr>
        <w:ind w:left="334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Latham &amp; Watkins LLP</w:t>
      </w:r>
    </w:p>
    <w:p>
      <w:pPr>
        <w:ind w:left="3340"/>
        <w:spacing w:after="0" w:line="238" w:lineRule="auto"/>
        <w:rPr>
          <w:sz w:val="20"/>
          <w:szCs w:val="20"/>
          <w:color w:val="auto"/>
        </w:rPr>
      </w:pPr>
      <w:r>
        <w:rPr>
          <w:rFonts w:ascii="Arial" w:cs="Arial" w:eastAsia="Arial" w:hAnsi="Arial"/>
          <w:sz w:val="22"/>
          <w:szCs w:val="22"/>
          <w:color w:val="auto"/>
        </w:rPr>
        <w:t>355 South Grand Avenue</w:t>
      </w:r>
    </w:p>
    <w:p>
      <w:pPr>
        <w:ind w:left="3340"/>
        <w:spacing w:after="0" w:line="230" w:lineRule="auto"/>
        <w:rPr>
          <w:sz w:val="20"/>
          <w:szCs w:val="20"/>
          <w:color w:val="auto"/>
        </w:rPr>
      </w:pPr>
      <w:r>
        <w:rPr>
          <w:rFonts w:ascii="Arial" w:cs="Arial" w:eastAsia="Arial" w:hAnsi="Arial"/>
          <w:sz w:val="22"/>
          <w:szCs w:val="22"/>
          <w:color w:val="auto"/>
        </w:rPr>
        <w:t>Los Angeles, California 90071-1560</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Attention: Pamela B. Kelly</w:t>
      </w:r>
    </w:p>
    <w:p>
      <w:pPr>
        <w:spacing w:after="0" w:line="215" w:lineRule="exact"/>
        <w:rPr>
          <w:sz w:val="20"/>
          <w:szCs w:val="20"/>
          <w:color w:val="auto"/>
        </w:rPr>
      </w:pPr>
    </w:p>
    <w:p>
      <w:pPr>
        <w:ind w:left="760" w:right="80" w:firstLine="648"/>
        <w:spacing w:after="0" w:line="238" w:lineRule="auto"/>
        <w:rPr>
          <w:sz w:val="20"/>
          <w:szCs w:val="20"/>
          <w:color w:val="auto"/>
        </w:rPr>
      </w:pPr>
      <w:r>
        <w:rPr>
          <w:rFonts w:ascii="Arial" w:cs="Arial" w:eastAsia="Arial" w:hAnsi="Arial"/>
          <w:sz w:val="22"/>
          <w:szCs w:val="22"/>
          <w:color w:val="auto"/>
        </w:rPr>
        <w:t>All such notices and communications shall be deemed to have been duly given: at the time delivered by hand, if personally delivered; five Business Days after being deposited in the mail, postage prepaid, if mailed; when receipt acknowledged, if telecopied; and on the next business day, if timely delivered to an air courier guaranteeing overnight delivery.</w:t>
      </w:r>
    </w:p>
    <w:p>
      <w:pPr>
        <w:spacing w:after="0" w:line="212" w:lineRule="exact"/>
        <w:rPr>
          <w:sz w:val="20"/>
          <w:szCs w:val="20"/>
          <w:color w:val="auto"/>
        </w:rPr>
      </w:pPr>
    </w:p>
    <w:p>
      <w:pPr>
        <w:ind w:left="760" w:right="40" w:firstLine="648"/>
        <w:spacing w:after="0" w:line="251" w:lineRule="auto"/>
        <w:rPr>
          <w:sz w:val="20"/>
          <w:szCs w:val="20"/>
          <w:color w:val="auto"/>
        </w:rPr>
      </w:pPr>
      <w:r>
        <w:rPr>
          <w:rFonts w:ascii="Arial" w:cs="Arial" w:eastAsia="Arial" w:hAnsi="Arial"/>
          <w:sz w:val="22"/>
          <w:szCs w:val="22"/>
          <w:color w:val="auto"/>
        </w:rPr>
        <w:t>The Issuers, by notice to the Registrar, may designate additional or different addresses for subsequent notices or communications.</w:t>
      </w:r>
    </w:p>
    <w:p>
      <w:pPr>
        <w:spacing w:after="0" w:line="200" w:lineRule="exact"/>
        <w:rPr>
          <w:sz w:val="20"/>
          <w:szCs w:val="20"/>
          <w:color w:val="auto"/>
        </w:rPr>
      </w:pPr>
    </w:p>
    <w:p>
      <w:pPr>
        <w:ind w:left="760" w:right="200" w:firstLine="648"/>
        <w:spacing w:after="0" w:line="274" w:lineRule="auto"/>
        <w:rPr>
          <w:sz w:val="20"/>
          <w:szCs w:val="20"/>
          <w:color w:val="auto"/>
        </w:rPr>
      </w:pPr>
      <w:r>
        <w:rPr>
          <w:rFonts w:ascii="Arial" w:cs="Arial" w:eastAsia="Arial" w:hAnsi="Arial"/>
          <w:sz w:val="21"/>
          <w:szCs w:val="21"/>
          <w:color w:val="auto"/>
        </w:rPr>
        <w:t>Copies of all such notices, demands or other communications shall be concurrently delivered by the Person giving the same to the Trustee at the address specified in the Indenture.</w:t>
      </w:r>
    </w:p>
    <w:p>
      <w:pPr>
        <w:spacing w:after="0" w:line="178" w:lineRule="exact"/>
        <w:rPr>
          <w:sz w:val="20"/>
          <w:szCs w:val="20"/>
          <w:color w:val="auto"/>
        </w:rPr>
      </w:pPr>
    </w:p>
    <w:p>
      <w:pPr>
        <w:ind w:left="760" w:right="160" w:firstLine="648"/>
        <w:spacing w:after="0" w:line="274" w:lineRule="auto"/>
        <w:rPr>
          <w:sz w:val="20"/>
          <w:szCs w:val="20"/>
          <w:color w:val="auto"/>
        </w:rPr>
      </w:pPr>
      <w:r>
        <w:rPr>
          <w:rFonts w:ascii="Arial" w:cs="Arial" w:eastAsia="Arial" w:hAnsi="Arial"/>
          <w:sz w:val="21"/>
          <w:szCs w:val="21"/>
          <w:color w:val="auto"/>
        </w:rPr>
        <w:t>The Issuers shall notify the Dealer Managers on the date the Exchange Offer Registration Statement or a Shelf Registration Statement, as the case may be, is filed with the Commission.</w:t>
      </w:r>
    </w:p>
    <w:p>
      <w:pPr>
        <w:spacing w:after="0" w:line="178" w:lineRule="exact"/>
        <w:rPr>
          <w:sz w:val="20"/>
          <w:szCs w:val="20"/>
          <w:color w:val="auto"/>
        </w:rPr>
      </w:pPr>
    </w:p>
    <w:p>
      <w:pPr>
        <w:ind w:left="760" w:right="20" w:firstLine="641"/>
        <w:spacing w:after="0" w:line="244" w:lineRule="auto"/>
        <w:tabs>
          <w:tab w:leader="none" w:pos="2218" w:val="left"/>
        </w:tabs>
        <w:numPr>
          <w:ilvl w:val="0"/>
          <w:numId w:val="306"/>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xml:space="preserve">. This Agreement shall inure to the benefit of and be binding upon the successors and assigns of each of the parties, including, without limitation, subsequent Holders, without the need for an express assignment; </w:t>
      </w:r>
      <w:r>
        <w:rPr>
          <w:rFonts w:ascii="Arial" w:cs="Arial" w:eastAsia="Arial" w:hAnsi="Arial"/>
          <w:sz w:val="21"/>
          <w:szCs w:val="21"/>
          <w:i w:val="1"/>
          <w:iCs w:val="1"/>
          <w:color w:val="auto"/>
        </w:rPr>
        <w:t>provided</w:t>
      </w:r>
      <w:r>
        <w:rPr>
          <w:rFonts w:ascii="Arial" w:cs="Arial" w:eastAsia="Arial" w:hAnsi="Arial"/>
          <w:sz w:val="21"/>
          <w:szCs w:val="21"/>
          <w:color w:val="auto"/>
        </w:rPr>
        <w:t>, that nothing herein shall be deemed to permit any assignment, transfer or other disposition of Transfer Restricted Securities in violation of the terms hereof or of the Dealer Manager Agreement or the Indenture. If any transferee of any Holder shall acquire Transfer Restricted Securities in any manner, whether by operation of law or otherwise, such Transfer Restricted Securities sh all be held subject to all of the terms of this Agreement, and by taking and holding such Transfer Restricted Securities such Person shall be conclusively deemed to have agreed to be bound by and to perform all of the terms and provisions of this Agreement, including any restrictions on resale set forth in this Agreement, the Dealer Manager Agreement and the Indenture, and such Person shall be entitled to receive the benefits hereof.</w:t>
      </w:r>
    </w:p>
    <w:p>
      <w:pPr>
        <w:spacing w:after="0" w:line="216" w:lineRule="exact"/>
        <w:rPr>
          <w:rFonts w:ascii="Arial" w:cs="Arial" w:eastAsia="Arial" w:hAnsi="Arial"/>
          <w:sz w:val="21"/>
          <w:szCs w:val="21"/>
          <w:color w:val="auto"/>
        </w:rPr>
      </w:pPr>
    </w:p>
    <w:p>
      <w:pPr>
        <w:ind w:left="760" w:firstLine="641"/>
        <w:spacing w:after="0" w:line="258" w:lineRule="auto"/>
        <w:tabs>
          <w:tab w:leader="none" w:pos="2254" w:val="left"/>
        </w:tabs>
        <w:numPr>
          <w:ilvl w:val="0"/>
          <w:numId w:val="306"/>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93" w:lineRule="exact"/>
        <w:rPr>
          <w:rFonts w:ascii="Arial" w:cs="Arial" w:eastAsia="Arial" w:hAnsi="Arial"/>
          <w:sz w:val="21"/>
          <w:szCs w:val="21"/>
          <w:color w:val="auto"/>
        </w:rPr>
      </w:pPr>
    </w:p>
    <w:p>
      <w:pPr>
        <w:ind w:left="760" w:right="120" w:firstLine="641"/>
        <w:spacing w:after="0" w:line="251" w:lineRule="auto"/>
        <w:tabs>
          <w:tab w:leader="none" w:pos="2254" w:val="left"/>
        </w:tabs>
        <w:numPr>
          <w:ilvl w:val="0"/>
          <w:numId w:val="306"/>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Agreement are for convenience of reference only and shall not limit or otherwise affect the meaning hereof.</w:t>
      </w:r>
    </w:p>
    <w:p>
      <w:pPr>
        <w:spacing w:after="0" w:line="200" w:lineRule="exact"/>
        <w:rPr>
          <w:rFonts w:ascii="Arial" w:cs="Arial" w:eastAsia="Arial" w:hAnsi="Arial"/>
          <w:sz w:val="22"/>
          <w:szCs w:val="22"/>
          <w:color w:val="auto"/>
        </w:rPr>
      </w:pPr>
    </w:p>
    <w:p>
      <w:pPr>
        <w:ind w:left="760" w:right="80" w:firstLine="641"/>
        <w:spacing w:after="0" w:line="258" w:lineRule="auto"/>
        <w:tabs>
          <w:tab w:leader="none" w:pos="2206" w:val="left"/>
        </w:tabs>
        <w:numPr>
          <w:ilvl w:val="0"/>
          <w:numId w:val="306"/>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NEW YORK, INCLUDING, WITHOUT LIMITATION, SECTION 5-1401 OF THE NEW YORK GENERAL OBLIGATIONS LAW.</w:t>
      </w:r>
    </w:p>
    <w:p>
      <w:pPr>
        <w:spacing w:after="0" w:line="200" w:lineRule="exact"/>
        <w:rPr>
          <w:sz w:val="20"/>
          <w:szCs w:val="20"/>
          <w:color w:val="auto"/>
        </w:rPr>
      </w:pPr>
    </w:p>
    <w:p>
      <w:pPr>
        <w:spacing w:after="0" w:line="390"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76835</wp:posOffset>
            </wp:positionV>
            <wp:extent cx="601599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29" w:name="page230"/>
    <w:bookmarkEnd w:id="229"/>
    <w:p>
      <w:pPr>
        <w:jc w:val="both"/>
        <w:ind w:left="760" w:right="40" w:firstLine="641"/>
        <w:spacing w:after="0" w:line="238" w:lineRule="auto"/>
        <w:tabs>
          <w:tab w:leader="none" w:pos="2206" w:val="left"/>
        </w:tabs>
        <w:numPr>
          <w:ilvl w:val="0"/>
          <w:numId w:val="30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212" w:lineRule="exact"/>
        <w:rPr>
          <w:rFonts w:ascii="Arial" w:cs="Arial" w:eastAsia="Arial" w:hAnsi="Arial"/>
          <w:sz w:val="22"/>
          <w:szCs w:val="22"/>
          <w:color w:val="auto"/>
        </w:rPr>
      </w:pPr>
    </w:p>
    <w:p>
      <w:pPr>
        <w:ind w:left="760" w:firstLine="641"/>
        <w:spacing w:after="0" w:line="279" w:lineRule="auto"/>
        <w:tabs>
          <w:tab w:leader="none" w:pos="2254" w:val="left"/>
        </w:tabs>
        <w:numPr>
          <w:ilvl w:val="0"/>
          <w:numId w:val="30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with respect to the Transfer Restricted Securities. This Agreement supersedes all prior agreements and understandings between the parties with respect to such subject matter.</w:t>
      </w:r>
    </w:p>
    <w:p>
      <w:pPr>
        <w:spacing w:after="0" w:line="200" w:lineRule="exact"/>
        <w:rPr>
          <w:sz w:val="20"/>
          <w:szCs w:val="20"/>
          <w:color w:val="auto"/>
        </w:rPr>
      </w:pPr>
    </w:p>
    <w:p>
      <w:pPr>
        <w:spacing w:after="0" w:line="374"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76835</wp:posOffset>
            </wp:positionV>
            <wp:extent cx="601599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120"/>
          </w:cols>
          <w:pgMar w:left="1440" w:top="510" w:right="339" w:bottom="1440" w:gutter="0" w:footer="0" w:header="0"/>
        </w:sectPr>
      </w:pPr>
    </w:p>
    <w:bookmarkStart w:id="230" w:name="page231"/>
    <w:bookmarkEnd w:id="230"/>
    <w:p>
      <w:pPr>
        <w:ind w:left="1400"/>
        <w:spacing w:after="0"/>
        <w:rPr>
          <w:sz w:val="20"/>
          <w:szCs w:val="20"/>
          <w:color w:val="auto"/>
        </w:rPr>
      </w:pPr>
      <w:r>
        <w:rPr>
          <w:rFonts w:ascii="Arial" w:cs="Arial" w:eastAsia="Arial" w:hAnsi="Arial"/>
          <w:sz w:val="21"/>
          <w:szCs w:val="21"/>
          <w:color w:val="auto"/>
        </w:rPr>
        <w:t>IN WITNESS WHEREOF, the parties have executed this Agreement as of the date first written</w:t>
      </w:r>
    </w:p>
    <w:p>
      <w:pPr>
        <w:spacing w:after="0" w:line="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above.</w:t>
      </w:r>
    </w:p>
    <w:p>
      <w:pPr>
        <w:spacing w:after="0" w:line="209"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ISSUERS:</w:t>
      </w:r>
    </w:p>
    <w:p>
      <w:pPr>
        <w:spacing w:after="0" w:line="206"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WYNN LAS VEGAS, LLC,</w:t>
      </w:r>
    </w:p>
    <w:p>
      <w:pPr>
        <w:spacing w:after="0" w:line="1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 Nevada limited liability company</w:t>
      </w:r>
    </w:p>
    <w:p>
      <w:pPr>
        <w:spacing w:after="0" w:line="188"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22"/>
          <w:szCs w:val="22"/>
          <w:color w:val="auto"/>
        </w:rPr>
        <w:t>By:</w:t>
        <w:tab/>
        <w:t>Wynn Resorts Holdings, LLC,</w:t>
      </w:r>
    </w:p>
    <w:p>
      <w:pPr>
        <w:ind w:left="4900"/>
        <w:spacing w:after="0" w:line="238" w:lineRule="auto"/>
        <w:rPr>
          <w:sz w:val="20"/>
          <w:szCs w:val="20"/>
          <w:color w:val="auto"/>
        </w:rPr>
      </w:pPr>
      <w:r>
        <w:rPr>
          <w:rFonts w:ascii="Arial" w:cs="Arial" w:eastAsia="Arial" w:hAnsi="Arial"/>
          <w:sz w:val="22"/>
          <w:szCs w:val="22"/>
          <w:color w:val="auto"/>
        </w:rPr>
        <w:t>a Nevada limited liability company,</w:t>
      </w:r>
    </w:p>
    <w:p>
      <w:pPr>
        <w:ind w:left="490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ind w:left="4900"/>
        <w:spacing w:after="0"/>
        <w:tabs>
          <w:tab w:leader="none" w:pos="5460" w:val="left"/>
        </w:tabs>
        <w:rPr>
          <w:sz w:val="20"/>
          <w:szCs w:val="20"/>
          <w:color w:val="auto"/>
        </w:rPr>
      </w:pPr>
      <w:r>
        <w:rPr>
          <w:rFonts w:ascii="Arial" w:cs="Arial" w:eastAsia="Arial" w:hAnsi="Arial"/>
          <w:sz w:val="22"/>
          <w:szCs w:val="22"/>
          <w:color w:val="auto"/>
        </w:rPr>
        <w:t>By:</w:t>
        <w:tab/>
        <w:t>Wynn Resorts, Limited,</w:t>
      </w:r>
    </w:p>
    <w:p>
      <w:pPr>
        <w:ind w:left="5480"/>
        <w:spacing w:after="0" w:line="238" w:lineRule="auto"/>
        <w:rPr>
          <w:sz w:val="20"/>
          <w:szCs w:val="20"/>
          <w:color w:val="auto"/>
        </w:rPr>
      </w:pPr>
      <w:r>
        <w:rPr>
          <w:rFonts w:ascii="Arial" w:cs="Arial" w:eastAsia="Arial" w:hAnsi="Arial"/>
          <w:sz w:val="22"/>
          <w:szCs w:val="22"/>
          <w:color w:val="auto"/>
        </w:rPr>
        <w:t>a Nevada corporation,</w:t>
      </w:r>
    </w:p>
    <w:p>
      <w:pPr>
        <w:ind w:left="5480"/>
        <w:spacing w:after="0"/>
        <w:rPr>
          <w:sz w:val="20"/>
          <w:szCs w:val="20"/>
          <w:color w:val="auto"/>
        </w:rPr>
      </w:pPr>
      <w:r>
        <w:rPr>
          <w:rFonts w:ascii="Arial" w:cs="Arial" w:eastAsia="Arial" w:hAnsi="Arial"/>
          <w:sz w:val="22"/>
          <w:szCs w:val="22"/>
          <w:color w:val="auto"/>
        </w:rPr>
        <w:t>its sole member</w:t>
      </w:r>
    </w:p>
    <w:p>
      <w:pPr>
        <w:spacing w:after="0" w:line="215"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7620</wp:posOffset>
            </wp:positionV>
            <wp:extent cx="222948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229485" cy="17145"/>
                    </a:xfrm>
                    <a:prstGeom prst="rect">
                      <a:avLst/>
                    </a:prstGeom>
                    <a:noFill/>
                  </pic:spPr>
                </pic:pic>
              </a:graphicData>
            </a:graphic>
          </wp:anchor>
        </w:drawing>
      </w:r>
    </w:p>
    <w:p>
      <w:pPr>
        <w:spacing w:after="0" w:line="2"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Name:Matt Maddox</w:t>
      </w:r>
    </w:p>
    <w:p>
      <w:pPr>
        <w:spacing w:after="0" w:line="4"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Title: Chief Financial Officer &amp; Treasurer</w:t>
      </w:r>
    </w:p>
    <w:p>
      <w:pPr>
        <w:spacing w:after="0" w:line="200" w:lineRule="exact"/>
        <w:rPr>
          <w:sz w:val="20"/>
          <w:szCs w:val="20"/>
          <w:color w:val="auto"/>
        </w:rPr>
      </w:pPr>
    </w:p>
    <w:p>
      <w:pPr>
        <w:spacing w:after="0" w:line="225"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WYNN LAS VEGAS CAPITAL CORP.,</w:t>
      </w:r>
    </w:p>
    <w:p>
      <w:pPr>
        <w:spacing w:after="0" w:line="1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 Nevada corporation</w:t>
      </w:r>
      <w:r>
        <w:rPr>
          <w:rFonts w:ascii="Arial" w:cs="Arial" w:eastAsia="Arial" w:hAnsi="Arial"/>
          <w:sz w:val="22"/>
          <w:szCs w:val="22"/>
          <w:b w:val="1"/>
          <w:bCs w:val="1"/>
          <w:color w:val="auto"/>
        </w:rPr>
        <w:t>,</w:t>
      </w:r>
    </w:p>
    <w:p>
      <w:pPr>
        <w:spacing w:after="0" w:line="215"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22"/>
          <w:szCs w:val="22"/>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7620</wp:posOffset>
            </wp:positionV>
            <wp:extent cx="25984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2"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Name:Matt Maddox</w:t>
      </w:r>
    </w:p>
    <w:p>
      <w:pPr>
        <w:spacing w:after="0" w:line="4"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Title: Chief Financial Officer &amp; Treasurer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540"/>
        <w:spacing w:after="0"/>
        <w:rPr>
          <w:sz w:val="20"/>
          <w:szCs w:val="20"/>
          <w:color w:val="auto"/>
        </w:rPr>
      </w:pPr>
      <w:r>
        <w:rPr>
          <w:rFonts w:ascii="Arial" w:cs="Arial" w:eastAsia="Arial" w:hAnsi="Arial"/>
          <w:sz w:val="20"/>
          <w:szCs w:val="20"/>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265430</wp:posOffset>
            </wp:positionV>
            <wp:extent cx="601599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31" w:name="page232"/>
    <w:bookmarkEnd w:id="231"/>
    <w:p>
      <w:pPr>
        <w:ind w:left="4340"/>
        <w:spacing w:after="0"/>
        <w:rPr>
          <w:sz w:val="20"/>
          <w:szCs w:val="20"/>
          <w:color w:val="auto"/>
        </w:rPr>
      </w:pPr>
      <w:r>
        <w:rPr>
          <w:rFonts w:ascii="Arial" w:cs="Arial" w:eastAsia="Arial" w:hAnsi="Arial"/>
          <w:sz w:val="22"/>
          <w:szCs w:val="22"/>
          <w:b w:val="1"/>
          <w:bCs w:val="1"/>
          <w:color w:val="auto"/>
        </w:rPr>
        <w:t>WYNN SHOW PERFORMERS, LLC</w:t>
      </w:r>
      <w:r>
        <w:rPr>
          <w:rFonts w:ascii="Arial" w:cs="Arial" w:eastAsia="Arial" w:hAnsi="Arial"/>
          <w:sz w:val="22"/>
          <w:szCs w:val="22"/>
          <w:color w:val="auto"/>
        </w:rPr>
        <w:t>,</w:t>
      </w:r>
    </w:p>
    <w:p>
      <w:pPr>
        <w:spacing w:after="0" w:line="1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 Nevada limited liability company</w:t>
      </w:r>
    </w:p>
    <w:p>
      <w:pPr>
        <w:spacing w:after="0" w:line="188" w:lineRule="exact"/>
        <w:rPr>
          <w:sz w:val="20"/>
          <w:szCs w:val="20"/>
          <w:color w:val="auto"/>
        </w:rPr>
      </w:pPr>
    </w:p>
    <w:p>
      <w:pPr>
        <w:ind w:left="4340"/>
        <w:spacing w:after="0"/>
        <w:tabs>
          <w:tab w:leader="none" w:pos="4900" w:val="left"/>
        </w:tabs>
        <w:rPr>
          <w:sz w:val="20"/>
          <w:szCs w:val="20"/>
          <w:color w:val="auto"/>
        </w:rPr>
      </w:pPr>
      <w:r>
        <w:rPr>
          <w:rFonts w:ascii="Arial" w:cs="Arial" w:eastAsia="Arial" w:hAnsi="Arial"/>
          <w:sz w:val="22"/>
          <w:szCs w:val="22"/>
          <w:color w:val="auto"/>
        </w:rPr>
        <w:t>By:</w:t>
        <w:tab/>
        <w:t>Wynn Las Vegas, LLC,</w:t>
      </w:r>
    </w:p>
    <w:p>
      <w:pPr>
        <w:ind w:left="4920"/>
        <w:spacing w:after="0" w:line="238" w:lineRule="auto"/>
        <w:rPr>
          <w:sz w:val="20"/>
          <w:szCs w:val="20"/>
          <w:color w:val="auto"/>
        </w:rPr>
      </w:pPr>
      <w:r>
        <w:rPr>
          <w:rFonts w:ascii="Arial" w:cs="Arial" w:eastAsia="Arial" w:hAnsi="Arial"/>
          <w:sz w:val="22"/>
          <w:szCs w:val="22"/>
          <w:color w:val="auto"/>
        </w:rPr>
        <w:t>a Nevada limited liability company,</w:t>
      </w:r>
    </w:p>
    <w:p>
      <w:pPr>
        <w:ind w:left="492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ind w:left="4920"/>
        <w:spacing w:after="0"/>
        <w:tabs>
          <w:tab w:leader="none" w:pos="5460" w:val="left"/>
        </w:tabs>
        <w:rPr>
          <w:sz w:val="20"/>
          <w:szCs w:val="20"/>
          <w:color w:val="auto"/>
        </w:rPr>
      </w:pPr>
      <w:r>
        <w:rPr>
          <w:rFonts w:ascii="Arial" w:cs="Arial" w:eastAsia="Arial" w:hAnsi="Arial"/>
          <w:sz w:val="22"/>
          <w:szCs w:val="22"/>
          <w:color w:val="auto"/>
        </w:rPr>
        <w:t>By:</w:t>
        <w:tab/>
        <w:t>Wynn Resorts Holdings, LLC,</w:t>
      </w:r>
    </w:p>
    <w:p>
      <w:pPr>
        <w:ind w:left="5480"/>
        <w:spacing w:after="0" w:line="238" w:lineRule="auto"/>
        <w:rPr>
          <w:sz w:val="20"/>
          <w:szCs w:val="20"/>
          <w:color w:val="auto"/>
        </w:rPr>
      </w:pPr>
      <w:r>
        <w:rPr>
          <w:rFonts w:ascii="Arial" w:cs="Arial" w:eastAsia="Arial" w:hAnsi="Arial"/>
          <w:sz w:val="22"/>
          <w:szCs w:val="22"/>
          <w:color w:val="auto"/>
        </w:rPr>
        <w:t>a Nevada limited liability company,</w:t>
      </w:r>
    </w:p>
    <w:p>
      <w:pPr>
        <w:ind w:left="548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ind w:left="5480"/>
        <w:spacing w:after="0"/>
        <w:tabs>
          <w:tab w:leader="none" w:pos="6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Wynn Resorts, Limited, a Nevada</w:t>
      </w:r>
    </w:p>
    <w:p>
      <w:pPr>
        <w:spacing w:after="0" w:line="43"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corporation, its sole member</w:t>
      </w:r>
    </w:p>
    <w:p>
      <w:pPr>
        <w:spacing w:after="0" w:line="188"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7620</wp:posOffset>
            </wp:positionV>
            <wp:extent cx="174942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49425" cy="17145"/>
                    </a:xfrm>
                    <a:prstGeom prst="rect">
                      <a:avLst/>
                    </a:prstGeom>
                    <a:noFill/>
                  </pic:spPr>
                </pic:pic>
              </a:graphicData>
            </a:graphic>
          </wp:anchor>
        </w:drawing>
      </w:r>
    </w:p>
    <w:p>
      <w:pPr>
        <w:spacing w:after="0" w:line="2"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Name:Matt Maddox</w:t>
      </w:r>
    </w:p>
    <w:p>
      <w:pPr>
        <w:ind w:left="6140"/>
        <w:spacing w:after="0" w:line="234" w:lineRule="auto"/>
        <w:rPr>
          <w:sz w:val="20"/>
          <w:szCs w:val="20"/>
          <w:color w:val="auto"/>
        </w:rPr>
      </w:pPr>
      <w:r>
        <w:rPr>
          <w:rFonts w:ascii="Arial" w:cs="Arial" w:eastAsia="Arial" w:hAnsi="Arial"/>
          <w:sz w:val="22"/>
          <w:szCs w:val="22"/>
          <w:color w:val="auto"/>
        </w:rPr>
        <w:t>Title: Chief Financial Officer</w:t>
      </w:r>
    </w:p>
    <w:p>
      <w:pPr>
        <w:ind w:left="6720"/>
        <w:spacing w:after="0"/>
        <w:rPr>
          <w:sz w:val="20"/>
          <w:szCs w:val="20"/>
          <w:color w:val="auto"/>
        </w:rPr>
      </w:pPr>
      <w:r>
        <w:rPr>
          <w:rFonts w:ascii="Arial" w:cs="Arial" w:eastAsia="Arial" w:hAnsi="Arial"/>
          <w:sz w:val="22"/>
          <w:szCs w:val="22"/>
          <w:color w:val="auto"/>
        </w:rPr>
        <w:t>&amp; Treasurer</w:t>
      </w:r>
    </w:p>
    <w:p>
      <w:pPr>
        <w:spacing w:after="0" w:line="200" w:lineRule="exact"/>
        <w:rPr>
          <w:sz w:val="20"/>
          <w:szCs w:val="20"/>
          <w:color w:val="auto"/>
        </w:rPr>
      </w:pPr>
    </w:p>
    <w:p>
      <w:pPr>
        <w:spacing w:after="0" w:line="252"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WYNN GOLF, LLC</w:t>
      </w:r>
      <w:r>
        <w:rPr>
          <w:rFonts w:ascii="Arial" w:cs="Arial" w:eastAsia="Arial" w:hAnsi="Arial"/>
          <w:sz w:val="22"/>
          <w:szCs w:val="22"/>
          <w:color w:val="auto"/>
        </w:rPr>
        <w:t>,</w:t>
      </w:r>
    </w:p>
    <w:p>
      <w:pPr>
        <w:spacing w:after="0" w:line="14"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 Nevada limited liability company</w:t>
      </w:r>
    </w:p>
    <w:p>
      <w:pPr>
        <w:spacing w:after="0" w:line="188" w:lineRule="exact"/>
        <w:rPr>
          <w:sz w:val="20"/>
          <w:szCs w:val="20"/>
          <w:color w:val="auto"/>
        </w:rPr>
      </w:pPr>
    </w:p>
    <w:p>
      <w:pPr>
        <w:ind w:left="4360"/>
        <w:spacing w:after="0"/>
        <w:tabs>
          <w:tab w:leader="none" w:pos="4900" w:val="left"/>
        </w:tabs>
        <w:rPr>
          <w:sz w:val="20"/>
          <w:szCs w:val="20"/>
          <w:color w:val="auto"/>
        </w:rPr>
      </w:pPr>
      <w:r>
        <w:rPr>
          <w:rFonts w:ascii="Arial" w:cs="Arial" w:eastAsia="Arial" w:hAnsi="Arial"/>
          <w:sz w:val="22"/>
          <w:szCs w:val="22"/>
          <w:color w:val="auto"/>
        </w:rPr>
        <w:t>By:</w:t>
        <w:tab/>
        <w:t>Wynn Las Vegas, LLC,</w:t>
      </w:r>
    </w:p>
    <w:p>
      <w:pPr>
        <w:ind w:left="4920"/>
        <w:spacing w:after="0" w:line="238" w:lineRule="auto"/>
        <w:rPr>
          <w:sz w:val="20"/>
          <w:szCs w:val="20"/>
          <w:color w:val="auto"/>
        </w:rPr>
      </w:pPr>
      <w:r>
        <w:rPr>
          <w:rFonts w:ascii="Arial" w:cs="Arial" w:eastAsia="Arial" w:hAnsi="Arial"/>
          <w:sz w:val="22"/>
          <w:szCs w:val="22"/>
          <w:color w:val="auto"/>
        </w:rPr>
        <w:t>a Nevada limited liability company,</w:t>
      </w:r>
    </w:p>
    <w:p>
      <w:pPr>
        <w:ind w:left="492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ind w:left="4920"/>
        <w:spacing w:after="0"/>
        <w:tabs>
          <w:tab w:leader="none" w:pos="5480" w:val="left"/>
        </w:tabs>
        <w:rPr>
          <w:sz w:val="20"/>
          <w:szCs w:val="20"/>
          <w:color w:val="auto"/>
        </w:rPr>
      </w:pPr>
      <w:r>
        <w:rPr>
          <w:rFonts w:ascii="Arial" w:cs="Arial" w:eastAsia="Arial" w:hAnsi="Arial"/>
          <w:sz w:val="22"/>
          <w:szCs w:val="22"/>
          <w:color w:val="auto"/>
        </w:rPr>
        <w:t>By:</w:t>
        <w:tab/>
        <w:t>Wynn Resorts Holdings, LLC,</w:t>
      </w:r>
    </w:p>
    <w:p>
      <w:pPr>
        <w:ind w:left="5500"/>
        <w:spacing w:after="0" w:line="238" w:lineRule="auto"/>
        <w:rPr>
          <w:sz w:val="20"/>
          <w:szCs w:val="20"/>
          <w:color w:val="auto"/>
        </w:rPr>
      </w:pPr>
      <w:r>
        <w:rPr>
          <w:rFonts w:ascii="Arial" w:cs="Arial" w:eastAsia="Arial" w:hAnsi="Arial"/>
          <w:sz w:val="22"/>
          <w:szCs w:val="22"/>
          <w:color w:val="auto"/>
        </w:rPr>
        <w:t>a Nevada limited liability company,</w:t>
      </w:r>
    </w:p>
    <w:p>
      <w:pPr>
        <w:ind w:left="550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ind w:left="5500"/>
        <w:spacing w:after="0"/>
        <w:tabs>
          <w:tab w:leader="none" w:pos="61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Wynn Resorts, Limited, a Nevada</w:t>
      </w:r>
    </w:p>
    <w:p>
      <w:pPr>
        <w:spacing w:after="0" w:line="43"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corporation, its sole member</w:t>
      </w:r>
    </w:p>
    <w:p>
      <w:pPr>
        <w:spacing w:after="0" w:line="188"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7620</wp:posOffset>
            </wp:positionV>
            <wp:extent cx="174117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41170" cy="17145"/>
                    </a:xfrm>
                    <a:prstGeom prst="rect">
                      <a:avLst/>
                    </a:prstGeom>
                    <a:noFill/>
                  </pic:spPr>
                </pic:pic>
              </a:graphicData>
            </a:graphic>
          </wp:anchor>
        </w:drawing>
      </w:r>
    </w:p>
    <w:p>
      <w:pPr>
        <w:spacing w:after="0" w:line="2"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Name: Matt Maddox</w:t>
      </w:r>
    </w:p>
    <w:p>
      <w:pPr>
        <w:ind w:left="6160"/>
        <w:spacing w:after="0"/>
        <w:tabs>
          <w:tab w:leader="none" w:pos="6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ind w:left="6820"/>
        <w:spacing w:after="0"/>
        <w:rPr>
          <w:sz w:val="20"/>
          <w:szCs w:val="20"/>
          <w:color w:val="auto"/>
        </w:rPr>
      </w:pPr>
      <w:r>
        <w:rPr>
          <w:rFonts w:ascii="Arial" w:cs="Arial" w:eastAsia="Arial" w:hAnsi="Arial"/>
          <w:sz w:val="22"/>
          <w:szCs w:val="22"/>
          <w:color w:val="auto"/>
        </w:rPr>
        <w:t>&amp; Treasurer</w:t>
      </w:r>
    </w:p>
    <w:p>
      <w:pPr>
        <w:spacing w:after="0" w:line="200" w:lineRule="exact"/>
        <w:rPr>
          <w:sz w:val="20"/>
          <w:szCs w:val="20"/>
          <w:color w:val="auto"/>
        </w:rPr>
      </w:pPr>
    </w:p>
    <w:p>
      <w:pPr>
        <w:spacing w:after="0" w:line="263" w:lineRule="exact"/>
        <w:rPr>
          <w:sz w:val="20"/>
          <w:szCs w:val="20"/>
          <w:color w:val="auto"/>
        </w:rPr>
      </w:pPr>
    </w:p>
    <w:p>
      <w:pPr>
        <w:ind w:left="3540"/>
        <w:spacing w:after="0"/>
        <w:rPr>
          <w:sz w:val="20"/>
          <w:szCs w:val="20"/>
          <w:color w:val="auto"/>
        </w:rPr>
      </w:pPr>
      <w:r>
        <w:rPr>
          <w:rFonts w:ascii="Arial" w:cs="Arial" w:eastAsia="Arial" w:hAnsi="Arial"/>
          <w:sz w:val="20"/>
          <w:szCs w:val="20"/>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265430</wp:posOffset>
            </wp:positionV>
            <wp:extent cx="601599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9080"/>
          </w:cols>
          <w:pgMar w:left="1440" w:top="990" w:right="1379" w:bottom="1440" w:gutter="0" w:footer="0" w:header="0"/>
        </w:sectPr>
      </w:pPr>
    </w:p>
    <w:bookmarkStart w:id="232" w:name="page233"/>
    <w:bookmarkEnd w:id="232"/>
    <w:p>
      <w:pPr>
        <w:ind w:left="4340"/>
        <w:spacing w:after="0"/>
        <w:rPr>
          <w:sz w:val="20"/>
          <w:szCs w:val="20"/>
          <w:color w:val="auto"/>
        </w:rPr>
      </w:pPr>
      <w:r>
        <w:rPr>
          <w:rFonts w:ascii="Arial" w:cs="Arial" w:eastAsia="Arial" w:hAnsi="Arial"/>
          <w:sz w:val="22"/>
          <w:szCs w:val="22"/>
          <w:b w:val="1"/>
          <w:bCs w:val="1"/>
          <w:color w:val="auto"/>
        </w:rPr>
        <w:t>LAS VEGAS JET, LLC,</w:t>
      </w:r>
    </w:p>
    <w:p>
      <w:pPr>
        <w:spacing w:after="0" w:line="1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 Nevada limited liability company</w:t>
      </w:r>
    </w:p>
    <w:p>
      <w:pPr>
        <w:spacing w:after="0" w:line="188" w:lineRule="exact"/>
        <w:rPr>
          <w:sz w:val="20"/>
          <w:szCs w:val="20"/>
          <w:color w:val="auto"/>
        </w:rPr>
      </w:pPr>
    </w:p>
    <w:p>
      <w:pPr>
        <w:ind w:left="4340"/>
        <w:spacing w:after="0"/>
        <w:tabs>
          <w:tab w:leader="none" w:pos="4900" w:val="left"/>
        </w:tabs>
        <w:rPr>
          <w:sz w:val="20"/>
          <w:szCs w:val="20"/>
          <w:color w:val="auto"/>
        </w:rPr>
      </w:pPr>
      <w:r>
        <w:rPr>
          <w:rFonts w:ascii="Arial" w:cs="Arial" w:eastAsia="Arial" w:hAnsi="Arial"/>
          <w:sz w:val="22"/>
          <w:szCs w:val="22"/>
          <w:color w:val="auto"/>
        </w:rPr>
        <w:t>By:</w:t>
        <w:tab/>
        <w:t>Wynn Las Vegas, LLC,</w:t>
      </w:r>
    </w:p>
    <w:p>
      <w:pPr>
        <w:ind w:left="4920"/>
        <w:spacing w:after="0" w:line="238" w:lineRule="auto"/>
        <w:rPr>
          <w:sz w:val="20"/>
          <w:szCs w:val="20"/>
          <w:color w:val="auto"/>
        </w:rPr>
      </w:pPr>
      <w:r>
        <w:rPr>
          <w:rFonts w:ascii="Arial" w:cs="Arial" w:eastAsia="Arial" w:hAnsi="Arial"/>
          <w:sz w:val="22"/>
          <w:szCs w:val="22"/>
          <w:color w:val="auto"/>
        </w:rPr>
        <w:t>a Nevada limited liability company,</w:t>
      </w:r>
    </w:p>
    <w:p>
      <w:pPr>
        <w:ind w:left="492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ind w:left="4920"/>
        <w:spacing w:after="0"/>
        <w:tabs>
          <w:tab w:leader="none" w:pos="5460" w:val="left"/>
        </w:tabs>
        <w:rPr>
          <w:sz w:val="20"/>
          <w:szCs w:val="20"/>
          <w:color w:val="auto"/>
        </w:rPr>
      </w:pPr>
      <w:r>
        <w:rPr>
          <w:rFonts w:ascii="Arial" w:cs="Arial" w:eastAsia="Arial" w:hAnsi="Arial"/>
          <w:sz w:val="22"/>
          <w:szCs w:val="22"/>
          <w:color w:val="auto"/>
        </w:rPr>
        <w:t>By:</w:t>
        <w:tab/>
        <w:t>Wynn Resorts Holdings, LLC,</w:t>
      </w:r>
    </w:p>
    <w:p>
      <w:pPr>
        <w:ind w:left="5480"/>
        <w:spacing w:after="0" w:line="238" w:lineRule="auto"/>
        <w:rPr>
          <w:sz w:val="20"/>
          <w:szCs w:val="20"/>
          <w:color w:val="auto"/>
        </w:rPr>
      </w:pPr>
      <w:r>
        <w:rPr>
          <w:rFonts w:ascii="Arial" w:cs="Arial" w:eastAsia="Arial" w:hAnsi="Arial"/>
          <w:sz w:val="22"/>
          <w:szCs w:val="22"/>
          <w:color w:val="auto"/>
        </w:rPr>
        <w:t>a Nevada limited liability company,</w:t>
      </w:r>
    </w:p>
    <w:p>
      <w:pPr>
        <w:ind w:left="548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ind w:left="5480"/>
        <w:spacing w:after="0"/>
        <w:tabs>
          <w:tab w:leader="none" w:pos="6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Wynn Resorts, Limited, a Nevada</w:t>
      </w:r>
    </w:p>
    <w:p>
      <w:pPr>
        <w:spacing w:after="0" w:line="43"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corporation, its sole member</w:t>
      </w:r>
    </w:p>
    <w:p>
      <w:pPr>
        <w:spacing w:after="0" w:line="188"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7620</wp:posOffset>
            </wp:positionV>
            <wp:extent cx="174942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49425" cy="17145"/>
                    </a:xfrm>
                    <a:prstGeom prst="rect">
                      <a:avLst/>
                    </a:prstGeom>
                    <a:noFill/>
                  </pic:spPr>
                </pic:pic>
              </a:graphicData>
            </a:graphic>
          </wp:anchor>
        </w:drawing>
      </w:r>
    </w:p>
    <w:p>
      <w:pPr>
        <w:spacing w:after="0" w:line="2"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Name:Matt Maddox</w:t>
      </w:r>
    </w:p>
    <w:p>
      <w:pPr>
        <w:ind w:left="6140"/>
        <w:spacing w:after="0" w:line="234" w:lineRule="auto"/>
        <w:rPr>
          <w:sz w:val="20"/>
          <w:szCs w:val="20"/>
          <w:color w:val="auto"/>
        </w:rPr>
      </w:pPr>
      <w:r>
        <w:rPr>
          <w:rFonts w:ascii="Arial" w:cs="Arial" w:eastAsia="Arial" w:hAnsi="Arial"/>
          <w:sz w:val="22"/>
          <w:szCs w:val="22"/>
          <w:color w:val="auto"/>
        </w:rPr>
        <w:t>Title: Chief Financial Officer</w:t>
      </w:r>
    </w:p>
    <w:p>
      <w:pPr>
        <w:ind w:left="6720"/>
        <w:spacing w:after="0"/>
        <w:rPr>
          <w:sz w:val="20"/>
          <w:szCs w:val="20"/>
          <w:color w:val="auto"/>
        </w:rPr>
      </w:pPr>
      <w:r>
        <w:rPr>
          <w:rFonts w:ascii="Arial" w:cs="Arial" w:eastAsia="Arial" w:hAnsi="Arial"/>
          <w:sz w:val="22"/>
          <w:szCs w:val="22"/>
          <w:color w:val="auto"/>
        </w:rPr>
        <w:t>&amp; Treasurer</w:t>
      </w:r>
    </w:p>
    <w:p>
      <w:pPr>
        <w:spacing w:after="0" w:line="200" w:lineRule="exact"/>
        <w:rPr>
          <w:sz w:val="20"/>
          <w:szCs w:val="20"/>
          <w:color w:val="auto"/>
        </w:rPr>
      </w:pPr>
    </w:p>
    <w:p>
      <w:pPr>
        <w:spacing w:after="0" w:line="252"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WORLD TRAVEL, LLC</w:t>
      </w:r>
      <w:r>
        <w:rPr>
          <w:rFonts w:ascii="Arial" w:cs="Arial" w:eastAsia="Arial" w:hAnsi="Arial"/>
          <w:sz w:val="22"/>
          <w:szCs w:val="22"/>
          <w:color w:val="auto"/>
        </w:rPr>
        <w:t>,</w:t>
      </w:r>
    </w:p>
    <w:p>
      <w:pPr>
        <w:spacing w:after="0" w:line="1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 Nevada limited liability company</w:t>
      </w:r>
    </w:p>
    <w:p>
      <w:pPr>
        <w:spacing w:after="0" w:line="188" w:lineRule="exact"/>
        <w:rPr>
          <w:sz w:val="20"/>
          <w:szCs w:val="20"/>
          <w:color w:val="auto"/>
        </w:rPr>
      </w:pPr>
    </w:p>
    <w:p>
      <w:pPr>
        <w:ind w:left="4340"/>
        <w:spacing w:after="0"/>
        <w:tabs>
          <w:tab w:leader="none" w:pos="4900" w:val="left"/>
        </w:tabs>
        <w:rPr>
          <w:sz w:val="20"/>
          <w:szCs w:val="20"/>
          <w:color w:val="auto"/>
        </w:rPr>
      </w:pPr>
      <w:r>
        <w:rPr>
          <w:rFonts w:ascii="Arial" w:cs="Arial" w:eastAsia="Arial" w:hAnsi="Arial"/>
          <w:sz w:val="22"/>
          <w:szCs w:val="22"/>
          <w:color w:val="auto"/>
        </w:rPr>
        <w:t>By:</w:t>
        <w:tab/>
        <w:t>Wynn Las Vegas, LLC,</w:t>
      </w:r>
    </w:p>
    <w:p>
      <w:pPr>
        <w:ind w:left="4920"/>
        <w:spacing w:after="0" w:line="238" w:lineRule="auto"/>
        <w:rPr>
          <w:sz w:val="20"/>
          <w:szCs w:val="20"/>
          <w:color w:val="auto"/>
        </w:rPr>
      </w:pPr>
      <w:r>
        <w:rPr>
          <w:rFonts w:ascii="Arial" w:cs="Arial" w:eastAsia="Arial" w:hAnsi="Arial"/>
          <w:sz w:val="22"/>
          <w:szCs w:val="22"/>
          <w:color w:val="auto"/>
        </w:rPr>
        <w:t>a Nevada limited liability company,</w:t>
      </w:r>
    </w:p>
    <w:p>
      <w:pPr>
        <w:ind w:left="492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ind w:left="4920"/>
        <w:spacing w:after="0"/>
        <w:tabs>
          <w:tab w:leader="none" w:pos="5460" w:val="left"/>
        </w:tabs>
        <w:rPr>
          <w:sz w:val="20"/>
          <w:szCs w:val="20"/>
          <w:color w:val="auto"/>
        </w:rPr>
      </w:pPr>
      <w:r>
        <w:rPr>
          <w:rFonts w:ascii="Arial" w:cs="Arial" w:eastAsia="Arial" w:hAnsi="Arial"/>
          <w:sz w:val="22"/>
          <w:szCs w:val="22"/>
          <w:color w:val="auto"/>
        </w:rPr>
        <w:t>By:</w:t>
        <w:tab/>
        <w:t>Wynn Resorts Holdings, LLC,</w:t>
      </w:r>
    </w:p>
    <w:p>
      <w:pPr>
        <w:ind w:left="5480"/>
        <w:spacing w:after="0" w:line="238" w:lineRule="auto"/>
        <w:rPr>
          <w:sz w:val="20"/>
          <w:szCs w:val="20"/>
          <w:color w:val="auto"/>
        </w:rPr>
      </w:pPr>
      <w:r>
        <w:rPr>
          <w:rFonts w:ascii="Arial" w:cs="Arial" w:eastAsia="Arial" w:hAnsi="Arial"/>
          <w:sz w:val="22"/>
          <w:szCs w:val="22"/>
          <w:color w:val="auto"/>
        </w:rPr>
        <w:t>a Nevada limited liability company,</w:t>
      </w:r>
    </w:p>
    <w:p>
      <w:pPr>
        <w:ind w:left="548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ind w:left="5480"/>
        <w:spacing w:after="0"/>
        <w:tabs>
          <w:tab w:leader="none" w:pos="6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Wynn Resorts, Limited, a Nevada</w:t>
      </w:r>
    </w:p>
    <w:p>
      <w:pPr>
        <w:spacing w:after="0" w:line="43"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corporation, its sole member</w:t>
      </w:r>
    </w:p>
    <w:p>
      <w:pPr>
        <w:spacing w:after="0" w:line="188"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7620</wp:posOffset>
            </wp:positionV>
            <wp:extent cx="174942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49425" cy="17145"/>
                    </a:xfrm>
                    <a:prstGeom prst="rect">
                      <a:avLst/>
                    </a:prstGeom>
                    <a:noFill/>
                  </pic:spPr>
                </pic:pic>
              </a:graphicData>
            </a:graphic>
          </wp:anchor>
        </w:drawing>
      </w:r>
    </w:p>
    <w:p>
      <w:pPr>
        <w:spacing w:after="0" w:line="2"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Name:Matt Maddox</w:t>
      </w:r>
    </w:p>
    <w:p>
      <w:pPr>
        <w:ind w:left="6140"/>
        <w:spacing w:after="0" w:line="234" w:lineRule="auto"/>
        <w:rPr>
          <w:sz w:val="20"/>
          <w:szCs w:val="20"/>
          <w:color w:val="auto"/>
        </w:rPr>
      </w:pPr>
      <w:r>
        <w:rPr>
          <w:rFonts w:ascii="Arial" w:cs="Arial" w:eastAsia="Arial" w:hAnsi="Arial"/>
          <w:sz w:val="22"/>
          <w:szCs w:val="22"/>
          <w:color w:val="auto"/>
        </w:rPr>
        <w:t>Title: Chief Financial Officer</w:t>
      </w:r>
    </w:p>
    <w:p>
      <w:pPr>
        <w:ind w:left="6720"/>
        <w:spacing w:after="0"/>
        <w:rPr>
          <w:sz w:val="20"/>
          <w:szCs w:val="20"/>
          <w:color w:val="auto"/>
        </w:rPr>
      </w:pPr>
      <w:r>
        <w:rPr>
          <w:rFonts w:ascii="Arial" w:cs="Arial" w:eastAsia="Arial" w:hAnsi="Arial"/>
          <w:sz w:val="22"/>
          <w:szCs w:val="22"/>
          <w:color w:val="auto"/>
        </w:rPr>
        <w:t>&amp; Treasurer</w:t>
      </w:r>
    </w:p>
    <w:p>
      <w:pPr>
        <w:spacing w:after="0" w:line="220" w:lineRule="exact"/>
        <w:rPr>
          <w:sz w:val="20"/>
          <w:szCs w:val="20"/>
          <w:color w:val="auto"/>
        </w:rPr>
      </w:pPr>
    </w:p>
    <w:p>
      <w:pPr>
        <w:ind w:left="3540"/>
        <w:spacing w:after="0"/>
        <w:rPr>
          <w:sz w:val="20"/>
          <w:szCs w:val="20"/>
          <w:color w:val="auto"/>
        </w:rPr>
      </w:pPr>
      <w:r>
        <w:rPr>
          <w:rFonts w:ascii="Arial" w:cs="Arial" w:eastAsia="Arial" w:hAnsi="Arial"/>
          <w:sz w:val="20"/>
          <w:szCs w:val="20"/>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265430</wp:posOffset>
            </wp:positionV>
            <wp:extent cx="601599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9060"/>
          </w:cols>
          <w:pgMar w:left="1440" w:top="747" w:right="1399" w:bottom="1440" w:gutter="0" w:footer="0" w:header="0"/>
        </w:sectPr>
      </w:pPr>
    </w:p>
    <w:bookmarkStart w:id="233" w:name="page234"/>
    <w:bookmarkEnd w:id="233"/>
    <w:p>
      <w:pPr>
        <w:ind w:left="4340"/>
        <w:spacing w:after="0"/>
        <w:rPr>
          <w:sz w:val="20"/>
          <w:szCs w:val="20"/>
          <w:color w:val="auto"/>
        </w:rPr>
      </w:pPr>
      <w:r>
        <w:rPr>
          <w:rFonts w:ascii="Arial" w:cs="Arial" w:eastAsia="Arial" w:hAnsi="Arial"/>
          <w:sz w:val="22"/>
          <w:szCs w:val="22"/>
          <w:b w:val="1"/>
          <w:bCs w:val="1"/>
          <w:color w:val="auto"/>
        </w:rPr>
        <w:t>WYNN SUNRISE, LLC</w:t>
      </w:r>
      <w:r>
        <w:rPr>
          <w:rFonts w:ascii="Arial" w:cs="Arial" w:eastAsia="Arial" w:hAnsi="Arial"/>
          <w:sz w:val="22"/>
          <w:szCs w:val="22"/>
          <w:color w:val="auto"/>
        </w:rPr>
        <w:t>,</w:t>
      </w:r>
    </w:p>
    <w:p>
      <w:pPr>
        <w:spacing w:after="0" w:line="1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 Nevada limited liability company</w:t>
      </w:r>
    </w:p>
    <w:p>
      <w:pPr>
        <w:spacing w:after="0" w:line="188" w:lineRule="exact"/>
        <w:rPr>
          <w:sz w:val="20"/>
          <w:szCs w:val="20"/>
          <w:color w:val="auto"/>
        </w:rPr>
      </w:pPr>
    </w:p>
    <w:p>
      <w:pPr>
        <w:ind w:left="4340"/>
        <w:spacing w:after="0"/>
        <w:tabs>
          <w:tab w:leader="none" w:pos="4900" w:val="left"/>
        </w:tabs>
        <w:rPr>
          <w:sz w:val="20"/>
          <w:szCs w:val="20"/>
          <w:color w:val="auto"/>
        </w:rPr>
      </w:pPr>
      <w:r>
        <w:rPr>
          <w:rFonts w:ascii="Arial" w:cs="Arial" w:eastAsia="Arial" w:hAnsi="Arial"/>
          <w:sz w:val="22"/>
          <w:szCs w:val="22"/>
          <w:color w:val="auto"/>
        </w:rPr>
        <w:t>By:</w:t>
        <w:tab/>
        <w:t>Wynn Las Vegas, LLC,</w:t>
      </w:r>
    </w:p>
    <w:p>
      <w:pPr>
        <w:ind w:left="4920"/>
        <w:spacing w:after="0" w:line="238" w:lineRule="auto"/>
        <w:rPr>
          <w:sz w:val="20"/>
          <w:szCs w:val="20"/>
          <w:color w:val="auto"/>
        </w:rPr>
      </w:pPr>
      <w:r>
        <w:rPr>
          <w:rFonts w:ascii="Arial" w:cs="Arial" w:eastAsia="Arial" w:hAnsi="Arial"/>
          <w:sz w:val="22"/>
          <w:szCs w:val="22"/>
          <w:color w:val="auto"/>
        </w:rPr>
        <w:t>a Nevada limited liability company,</w:t>
      </w:r>
    </w:p>
    <w:p>
      <w:pPr>
        <w:ind w:left="492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ind w:left="4920"/>
        <w:spacing w:after="0"/>
        <w:tabs>
          <w:tab w:leader="none" w:pos="5460" w:val="left"/>
        </w:tabs>
        <w:rPr>
          <w:sz w:val="20"/>
          <w:szCs w:val="20"/>
          <w:color w:val="auto"/>
        </w:rPr>
      </w:pPr>
      <w:r>
        <w:rPr>
          <w:rFonts w:ascii="Arial" w:cs="Arial" w:eastAsia="Arial" w:hAnsi="Arial"/>
          <w:sz w:val="22"/>
          <w:szCs w:val="22"/>
          <w:color w:val="auto"/>
        </w:rPr>
        <w:t>By:</w:t>
        <w:tab/>
        <w:t>Wynn Resorts Holdings, LLC,</w:t>
      </w:r>
    </w:p>
    <w:p>
      <w:pPr>
        <w:ind w:left="5480"/>
        <w:spacing w:after="0" w:line="238" w:lineRule="auto"/>
        <w:rPr>
          <w:sz w:val="20"/>
          <w:szCs w:val="20"/>
          <w:color w:val="auto"/>
        </w:rPr>
      </w:pPr>
      <w:r>
        <w:rPr>
          <w:rFonts w:ascii="Arial" w:cs="Arial" w:eastAsia="Arial" w:hAnsi="Arial"/>
          <w:sz w:val="22"/>
          <w:szCs w:val="22"/>
          <w:color w:val="auto"/>
        </w:rPr>
        <w:t>a Nevada limited liability company,</w:t>
      </w:r>
    </w:p>
    <w:p>
      <w:pPr>
        <w:ind w:left="548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ind w:left="5480"/>
        <w:spacing w:after="0"/>
        <w:tabs>
          <w:tab w:leader="none" w:pos="61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Wynn Resorts, Limited, a Nevada</w:t>
      </w:r>
    </w:p>
    <w:p>
      <w:pPr>
        <w:spacing w:after="0" w:line="43"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corporation, its sole member</w:t>
      </w:r>
    </w:p>
    <w:p>
      <w:pPr>
        <w:spacing w:after="0" w:line="188"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7620</wp:posOffset>
            </wp:positionV>
            <wp:extent cx="174942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49425" cy="17145"/>
                    </a:xfrm>
                    <a:prstGeom prst="rect">
                      <a:avLst/>
                    </a:prstGeom>
                    <a:noFill/>
                  </pic:spPr>
                </pic:pic>
              </a:graphicData>
            </a:graphic>
          </wp:anchor>
        </w:drawing>
      </w:r>
    </w:p>
    <w:p>
      <w:pPr>
        <w:spacing w:after="0" w:line="2"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Name:Matt Maddox</w:t>
      </w:r>
    </w:p>
    <w:p>
      <w:pPr>
        <w:ind w:left="6140"/>
        <w:spacing w:after="0" w:line="234" w:lineRule="auto"/>
        <w:rPr>
          <w:sz w:val="20"/>
          <w:szCs w:val="20"/>
          <w:color w:val="auto"/>
        </w:rPr>
      </w:pPr>
      <w:r>
        <w:rPr>
          <w:rFonts w:ascii="Arial" w:cs="Arial" w:eastAsia="Arial" w:hAnsi="Arial"/>
          <w:sz w:val="22"/>
          <w:szCs w:val="22"/>
          <w:color w:val="auto"/>
        </w:rPr>
        <w:t>Title: Chief Financial Officer</w:t>
      </w:r>
    </w:p>
    <w:p>
      <w:pPr>
        <w:ind w:left="6720"/>
        <w:spacing w:after="0"/>
        <w:rPr>
          <w:sz w:val="20"/>
          <w:szCs w:val="20"/>
          <w:color w:val="auto"/>
        </w:rPr>
      </w:pPr>
      <w:r>
        <w:rPr>
          <w:rFonts w:ascii="Arial" w:cs="Arial" w:eastAsia="Arial" w:hAnsi="Arial"/>
          <w:sz w:val="22"/>
          <w:szCs w:val="22"/>
          <w:color w:val="auto"/>
        </w:rPr>
        <w:t>&amp; Treasurer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KEVYN, LLC,</w:t>
      </w:r>
    </w:p>
    <w:p>
      <w:pPr>
        <w:spacing w:after="0" w:line="14"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a Nevada limited liability company</w:t>
      </w:r>
    </w:p>
    <w:p>
      <w:pPr>
        <w:sectPr>
          <w:pgSz w:w="11900" w:h="16838" w:orient="portrait"/>
          <w:cols w:equalWidth="0" w:num="1">
            <w:col w:w="9580"/>
          </w:cols>
          <w:pgMar w:left="1440" w:top="747" w:right="879" w:bottom="1440" w:gutter="0" w:footer="0" w:header="0"/>
        </w:sectPr>
      </w:pPr>
    </w:p>
    <w:p>
      <w:pPr>
        <w:spacing w:after="0" w:line="188"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4540" w:space="720"/>
            <w:col w:w="4320"/>
          </w:cols>
          <w:pgMar w:left="1440" w:top="747" w:right="879" w:bottom="1440" w:gutter="0" w:footer="0" w:header="0"/>
          <w:type w:val="continuous"/>
        </w:sectPr>
      </w:pPr>
    </w:p>
    <w:p>
      <w:pPr>
        <w:ind w:left="52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Wynn Resorts Holdings,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5560" w:space="400"/>
            <w:col w:w="3620"/>
          </w:cols>
          <w:pgMar w:left="1440" w:top="747" w:right="879" w:bottom="1440" w:gutter="0" w:footer="0" w:header="0"/>
          <w:type w:val="continuous"/>
        </w:sectPr>
      </w:pPr>
    </w:p>
    <w:p>
      <w:pPr>
        <w:ind w:left="59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328" w:lineRule="auto"/>
        <w:rPr>
          <w:sz w:val="20"/>
          <w:szCs w:val="20"/>
          <w:color w:val="auto"/>
        </w:rPr>
      </w:pPr>
      <w:r>
        <w:rPr>
          <w:rFonts w:ascii="Arial" w:cs="Arial" w:eastAsia="Arial" w:hAnsi="Arial"/>
          <w:sz w:val="19"/>
          <w:szCs w:val="19"/>
          <w:color w:val="auto"/>
        </w:rPr>
        <w:t>Wynn Resorts, Limited, a Nevada corporation, its sole member</w:t>
      </w:r>
    </w:p>
    <w:p>
      <w:pPr>
        <w:spacing w:after="0" w:line="105" w:lineRule="exact"/>
        <w:rPr>
          <w:sz w:val="20"/>
          <w:szCs w:val="20"/>
          <w:color w:val="auto"/>
        </w:rPr>
      </w:pPr>
    </w:p>
    <w:p>
      <w:pPr>
        <w:sectPr>
          <w:pgSz w:w="11900" w:h="16838" w:orient="portrait"/>
          <w:cols w:equalWidth="0" w:num="2">
            <w:col w:w="6260" w:space="400"/>
            <w:col w:w="2920"/>
          </w:cols>
          <w:pgMar w:left="1440" w:top="747" w:right="879" w:bottom="1440" w:gutter="0" w:footer="0" w:header="0"/>
          <w:type w:val="continuous"/>
        </w:sectPr>
      </w:pPr>
    </w:p>
    <w:p>
      <w:pPr>
        <w:ind w:left="7300"/>
        <w:spacing w:after="0"/>
        <w:rPr>
          <w:sz w:val="20"/>
          <w:szCs w:val="20"/>
          <w:color w:val="auto"/>
        </w:rPr>
      </w:pP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7620</wp:posOffset>
            </wp:positionV>
            <wp:extent cx="152654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26540" cy="17145"/>
                    </a:xfrm>
                    <a:prstGeom prst="rect">
                      <a:avLst/>
                    </a:prstGeom>
                    <a:noFill/>
                  </pic:spPr>
                </pic:pic>
              </a:graphicData>
            </a:graphic>
          </wp:anchor>
        </w:drawing>
      </w:r>
    </w:p>
    <w:p>
      <w:pPr>
        <w:spacing w:after="0" w:line="2"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Name:Matt Maddox</w:t>
      </w:r>
    </w:p>
    <w:p>
      <w:pPr>
        <w:ind w:left="6660"/>
        <w:spacing w:after="0" w:line="234" w:lineRule="auto"/>
        <w:rPr>
          <w:sz w:val="20"/>
          <w:szCs w:val="20"/>
          <w:color w:val="auto"/>
        </w:rPr>
      </w:pPr>
      <w:r>
        <w:rPr>
          <w:rFonts w:ascii="Arial" w:cs="Arial" w:eastAsia="Arial" w:hAnsi="Arial"/>
          <w:sz w:val="22"/>
          <w:szCs w:val="22"/>
          <w:color w:val="auto"/>
        </w:rPr>
        <w:t>Title: Chief Financial</w:t>
      </w:r>
    </w:p>
    <w:p>
      <w:pPr>
        <w:ind w:left="7240"/>
        <w:spacing w:after="0"/>
        <w:rPr>
          <w:sz w:val="20"/>
          <w:szCs w:val="20"/>
          <w:color w:val="auto"/>
        </w:rPr>
      </w:pPr>
      <w:r>
        <w:rPr>
          <w:rFonts w:ascii="Arial" w:cs="Arial" w:eastAsia="Arial" w:hAnsi="Arial"/>
          <w:sz w:val="19"/>
          <w:szCs w:val="19"/>
          <w:color w:val="auto"/>
        </w:rPr>
        <w:t>Officer &amp; Treasurer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540"/>
        <w:spacing w:after="0"/>
        <w:rPr>
          <w:sz w:val="20"/>
          <w:szCs w:val="20"/>
          <w:color w:val="auto"/>
        </w:rPr>
      </w:pPr>
      <w:r>
        <w:rPr>
          <w:rFonts w:ascii="Arial" w:cs="Arial" w:eastAsia="Arial" w:hAnsi="Arial"/>
          <w:sz w:val="20"/>
          <w:szCs w:val="20"/>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265430</wp:posOffset>
            </wp:positionV>
            <wp:extent cx="601599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9580"/>
          </w:cols>
          <w:pgMar w:left="1440" w:top="747" w:right="879" w:bottom="1440" w:gutter="0" w:footer="0" w:header="0"/>
          <w:type w:val="continuous"/>
        </w:sectPr>
      </w:pPr>
    </w:p>
    <w:bookmarkStart w:id="234" w:name="page235"/>
    <w:bookmarkEnd w:id="234"/>
    <w:p>
      <w:pPr>
        <w:ind w:left="760"/>
        <w:spacing w:after="0"/>
        <w:rPr>
          <w:sz w:val="20"/>
          <w:szCs w:val="20"/>
          <w:color w:val="auto"/>
        </w:rPr>
      </w:pPr>
      <w:r>
        <w:rPr>
          <w:rFonts w:ascii="Arial" w:cs="Arial" w:eastAsia="Arial" w:hAnsi="Arial"/>
          <w:sz w:val="22"/>
          <w:szCs w:val="22"/>
          <w:b w:val="1"/>
          <w:bCs w:val="1"/>
          <w:color w:val="auto"/>
        </w:rPr>
        <w:t>DEALER MANAGER:</w:t>
      </w:r>
    </w:p>
    <w:p>
      <w:pPr>
        <w:spacing w:after="0" w:line="200" w:lineRule="exact"/>
        <w:rPr>
          <w:sz w:val="20"/>
          <w:szCs w:val="20"/>
          <w:color w:val="auto"/>
        </w:rPr>
      </w:pPr>
    </w:p>
    <w:p>
      <w:pPr>
        <w:spacing w:after="0" w:line="2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DEUTSCHE BANK SECURITIES INC.,</w:t>
      </w:r>
    </w:p>
    <w:p>
      <w:pPr>
        <w:spacing w:after="0" w:line="200" w:lineRule="exact"/>
        <w:rPr>
          <w:sz w:val="20"/>
          <w:szCs w:val="20"/>
          <w:color w:val="auto"/>
        </w:rPr>
      </w:pPr>
    </w:p>
    <w:p>
      <w:pPr>
        <w:spacing w:after="0" w:line="282" w:lineRule="exact"/>
        <w:rPr>
          <w:sz w:val="20"/>
          <w:szCs w:val="20"/>
          <w:color w:val="auto"/>
        </w:rPr>
      </w:pPr>
    </w:p>
    <w:p>
      <w:pPr>
        <w:ind w:left="760"/>
        <w:spacing w:after="0"/>
        <w:tabs>
          <w:tab w:leader="none" w:pos="1320" w:val="left"/>
        </w:tabs>
        <w:rPr>
          <w:sz w:val="20"/>
          <w:szCs w:val="20"/>
          <w:color w:val="auto"/>
        </w:rPr>
      </w:pPr>
      <w:r>
        <w:rPr>
          <w:rFonts w:ascii="Arial" w:cs="Arial" w:eastAsia="Arial" w:hAnsi="Arial"/>
          <w:sz w:val="22"/>
          <w:szCs w:val="22"/>
          <w:color w:val="auto"/>
        </w:rPr>
        <w:t>By:</w:t>
        <w:tab/>
        <w:t>/s/ Amish Barot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7620</wp:posOffset>
            </wp:positionV>
            <wp:extent cx="264160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41600" cy="17145"/>
                    </a:xfrm>
                    <a:prstGeom prst="rect">
                      <a:avLst/>
                    </a:prstGeom>
                    <a:noFill/>
                  </pic:spPr>
                </pic:pic>
              </a:graphicData>
            </a:graphic>
          </wp:anchor>
        </w:drawing>
      </w:r>
    </w:p>
    <w:p>
      <w:pPr>
        <w:spacing w:after="0" w:line="2"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Name: Amish Barot</w:t>
      </w:r>
    </w:p>
    <w:p>
      <w:pPr>
        <w:spacing w:after="0" w:line="4" w:lineRule="exact"/>
        <w:rPr>
          <w:sz w:val="20"/>
          <w:szCs w:val="20"/>
          <w:color w:val="auto"/>
        </w:rPr>
      </w:pPr>
    </w:p>
    <w:p>
      <w:pPr>
        <w:ind w:left="1340"/>
        <w:spacing w:after="0"/>
        <w:tabs>
          <w:tab w:leader="none" w:pos="1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60"/>
        <w:spacing w:after="0"/>
        <w:tabs>
          <w:tab w:leader="none" w:pos="1320" w:val="left"/>
        </w:tabs>
        <w:rPr>
          <w:sz w:val="20"/>
          <w:szCs w:val="20"/>
          <w:color w:val="auto"/>
        </w:rPr>
      </w:pPr>
      <w:r>
        <w:rPr>
          <w:rFonts w:ascii="Arial" w:cs="Arial" w:eastAsia="Arial" w:hAnsi="Arial"/>
          <w:sz w:val="22"/>
          <w:szCs w:val="22"/>
          <w:color w:val="auto"/>
        </w:rPr>
        <w:t>By:</w:t>
        <w:tab/>
        <w:t>/s/ Richard Grellier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7620</wp:posOffset>
            </wp:positionV>
            <wp:extent cx="264160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41600" cy="17145"/>
                    </a:xfrm>
                    <a:prstGeom prst="rect">
                      <a:avLst/>
                    </a:prstGeom>
                    <a:noFill/>
                  </pic:spPr>
                </pic:pic>
              </a:graphicData>
            </a:graphic>
          </wp:anchor>
        </w:drawing>
      </w:r>
    </w:p>
    <w:p>
      <w:pPr>
        <w:spacing w:after="0" w:line="2"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Name: Richard Grellier</w:t>
      </w:r>
    </w:p>
    <w:p>
      <w:pPr>
        <w:spacing w:after="0" w:line="4" w:lineRule="exact"/>
        <w:rPr>
          <w:sz w:val="20"/>
          <w:szCs w:val="20"/>
          <w:color w:val="auto"/>
        </w:rPr>
      </w:pPr>
    </w:p>
    <w:p>
      <w:pPr>
        <w:ind w:left="1340"/>
        <w:spacing w:after="0"/>
        <w:tabs>
          <w:tab w:leader="none" w:pos="1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1579"/>
        <w:spacing w:after="0"/>
        <w:rPr>
          <w:sz w:val="20"/>
          <w:szCs w:val="20"/>
          <w:color w:val="auto"/>
        </w:rPr>
      </w:pPr>
      <w:r>
        <w:rPr>
          <w:rFonts w:ascii="Arial" w:cs="Arial" w:eastAsia="Arial" w:hAnsi="Arial"/>
          <w:sz w:val="20"/>
          <w:szCs w:val="20"/>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265430</wp:posOffset>
            </wp:positionV>
            <wp:extent cx="601599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235" w:name="page236"/>
    <w:bookmarkEnd w:id="235"/>
    <w:p>
      <w:pPr>
        <w:ind w:left="760"/>
        <w:spacing w:after="0"/>
        <w:rPr>
          <w:sz w:val="20"/>
          <w:szCs w:val="20"/>
          <w:color w:val="auto"/>
        </w:rPr>
      </w:pPr>
      <w:r>
        <w:rPr>
          <w:rFonts w:ascii="Arial" w:cs="Arial" w:eastAsia="Arial" w:hAnsi="Arial"/>
          <w:sz w:val="22"/>
          <w:szCs w:val="22"/>
          <w:b w:val="1"/>
          <w:bCs w:val="1"/>
          <w:color w:val="auto"/>
        </w:rPr>
        <w:t>DEALER MANAGER:</w:t>
      </w:r>
    </w:p>
    <w:p>
      <w:pPr>
        <w:spacing w:after="0" w:line="200" w:lineRule="exact"/>
        <w:rPr>
          <w:sz w:val="20"/>
          <w:szCs w:val="20"/>
          <w:color w:val="auto"/>
        </w:rPr>
      </w:pPr>
    </w:p>
    <w:p>
      <w:pPr>
        <w:spacing w:after="0" w:line="2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BANC OF AMERICA SECURITIES LLC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60"/>
        <w:spacing w:after="0"/>
        <w:tabs>
          <w:tab w:leader="none" w:pos="1320" w:val="left"/>
        </w:tabs>
        <w:rPr>
          <w:sz w:val="20"/>
          <w:szCs w:val="20"/>
          <w:color w:val="auto"/>
        </w:rPr>
      </w:pPr>
      <w:r>
        <w:rPr>
          <w:rFonts w:ascii="Arial" w:cs="Arial" w:eastAsia="Arial" w:hAnsi="Arial"/>
          <w:sz w:val="22"/>
          <w:szCs w:val="22"/>
          <w:color w:val="auto"/>
        </w:rPr>
        <w:t>By:</w:t>
        <w:tab/>
        <w:t>/s/ R. Sean Snipes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7620</wp:posOffset>
            </wp:positionV>
            <wp:extent cx="264160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41600" cy="17145"/>
                    </a:xfrm>
                    <a:prstGeom prst="rect">
                      <a:avLst/>
                    </a:prstGeom>
                    <a:noFill/>
                  </pic:spPr>
                </pic:pic>
              </a:graphicData>
            </a:graphic>
          </wp:anchor>
        </w:drawing>
      </w:r>
    </w:p>
    <w:p>
      <w:pPr>
        <w:spacing w:after="0" w:line="2"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Name: R. Sean Snipes</w:t>
      </w:r>
    </w:p>
    <w:p>
      <w:pPr>
        <w:spacing w:after="0" w:line="4" w:lineRule="exact"/>
        <w:rPr>
          <w:sz w:val="20"/>
          <w:szCs w:val="20"/>
          <w:color w:val="auto"/>
        </w:rPr>
      </w:pPr>
    </w:p>
    <w:p>
      <w:pPr>
        <w:ind w:left="1340"/>
        <w:spacing w:after="0"/>
        <w:tabs>
          <w:tab w:leader="none" w:pos="1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0" w:lineRule="exact"/>
        <w:rPr>
          <w:sz w:val="20"/>
          <w:szCs w:val="20"/>
          <w:color w:val="auto"/>
        </w:rPr>
      </w:pPr>
    </w:p>
    <w:p>
      <w:pPr>
        <w:spacing w:after="0" w:line="263" w:lineRule="exact"/>
        <w:rPr>
          <w:sz w:val="20"/>
          <w:szCs w:val="20"/>
          <w:color w:val="auto"/>
        </w:rPr>
      </w:pPr>
    </w:p>
    <w:p>
      <w:pPr>
        <w:jc w:val="right"/>
        <w:ind w:right="1579"/>
        <w:spacing w:after="0"/>
        <w:rPr>
          <w:sz w:val="20"/>
          <w:szCs w:val="20"/>
          <w:color w:val="auto"/>
        </w:rPr>
      </w:pPr>
      <w:r>
        <w:rPr>
          <w:rFonts w:ascii="Arial" w:cs="Arial" w:eastAsia="Arial" w:hAnsi="Arial"/>
          <w:sz w:val="20"/>
          <w:szCs w:val="20"/>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265430</wp:posOffset>
            </wp:positionV>
            <wp:extent cx="601599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236" w:name="page237"/>
    <w:bookmarkEnd w:id="236"/>
    <w:p>
      <w:pPr>
        <w:ind w:left="760"/>
        <w:spacing w:after="0"/>
        <w:rPr>
          <w:sz w:val="20"/>
          <w:szCs w:val="20"/>
          <w:color w:val="auto"/>
        </w:rPr>
      </w:pPr>
      <w:r>
        <w:rPr>
          <w:rFonts w:ascii="Arial" w:cs="Arial" w:eastAsia="Arial" w:hAnsi="Arial"/>
          <w:sz w:val="22"/>
          <w:szCs w:val="22"/>
          <w:b w:val="1"/>
          <w:bCs w:val="1"/>
          <w:color w:val="auto"/>
        </w:rPr>
        <w:t>DEALER MANAGER:</w:t>
      </w:r>
    </w:p>
    <w:p>
      <w:pPr>
        <w:spacing w:after="0" w:line="200" w:lineRule="exact"/>
        <w:rPr>
          <w:sz w:val="20"/>
          <w:szCs w:val="20"/>
          <w:color w:val="auto"/>
        </w:rPr>
      </w:pPr>
    </w:p>
    <w:p>
      <w:pPr>
        <w:spacing w:after="0" w:line="2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J.P. MORGAN SECURITIES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60"/>
        <w:spacing w:after="0"/>
        <w:tabs>
          <w:tab w:leader="none" w:pos="1320" w:val="left"/>
        </w:tabs>
        <w:rPr>
          <w:sz w:val="20"/>
          <w:szCs w:val="20"/>
          <w:color w:val="auto"/>
        </w:rPr>
      </w:pPr>
      <w:r>
        <w:rPr>
          <w:rFonts w:ascii="Arial" w:cs="Arial" w:eastAsia="Arial" w:hAnsi="Arial"/>
          <w:sz w:val="22"/>
          <w:szCs w:val="22"/>
          <w:color w:val="auto"/>
        </w:rPr>
        <w:t>By:</w:t>
        <w:tab/>
        <w:t>/s/ Jack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7620</wp:posOffset>
            </wp:positionV>
            <wp:extent cx="264160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41600" cy="17145"/>
                    </a:xfrm>
                    <a:prstGeom prst="rect">
                      <a:avLst/>
                    </a:prstGeom>
                    <a:noFill/>
                  </pic:spPr>
                </pic:pic>
              </a:graphicData>
            </a:graphic>
          </wp:anchor>
        </w:drawing>
      </w:r>
    </w:p>
    <w:p>
      <w:pPr>
        <w:spacing w:after="0" w:line="2"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Name: Jack Smith</w:t>
      </w:r>
    </w:p>
    <w:p>
      <w:pPr>
        <w:ind w:left="1340"/>
        <w:spacing w:after="0"/>
        <w:tabs>
          <w:tab w:leader="none" w:pos="19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Director</w:t>
      </w:r>
    </w:p>
    <w:p>
      <w:pPr>
        <w:ind w:left="14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58" w:lineRule="exact"/>
        <w:rPr>
          <w:sz w:val="20"/>
          <w:szCs w:val="20"/>
          <w:color w:val="auto"/>
        </w:rPr>
      </w:pPr>
    </w:p>
    <w:p>
      <w:pPr>
        <w:jc w:val="right"/>
        <w:ind w:right="1399"/>
        <w:spacing w:after="0"/>
        <w:rPr>
          <w:sz w:val="20"/>
          <w:szCs w:val="20"/>
          <w:color w:val="auto"/>
        </w:rPr>
      </w:pPr>
      <w:r>
        <w:rPr>
          <w:rFonts w:ascii="Arial" w:cs="Arial" w:eastAsia="Arial" w:hAnsi="Arial"/>
          <w:sz w:val="22"/>
          <w:szCs w:val="22"/>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73660</wp:posOffset>
            </wp:positionV>
            <wp:extent cx="6033135"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313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747" w:right="1440" w:bottom="1440" w:gutter="0" w:footer="0" w:header="0"/>
        </w:sectPr>
      </w:pPr>
    </w:p>
    <w:bookmarkStart w:id="237" w:name="page238"/>
    <w:bookmarkEnd w:id="237"/>
    <w:p>
      <w:pPr>
        <w:jc w:val="right"/>
        <w:spacing w:after="0"/>
        <w:rPr>
          <w:sz w:val="20"/>
          <w:szCs w:val="20"/>
          <w:color w:val="auto"/>
        </w:rPr>
      </w:pPr>
      <w:r>
        <w:rPr>
          <w:rFonts w:ascii="Arial" w:cs="Arial" w:eastAsia="Arial" w:hAnsi="Arial"/>
          <w:sz w:val="22"/>
          <w:szCs w:val="22"/>
          <w:b w:val="1"/>
          <w:bCs w:val="1"/>
          <w:color w:val="auto"/>
        </w:rPr>
        <w:t>Exhibit 10.2</w:t>
      </w:r>
    </w:p>
    <w:p>
      <w:pPr>
        <w:spacing w:after="0" w:line="233" w:lineRule="exact"/>
        <w:rPr>
          <w:sz w:val="20"/>
          <w:szCs w:val="20"/>
          <w:color w:val="auto"/>
        </w:rPr>
      </w:pPr>
    </w:p>
    <w:p>
      <w:pPr>
        <w:jc w:val="center"/>
        <w:ind w:left="1960"/>
        <w:spacing w:after="0"/>
        <w:rPr>
          <w:sz w:val="20"/>
          <w:szCs w:val="20"/>
          <w:color w:val="auto"/>
        </w:rPr>
      </w:pPr>
      <w:r>
        <w:rPr>
          <w:rFonts w:ascii="Arial" w:cs="Arial" w:eastAsia="Arial" w:hAnsi="Arial"/>
          <w:sz w:val="22"/>
          <w:szCs w:val="22"/>
          <w:b w:val="1"/>
          <w:bCs w:val="1"/>
          <w:color w:val="auto"/>
        </w:rPr>
        <w:t>FOURTH AMENDMENT TO AMENDED AND RESTATED</w:t>
      </w:r>
    </w:p>
    <w:p>
      <w:pPr>
        <w:spacing w:after="0" w:line="14" w:lineRule="exact"/>
        <w:rPr>
          <w:sz w:val="20"/>
          <w:szCs w:val="20"/>
          <w:color w:val="auto"/>
        </w:rPr>
      </w:pPr>
    </w:p>
    <w:p>
      <w:pPr>
        <w:jc w:val="center"/>
        <w:ind w:left="1960"/>
        <w:spacing w:after="0"/>
        <w:rPr>
          <w:sz w:val="20"/>
          <w:szCs w:val="20"/>
          <w:color w:val="auto"/>
        </w:rPr>
      </w:pPr>
      <w:r>
        <w:rPr>
          <w:rFonts w:ascii="Arial" w:cs="Arial" w:eastAsia="Arial" w:hAnsi="Arial"/>
          <w:sz w:val="22"/>
          <w:szCs w:val="22"/>
          <w:b w:val="1"/>
          <w:bCs w:val="1"/>
          <w:color w:val="auto"/>
        </w:rPr>
        <w:t>MASTER DISBURSEMENT AGREEMENT</w:t>
      </w:r>
    </w:p>
    <w:p>
      <w:pPr>
        <w:spacing w:after="0" w:line="200" w:lineRule="exact"/>
        <w:rPr>
          <w:sz w:val="20"/>
          <w:szCs w:val="20"/>
          <w:color w:val="auto"/>
        </w:rPr>
      </w:pPr>
    </w:p>
    <w:p>
      <w:pPr>
        <w:spacing w:after="0" w:line="258" w:lineRule="exact"/>
        <w:rPr>
          <w:sz w:val="20"/>
          <w:szCs w:val="20"/>
          <w:color w:val="auto"/>
        </w:rPr>
      </w:pPr>
    </w:p>
    <w:p>
      <w:pPr>
        <w:jc w:val="both"/>
        <w:ind w:left="760" w:firstLine="648"/>
        <w:spacing w:after="0" w:line="235" w:lineRule="auto"/>
        <w:rPr>
          <w:sz w:val="20"/>
          <w:szCs w:val="20"/>
          <w:color w:val="auto"/>
        </w:rPr>
      </w:pPr>
      <w:r>
        <w:rPr>
          <w:rFonts w:ascii="Arial" w:cs="Arial" w:eastAsia="Arial" w:hAnsi="Arial"/>
          <w:sz w:val="22"/>
          <w:szCs w:val="22"/>
          <w:color w:val="auto"/>
        </w:rPr>
        <w:t>THIS FOURTH AMENDMENT TO AMENDED AND RESTATED MASTER DISBURSEMENT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made and entered into as of April 28, 2010, by and among WYNN LAS VEGAS, LLC, a Nevada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DEUTSCHE BANK TRUST COMPANY AMERICAS, as the Bank Agent (the “</w:t>
      </w:r>
      <w:r>
        <w:rPr>
          <w:rFonts w:ascii="Arial" w:cs="Arial" w:eastAsia="Arial" w:hAnsi="Arial"/>
          <w:sz w:val="22"/>
          <w:szCs w:val="22"/>
          <w:u w:val="single" w:color="auto"/>
          <w:color w:val="auto"/>
        </w:rPr>
        <w:t>Bank Agent</w:t>
      </w:r>
      <w:r>
        <w:rPr>
          <w:rFonts w:ascii="Arial" w:cs="Arial" w:eastAsia="Arial" w:hAnsi="Arial"/>
          <w:sz w:val="22"/>
          <w:szCs w:val="22"/>
          <w:color w:val="auto"/>
        </w:rPr>
        <w:t>”), and DEUTSCHE BANK TRUST COMPANY AMERICAS, as the Disbursement Agent (the “</w:t>
      </w:r>
      <w:r>
        <w:rPr>
          <w:rFonts w:ascii="Arial" w:cs="Arial" w:eastAsia="Arial" w:hAnsi="Arial"/>
          <w:sz w:val="22"/>
          <w:szCs w:val="22"/>
          <w:u w:val="single" w:color="auto"/>
          <w:color w:val="auto"/>
        </w:rPr>
        <w:t>Disbursement Agent</w:t>
      </w:r>
      <w:r>
        <w:rPr>
          <w:rFonts w:ascii="Arial" w:cs="Arial" w:eastAsia="Arial" w:hAnsi="Arial"/>
          <w:sz w:val="22"/>
          <w:szCs w:val="22"/>
          <w:color w:val="auto"/>
        </w:rPr>
        <w:t>”), with respect to the following:</w:t>
      </w:r>
    </w:p>
    <w:p>
      <w:pPr>
        <w:spacing w:after="0" w:line="209" w:lineRule="exact"/>
        <w:rPr>
          <w:sz w:val="20"/>
          <w:szCs w:val="20"/>
          <w:color w:val="auto"/>
        </w:rPr>
      </w:pPr>
    </w:p>
    <w:p>
      <w:pPr>
        <w:ind w:left="5120"/>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left="760" w:hanging="7"/>
        <w:spacing w:after="0" w:line="273" w:lineRule="auto"/>
        <w:tabs>
          <w:tab w:leader="none" w:pos="1848" w:val="left"/>
        </w:tabs>
        <w:numPr>
          <w:ilvl w:val="0"/>
          <w:numId w:val="308"/>
        </w:numPr>
        <w:rPr>
          <w:rFonts w:ascii="Arial" w:cs="Arial" w:eastAsia="Arial" w:hAnsi="Arial"/>
          <w:sz w:val="19"/>
          <w:szCs w:val="19"/>
          <w:color w:val="auto"/>
        </w:rPr>
      </w:pPr>
      <w:r>
        <w:rPr>
          <w:rFonts w:ascii="Arial" w:cs="Arial" w:eastAsia="Arial" w:hAnsi="Arial"/>
          <w:sz w:val="19"/>
          <w:szCs w:val="19"/>
          <w:u w:val="single" w:color="auto"/>
          <w:color w:val="auto"/>
        </w:rPr>
        <w:t>Disbursement Agreement</w:t>
      </w:r>
      <w:r>
        <w:rPr>
          <w:rFonts w:ascii="Arial" w:cs="Arial" w:eastAsia="Arial" w:hAnsi="Arial"/>
          <w:sz w:val="19"/>
          <w:szCs w:val="19"/>
          <w:color w:val="auto"/>
        </w:rPr>
        <w:t>. The undersigned are parties to that certain Amended and Restated Master Disbursement Agreement, dated as of October 25, 2007, as amended by that certain First Amendment to Amended and Restated Master Disbursement Agreement, dated as of October 31, 2007, as amended by that certain Second Amendment to Amended and Restated Master Disbursement Agreement, dated as of November 6, 2007, as amended by Section 7(a) of that certain Fourth Amendment to Amended and Restated Credit Agreement, dated as of April 17, 2009, and as amended by that certain Third Amendment to Amended and Restated Master Disbursement Agreement, dated as of October 19, 2009 (the “</w:t>
      </w:r>
      <w:r>
        <w:rPr>
          <w:rFonts w:ascii="Arial" w:cs="Arial" w:eastAsia="Arial" w:hAnsi="Arial"/>
          <w:sz w:val="19"/>
          <w:szCs w:val="19"/>
          <w:u w:val="single" w:color="auto"/>
          <w:color w:val="auto"/>
        </w:rPr>
        <w:t>Existing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and as amended hereby, and as further amended, amended and restated, supplemented or otherwise modified from time to time, the “</w:t>
      </w:r>
      <w:r>
        <w:rPr>
          <w:rFonts w:ascii="Arial" w:cs="Arial" w:eastAsia="Arial" w:hAnsi="Arial"/>
          <w:sz w:val="19"/>
          <w:szCs w:val="19"/>
          <w:u w:val="single" w:color="auto"/>
          <w:color w:val="auto"/>
        </w:rPr>
        <w:t>Disbursement Agreement</w:t>
      </w:r>
      <w:r>
        <w:rPr>
          <w:rFonts w:ascii="Arial" w:cs="Arial" w:eastAsia="Arial" w:hAnsi="Arial"/>
          <w:sz w:val="19"/>
          <w:szCs w:val="19"/>
          <w:color w:val="auto"/>
        </w:rPr>
        <w:t>”), among the Company, the Bank Agent and the Disbursement Agent. Capitalized terms used but not otherwise defined herein shall have the meanings given in the Disbursement Agreement.</w:t>
      </w:r>
    </w:p>
    <w:p>
      <w:pPr>
        <w:spacing w:after="0" w:line="183" w:lineRule="exact"/>
        <w:rPr>
          <w:rFonts w:ascii="Arial" w:cs="Arial" w:eastAsia="Arial" w:hAnsi="Arial"/>
          <w:sz w:val="19"/>
          <w:szCs w:val="19"/>
          <w:color w:val="auto"/>
        </w:rPr>
      </w:pPr>
    </w:p>
    <w:p>
      <w:pPr>
        <w:jc w:val="both"/>
        <w:ind w:left="760" w:hanging="7"/>
        <w:spacing w:after="0" w:line="275" w:lineRule="auto"/>
        <w:tabs>
          <w:tab w:leader="none" w:pos="1674" w:val="left"/>
        </w:tabs>
        <w:numPr>
          <w:ilvl w:val="0"/>
          <w:numId w:val="308"/>
        </w:numPr>
        <w:rPr>
          <w:rFonts w:ascii="Arial" w:cs="Arial" w:eastAsia="Arial" w:hAnsi="Arial"/>
          <w:sz w:val="19"/>
          <w:szCs w:val="19"/>
          <w:color w:val="auto"/>
        </w:rPr>
      </w:pPr>
      <w:r>
        <w:rPr>
          <w:rFonts w:ascii="Arial" w:cs="Arial" w:eastAsia="Arial" w:hAnsi="Arial"/>
          <w:sz w:val="19"/>
          <w:szCs w:val="19"/>
          <w:u w:val="single" w:color="auto"/>
          <w:color w:val="auto"/>
        </w:rPr>
        <w:t>2020 Notes</w:t>
      </w:r>
      <w:r>
        <w:rPr>
          <w:rFonts w:ascii="Arial" w:cs="Arial" w:eastAsia="Arial" w:hAnsi="Arial"/>
          <w:sz w:val="19"/>
          <w:szCs w:val="19"/>
          <w:color w:val="auto"/>
        </w:rPr>
        <w:t>. The Company, Wynn Las Vegas Capital Corp., a Nevada corporation (together with the Company, the “</w:t>
      </w:r>
      <w:r>
        <w:rPr>
          <w:rFonts w:ascii="Arial" w:cs="Arial" w:eastAsia="Arial" w:hAnsi="Arial"/>
          <w:sz w:val="19"/>
          <w:szCs w:val="19"/>
          <w:u w:val="single" w:color="auto"/>
          <w:color w:val="auto"/>
        </w:rPr>
        <w:t>Issuers</w:t>
      </w:r>
      <w:r>
        <w:rPr>
          <w:rFonts w:ascii="Arial" w:cs="Arial" w:eastAsia="Arial" w:hAnsi="Arial"/>
          <w:sz w:val="19"/>
          <w:szCs w:val="19"/>
          <w:color w:val="auto"/>
        </w:rPr>
        <w:t>”), U.S. Bank National Association, in its capacity as indenture trustee, and certain other signatories thereto have entered into that certain Indenture (as the same may be amended, amended and restated, supplemented or otherwise modified from time to time, the “</w:t>
      </w:r>
      <w:r>
        <w:rPr>
          <w:rFonts w:ascii="Arial" w:cs="Arial" w:eastAsia="Arial" w:hAnsi="Arial"/>
          <w:sz w:val="19"/>
          <w:szCs w:val="19"/>
          <w:u w:val="single" w:color="auto"/>
          <w:color w:val="auto"/>
        </w:rPr>
        <w:t>2020 Notes Indenture</w:t>
      </w:r>
      <w:r>
        <w:rPr>
          <w:rFonts w:ascii="Arial" w:cs="Arial" w:eastAsia="Arial" w:hAnsi="Arial"/>
          <w:sz w:val="19"/>
          <w:szCs w:val="19"/>
          <w:color w:val="auto"/>
        </w:rPr>
        <w:t>”), dated as of the date hereof, pertaining to the 7 7/8% First Mortgage Notes due 2020 issued by the Issuers in the aggregate principal amount of $382,010,000 (together with any other notes issued from time to time under the 2020 Notes Indenture, the “</w:t>
      </w:r>
      <w:r>
        <w:rPr>
          <w:rFonts w:ascii="Arial" w:cs="Arial" w:eastAsia="Arial" w:hAnsi="Arial"/>
          <w:sz w:val="19"/>
          <w:szCs w:val="19"/>
          <w:u w:val="single" w:color="auto"/>
          <w:color w:val="auto"/>
        </w:rPr>
        <w:t>2020 Notes</w:t>
      </w:r>
      <w:r>
        <w:rPr>
          <w:rFonts w:ascii="Arial" w:cs="Arial" w:eastAsia="Arial" w:hAnsi="Arial"/>
          <w:sz w:val="19"/>
          <w:szCs w:val="19"/>
          <w:color w:val="auto"/>
        </w:rPr>
        <w:t>”), which 2020 Notes Indenture constitutes a “Permitted Additional Senior Secured Debt Agreement” under the Intercreditor Agreement.</w:t>
      </w:r>
    </w:p>
    <w:p>
      <w:pPr>
        <w:spacing w:after="0" w:line="185" w:lineRule="exact"/>
        <w:rPr>
          <w:sz w:val="20"/>
          <w:szCs w:val="20"/>
          <w:color w:val="auto"/>
        </w:rPr>
      </w:pPr>
    </w:p>
    <w:p>
      <w:pPr>
        <w:ind w:left="760" w:firstLine="641"/>
        <w:spacing w:after="0" w:line="251" w:lineRule="auto"/>
        <w:tabs>
          <w:tab w:leader="none" w:pos="2255" w:val="left"/>
        </w:tabs>
        <w:numPr>
          <w:ilvl w:val="0"/>
          <w:numId w:val="309"/>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The undersigned desire to amend the Disbursement Agreement in connection with the issuance of the 2020 Notes.</w:t>
      </w:r>
    </w:p>
    <w:p>
      <w:pPr>
        <w:spacing w:after="0" w:line="194" w:lineRule="exact"/>
        <w:rPr>
          <w:sz w:val="20"/>
          <w:szCs w:val="20"/>
          <w:color w:val="auto"/>
        </w:rPr>
      </w:pPr>
    </w:p>
    <w:p>
      <w:pPr>
        <w:ind w:left="4980"/>
        <w:spacing w:after="0"/>
        <w:rPr>
          <w:sz w:val="20"/>
          <w:szCs w:val="20"/>
          <w:color w:val="auto"/>
        </w:rPr>
      </w:pPr>
      <w:r>
        <w:rPr>
          <w:rFonts w:ascii="Arial" w:cs="Arial" w:eastAsia="Arial" w:hAnsi="Arial"/>
          <w:sz w:val="22"/>
          <w:szCs w:val="22"/>
          <w:b w:val="1"/>
          <w:bCs w:val="1"/>
          <w:u w:val="single" w:color="auto"/>
          <w:color w:val="auto"/>
        </w:rPr>
        <w:t>Agreement</w:t>
      </w:r>
    </w:p>
    <w:p>
      <w:pPr>
        <w:spacing w:after="0" w:line="239" w:lineRule="exact"/>
        <w:rPr>
          <w:sz w:val="20"/>
          <w:szCs w:val="20"/>
          <w:color w:val="auto"/>
        </w:rPr>
      </w:pPr>
    </w:p>
    <w:p>
      <w:pPr>
        <w:jc w:val="both"/>
        <w:ind w:left="760" w:firstLine="648"/>
        <w:spacing w:after="0"/>
        <w:rPr>
          <w:sz w:val="20"/>
          <w:szCs w:val="20"/>
          <w:color w:val="auto"/>
        </w:rPr>
      </w:pPr>
      <w:r>
        <w:rPr>
          <w:rFonts w:ascii="Arial" w:cs="Arial" w:eastAsia="Arial" w:hAnsi="Arial"/>
          <w:sz w:val="22"/>
          <w:szCs w:val="22"/>
          <w:color w:val="auto"/>
        </w:rPr>
        <w:t>NOW, THEREFORE, in consideration of the mutual covenants and agreements herein contained, and for other good and valuable consideration, the receipt and sufficiency of which are hereby acknowledged, the undersigned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404495</wp:posOffset>
            </wp:positionV>
            <wp:extent cx="601599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356" w:right="239" w:bottom="1440" w:gutter="0" w:footer="0" w:header="0"/>
        </w:sectPr>
      </w:pPr>
    </w:p>
    <w:bookmarkStart w:id="238" w:name="page239"/>
    <w:bookmarkEnd w:id="238"/>
    <w:p>
      <w:pPr>
        <w:ind w:left="2160" w:hanging="759"/>
        <w:spacing w:after="0"/>
        <w:tabs>
          <w:tab w:leader="none" w:pos="2160" w:val="left"/>
        </w:tabs>
        <w:numPr>
          <w:ilvl w:val="0"/>
          <w:numId w:val="310"/>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760" w:right="80" w:firstLine="812"/>
        <w:spacing w:after="0" w:line="238" w:lineRule="auto"/>
        <w:rPr>
          <w:rFonts w:ascii="Arial" w:cs="Arial" w:eastAsia="Arial" w:hAnsi="Arial"/>
          <w:sz w:val="22"/>
          <w:szCs w:val="22"/>
          <w:color w:val="auto"/>
        </w:rPr>
      </w:pPr>
      <w:r>
        <w:rPr>
          <w:rFonts w:ascii="Arial" w:cs="Arial" w:eastAsia="Arial" w:hAnsi="Arial"/>
          <w:sz w:val="22"/>
          <w:szCs w:val="22"/>
          <w:color w:val="auto"/>
        </w:rPr>
        <w:t>a. Section 5.14.1 of the Existing Agreement is hereby amended by deleting the words “Loans, the 2014 Notes and the Senior Secured Notes in accordance with the Bank Credit Agreement, the 2014 Notes Indenture and the Senior Secured Notes Indenture”, where such words appear therein, and replacing them with the following:</w:t>
      </w:r>
    </w:p>
    <w:p>
      <w:pPr>
        <w:spacing w:after="0" w:line="212" w:lineRule="exact"/>
        <w:rPr>
          <w:sz w:val="20"/>
          <w:szCs w:val="20"/>
          <w:color w:val="auto"/>
        </w:rPr>
      </w:pPr>
    </w:p>
    <w:p>
      <w:pPr>
        <w:jc w:val="both"/>
        <w:ind w:left="2160" w:right="100"/>
        <w:spacing w:after="0"/>
        <w:rPr>
          <w:sz w:val="20"/>
          <w:szCs w:val="20"/>
          <w:color w:val="auto"/>
        </w:rPr>
      </w:pPr>
      <w:r>
        <w:rPr>
          <w:rFonts w:ascii="Arial" w:cs="Arial" w:eastAsia="Arial" w:hAnsi="Arial"/>
          <w:sz w:val="22"/>
          <w:szCs w:val="22"/>
          <w:color w:val="auto"/>
        </w:rPr>
        <w:t>“Loans, the 2014 Notes, the Senior Secured Notes and the 2020 Notes in accordance with the Bank Credit Agreement, the 2014 Notes Indenture, the Senior Secured Notes Indenture and the 2020 Notes Indenture”.</w:t>
      </w:r>
    </w:p>
    <w:p>
      <w:pPr>
        <w:spacing w:after="0" w:line="213" w:lineRule="exact"/>
        <w:rPr>
          <w:sz w:val="20"/>
          <w:szCs w:val="20"/>
          <w:color w:val="auto"/>
        </w:rPr>
      </w:pPr>
    </w:p>
    <w:p>
      <w:pPr>
        <w:ind w:left="3120" w:hanging="921"/>
        <w:spacing w:after="0"/>
        <w:tabs>
          <w:tab w:leader="none" w:pos="3120" w:val="left"/>
        </w:tabs>
        <w:numPr>
          <w:ilvl w:val="0"/>
          <w:numId w:val="311"/>
        </w:numPr>
        <w:rPr>
          <w:rFonts w:ascii="Arial" w:cs="Arial" w:eastAsia="Arial" w:hAnsi="Arial"/>
          <w:sz w:val="19"/>
          <w:szCs w:val="19"/>
          <w:color w:val="auto"/>
        </w:rPr>
      </w:pPr>
      <w:r>
        <w:rPr>
          <w:rFonts w:ascii="Arial" w:cs="Arial" w:eastAsia="Arial" w:hAnsi="Arial"/>
          <w:sz w:val="19"/>
          <w:szCs w:val="19"/>
          <w:color w:val="auto"/>
        </w:rPr>
        <w:t>Section 7.1.1 of the Existing Agreement is hereby amended by deleting Section</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7.1.1 thereof in its entirety and replacing it with the following:</w:t>
      </w:r>
    </w:p>
    <w:p>
      <w:pPr>
        <w:spacing w:after="0" w:line="215" w:lineRule="exact"/>
        <w:rPr>
          <w:sz w:val="20"/>
          <w:szCs w:val="20"/>
          <w:color w:val="auto"/>
        </w:rPr>
      </w:pPr>
    </w:p>
    <w:p>
      <w:pPr>
        <w:jc w:val="both"/>
        <w:ind w:left="2160"/>
        <w:spacing w:after="0"/>
        <w:rPr>
          <w:sz w:val="20"/>
          <w:szCs w:val="20"/>
          <w:color w:val="auto"/>
        </w:rPr>
      </w:pPr>
      <w:r>
        <w:rPr>
          <w:rFonts w:ascii="Arial" w:cs="Arial" w:eastAsia="Arial" w:hAnsi="Arial"/>
          <w:sz w:val="22"/>
          <w:szCs w:val="22"/>
          <w:color w:val="auto"/>
        </w:rPr>
        <w:t xml:space="preserve">“7.1.1 </w:t>
      </w:r>
      <w:r>
        <w:rPr>
          <w:rFonts w:ascii="Arial" w:cs="Arial" w:eastAsia="Arial" w:hAnsi="Arial"/>
          <w:sz w:val="22"/>
          <w:szCs w:val="22"/>
          <w:u w:val="single" w:color="auto"/>
          <w:color w:val="auto"/>
        </w:rPr>
        <w:t>Other Financing Documents</w:t>
      </w:r>
      <w:r>
        <w:rPr>
          <w:rFonts w:ascii="Arial" w:cs="Arial" w:eastAsia="Arial" w:hAnsi="Arial"/>
          <w:sz w:val="22"/>
          <w:szCs w:val="22"/>
          <w:color w:val="auto"/>
        </w:rPr>
        <w:t>. The occurrence of an “Event of Default” under and as defined in the (a) Bank Credit Agreement, (b) 2014 Notes Indenture, (c) Senior Secured Notes Indenture or (d) 2020 Notes Indenture.”</w:t>
      </w:r>
    </w:p>
    <w:p>
      <w:pPr>
        <w:spacing w:after="0" w:line="213" w:lineRule="exact"/>
        <w:rPr>
          <w:sz w:val="20"/>
          <w:szCs w:val="20"/>
          <w:color w:val="auto"/>
        </w:rPr>
      </w:pPr>
    </w:p>
    <w:p>
      <w:pPr>
        <w:ind w:left="760" w:right="80" w:firstLine="1445"/>
        <w:spacing w:after="0" w:line="251" w:lineRule="auto"/>
        <w:tabs>
          <w:tab w:leader="none" w:pos="3271" w:val="left"/>
        </w:tabs>
        <w:numPr>
          <w:ilvl w:val="0"/>
          <w:numId w:val="312"/>
        </w:numPr>
        <w:rPr>
          <w:rFonts w:ascii="Arial" w:cs="Arial" w:eastAsia="Arial" w:hAnsi="Arial"/>
          <w:sz w:val="22"/>
          <w:szCs w:val="22"/>
          <w:color w:val="auto"/>
        </w:rPr>
      </w:pPr>
      <w:r>
        <w:rPr>
          <w:rFonts w:ascii="Arial" w:cs="Arial" w:eastAsia="Arial" w:hAnsi="Arial"/>
          <w:sz w:val="22"/>
          <w:szCs w:val="22"/>
          <w:color w:val="auto"/>
        </w:rPr>
        <w:t>Section 7.2 of the Existing Agreement is hereby amended by deleting the last sentence of the last paragraph thereof and replacing it with the following:</w:t>
      </w:r>
    </w:p>
    <w:p>
      <w:pPr>
        <w:spacing w:after="0" w:line="200" w:lineRule="exact"/>
        <w:rPr>
          <w:sz w:val="20"/>
          <w:szCs w:val="20"/>
          <w:color w:val="auto"/>
        </w:rPr>
      </w:pPr>
    </w:p>
    <w:p>
      <w:pPr>
        <w:jc w:val="both"/>
        <w:ind w:left="2160"/>
        <w:spacing w:after="0" w:line="287" w:lineRule="auto"/>
        <w:rPr>
          <w:sz w:val="20"/>
          <w:szCs w:val="20"/>
          <w:color w:val="auto"/>
        </w:rPr>
      </w:pPr>
      <w:r>
        <w:rPr>
          <w:rFonts w:ascii="Arial" w:cs="Arial" w:eastAsia="Arial" w:hAnsi="Arial"/>
          <w:sz w:val="19"/>
          <w:szCs w:val="19"/>
          <w:color w:val="auto"/>
        </w:rPr>
        <w:t xml:space="preserve">“Any cure or waiver of any “Event of Default” under the Senior Secured Notes Indenture or the 2020 Notes Indenture that is effective under the terms of the Senior Secured Notes Indenture or the 2020 Notes Indenture, respectively, shall automatically cure an Event of Default under clause (c) or (d), as applicable, of </w:t>
      </w:r>
      <w:r>
        <w:rPr>
          <w:rFonts w:ascii="Arial" w:cs="Arial" w:eastAsia="Arial" w:hAnsi="Arial"/>
          <w:sz w:val="19"/>
          <w:szCs w:val="19"/>
          <w:u w:val="single" w:color="auto"/>
          <w:color w:val="auto"/>
        </w:rPr>
        <w:t>Section 7.1.1</w:t>
      </w:r>
      <w:r>
        <w:rPr>
          <w:rFonts w:ascii="Arial" w:cs="Arial" w:eastAsia="Arial" w:hAnsi="Arial"/>
          <w:sz w:val="19"/>
          <w:szCs w:val="19"/>
          <w:color w:val="auto"/>
        </w:rPr>
        <w:t>.”</w:t>
      </w:r>
    </w:p>
    <w:p>
      <w:pPr>
        <w:spacing w:after="0" w:line="170" w:lineRule="exact"/>
        <w:rPr>
          <w:sz w:val="20"/>
          <w:szCs w:val="20"/>
          <w:color w:val="auto"/>
        </w:rPr>
      </w:pPr>
    </w:p>
    <w:p>
      <w:pPr>
        <w:ind w:left="760" w:firstLine="1405"/>
        <w:spacing w:after="0" w:line="251" w:lineRule="auto"/>
        <w:tabs>
          <w:tab w:leader="none" w:pos="2957" w:val="left"/>
        </w:tabs>
        <w:numPr>
          <w:ilvl w:val="0"/>
          <w:numId w:val="313"/>
        </w:numPr>
        <w:rPr>
          <w:rFonts w:ascii="Arial" w:cs="Arial" w:eastAsia="Arial" w:hAnsi="Arial"/>
          <w:sz w:val="22"/>
          <w:szCs w:val="22"/>
          <w:color w:val="auto"/>
        </w:rPr>
      </w:pPr>
      <w:r>
        <w:rPr>
          <w:rFonts w:ascii="Arial" w:cs="Arial" w:eastAsia="Arial" w:hAnsi="Arial"/>
          <w:sz w:val="22"/>
          <w:szCs w:val="22"/>
          <w:color w:val="auto"/>
        </w:rPr>
        <w:t>Exhibit A to the Existing Agreement is hereby amended by amending the following definitions contained therein as follows:</w:t>
      </w:r>
    </w:p>
    <w:p>
      <w:pPr>
        <w:spacing w:after="0" w:line="200" w:lineRule="exact"/>
        <w:rPr>
          <w:rFonts w:ascii="Arial" w:cs="Arial" w:eastAsia="Arial" w:hAnsi="Arial"/>
          <w:sz w:val="22"/>
          <w:szCs w:val="22"/>
          <w:color w:val="auto"/>
        </w:rPr>
      </w:pPr>
    </w:p>
    <w:p>
      <w:pPr>
        <w:jc w:val="both"/>
        <w:ind w:left="760" w:firstLine="1490"/>
        <w:spacing w:after="0"/>
        <w:tabs>
          <w:tab w:leader="none" w:pos="3069" w:val="left"/>
        </w:tabs>
        <w:numPr>
          <w:ilvl w:val="1"/>
          <w:numId w:val="313"/>
        </w:numPr>
        <w:rPr>
          <w:rFonts w:ascii="Arial" w:cs="Arial" w:eastAsia="Arial" w:hAnsi="Arial"/>
          <w:sz w:val="22"/>
          <w:szCs w:val="22"/>
          <w:color w:val="auto"/>
        </w:rPr>
      </w:pPr>
      <w:r>
        <w:rPr>
          <w:rFonts w:ascii="Arial" w:cs="Arial" w:eastAsia="Arial" w:hAnsi="Arial"/>
          <w:sz w:val="22"/>
          <w:szCs w:val="22"/>
          <w:color w:val="auto"/>
        </w:rPr>
        <w:t>The definition of “Collateral Agency Agreement” is hereby amended by inserting the words “, the 2020 Notes Indenture Trustee” immediately after the words “Senior Secured Notes Indenture Trustee”, where such words appear therein.</w:t>
      </w:r>
    </w:p>
    <w:p>
      <w:pPr>
        <w:spacing w:after="0" w:line="213" w:lineRule="exact"/>
        <w:rPr>
          <w:rFonts w:ascii="Arial" w:cs="Arial" w:eastAsia="Arial" w:hAnsi="Arial"/>
          <w:sz w:val="22"/>
          <w:szCs w:val="22"/>
          <w:color w:val="auto"/>
        </w:rPr>
      </w:pPr>
    </w:p>
    <w:p>
      <w:pPr>
        <w:jc w:val="both"/>
        <w:ind w:left="760" w:right="80" w:firstLine="1497"/>
        <w:spacing w:after="0"/>
        <w:tabs>
          <w:tab w:leader="none" w:pos="3153" w:val="left"/>
        </w:tabs>
        <w:numPr>
          <w:ilvl w:val="1"/>
          <w:numId w:val="313"/>
        </w:numPr>
        <w:rPr>
          <w:rFonts w:ascii="Arial" w:cs="Arial" w:eastAsia="Arial" w:hAnsi="Arial"/>
          <w:sz w:val="22"/>
          <w:szCs w:val="22"/>
          <w:color w:val="auto"/>
        </w:rPr>
      </w:pPr>
      <w:r>
        <w:rPr>
          <w:rFonts w:ascii="Arial" w:cs="Arial" w:eastAsia="Arial" w:hAnsi="Arial"/>
          <w:sz w:val="22"/>
          <w:szCs w:val="22"/>
          <w:color w:val="auto"/>
        </w:rPr>
        <w:t>The definition of “Intercreditor Agreement” is hereby amended by inserting the words “, the 2020 Notes Indenture Trustee” immediately after the words “the Senior Secured Notes Indenture Trustee”, where such words appear therein.</w:t>
      </w:r>
    </w:p>
    <w:p>
      <w:pPr>
        <w:spacing w:after="0" w:line="213" w:lineRule="exact"/>
        <w:rPr>
          <w:rFonts w:ascii="Arial" w:cs="Arial" w:eastAsia="Arial" w:hAnsi="Arial"/>
          <w:sz w:val="22"/>
          <w:szCs w:val="22"/>
          <w:color w:val="auto"/>
        </w:rPr>
      </w:pPr>
    </w:p>
    <w:p>
      <w:pPr>
        <w:ind w:left="760" w:right="80" w:firstLine="1485"/>
        <w:spacing w:after="0" w:line="251" w:lineRule="auto"/>
        <w:tabs>
          <w:tab w:leader="none" w:pos="3171" w:val="left"/>
        </w:tabs>
        <w:numPr>
          <w:ilvl w:val="1"/>
          <w:numId w:val="313"/>
        </w:numPr>
        <w:rPr>
          <w:rFonts w:ascii="Arial" w:cs="Arial" w:eastAsia="Arial" w:hAnsi="Arial"/>
          <w:sz w:val="22"/>
          <w:szCs w:val="22"/>
          <w:color w:val="auto"/>
        </w:rPr>
      </w:pPr>
      <w:r>
        <w:rPr>
          <w:rFonts w:ascii="Arial" w:cs="Arial" w:eastAsia="Arial" w:hAnsi="Arial"/>
          <w:sz w:val="22"/>
          <w:szCs w:val="22"/>
          <w:color w:val="auto"/>
        </w:rPr>
        <w:t>The definition of “Obligations” is hereby amended by deleting the period at the end of such definition and replacing it with the following:</w:t>
      </w:r>
    </w:p>
    <w:p>
      <w:pPr>
        <w:spacing w:after="0" w:line="200" w:lineRule="exact"/>
        <w:rPr>
          <w:sz w:val="20"/>
          <w:szCs w:val="20"/>
          <w:color w:val="auto"/>
        </w:rPr>
      </w:pPr>
    </w:p>
    <w:p>
      <w:pPr>
        <w:jc w:val="both"/>
        <w:ind w:left="2160"/>
        <w:spacing w:after="0" w:line="236" w:lineRule="auto"/>
        <w:rPr>
          <w:sz w:val="20"/>
          <w:szCs w:val="20"/>
          <w:color w:val="auto"/>
        </w:rPr>
      </w:pPr>
      <w:r>
        <w:rPr>
          <w:rFonts w:ascii="Arial" w:cs="Arial" w:eastAsia="Arial" w:hAnsi="Arial"/>
          <w:sz w:val="22"/>
          <w:szCs w:val="22"/>
          <w:color w:val="auto"/>
        </w:rPr>
        <w:t>“; provided, however, that solely for purposes of the Intercreditor Agreement, the term “Obligations” shall also include all such obligations and liabilities of the Company and the other Loan Parties to the 2020 Notes Trustee, 2020 Noteholders, and any other holder of indebtedness or representative or agent on behalf of such holders under the 2020 Notes Agreements, any Future Permitted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76835</wp:posOffset>
            </wp:positionV>
            <wp:extent cx="601599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39" w:name="page240"/>
    <w:bookmarkEnd w:id="239"/>
    <w:p>
      <w:pPr>
        <w:ind w:left="2160"/>
        <w:spacing w:after="0" w:line="251" w:lineRule="auto"/>
        <w:rPr>
          <w:sz w:val="20"/>
          <w:szCs w:val="20"/>
          <w:color w:val="auto"/>
        </w:rPr>
      </w:pPr>
      <w:r>
        <w:rPr>
          <w:rFonts w:ascii="Arial" w:cs="Arial" w:eastAsia="Arial" w:hAnsi="Arial"/>
          <w:sz w:val="22"/>
          <w:szCs w:val="22"/>
          <w:color w:val="auto"/>
        </w:rPr>
        <w:t>Additional Senior Secured Debt Agreement and any Permitted Additional Junior Secured Debt Agreement.”</w:t>
      </w:r>
    </w:p>
    <w:p>
      <w:pPr>
        <w:spacing w:after="0" w:line="200" w:lineRule="exact"/>
        <w:rPr>
          <w:sz w:val="20"/>
          <w:szCs w:val="20"/>
          <w:color w:val="auto"/>
        </w:rPr>
      </w:pPr>
    </w:p>
    <w:p>
      <w:pPr>
        <w:ind w:left="760" w:right="80" w:firstLine="1448"/>
        <w:spacing w:after="0" w:line="251" w:lineRule="auto"/>
        <w:tabs>
          <w:tab w:leader="none" w:pos="3218" w:val="left"/>
        </w:tabs>
        <w:numPr>
          <w:ilvl w:val="3"/>
          <w:numId w:val="314"/>
        </w:numPr>
        <w:rPr>
          <w:rFonts w:ascii="Arial" w:cs="Arial" w:eastAsia="Arial" w:hAnsi="Arial"/>
          <w:sz w:val="22"/>
          <w:szCs w:val="22"/>
          <w:color w:val="auto"/>
        </w:rPr>
      </w:pPr>
      <w:r>
        <w:rPr>
          <w:rFonts w:ascii="Arial" w:cs="Arial" w:eastAsia="Arial" w:hAnsi="Arial"/>
          <w:sz w:val="22"/>
          <w:szCs w:val="22"/>
          <w:color w:val="auto"/>
        </w:rPr>
        <w:t>Exhibit A to the Existing Agreement is hereby further amended by adding the following definitions thereto in appropriate alphabetical order:</w:t>
      </w:r>
    </w:p>
    <w:p>
      <w:pPr>
        <w:spacing w:after="0" w:line="200" w:lineRule="exact"/>
        <w:rPr>
          <w:rFonts w:ascii="Arial" w:cs="Arial" w:eastAsia="Arial" w:hAnsi="Arial"/>
          <w:sz w:val="22"/>
          <w:szCs w:val="22"/>
          <w:color w:val="auto"/>
        </w:rPr>
      </w:pPr>
    </w:p>
    <w:p>
      <w:pPr>
        <w:jc w:val="both"/>
        <w:ind w:left="760" w:right="80" w:firstLine="1583"/>
        <w:spacing w:after="0"/>
        <w:tabs>
          <w:tab w:leader="none" w:pos="3420" w:val="left"/>
        </w:tabs>
        <w:numPr>
          <w:ilvl w:val="5"/>
          <w:numId w:val="314"/>
        </w:numPr>
        <w:rPr>
          <w:rFonts w:ascii="Arial" w:cs="Arial" w:eastAsia="Arial" w:hAnsi="Arial"/>
          <w:sz w:val="22"/>
          <w:szCs w:val="22"/>
          <w:color w:val="auto"/>
        </w:rPr>
      </w:pPr>
      <w:r>
        <w:rPr>
          <w:rFonts w:ascii="Arial" w:cs="Arial" w:eastAsia="Arial" w:hAnsi="Arial"/>
          <w:sz w:val="22"/>
          <w:szCs w:val="22"/>
          <w:color w:val="auto"/>
        </w:rPr>
        <w:t>“Future Permitted Additional Senior Secured Debt Agreement” means any “Permitted Additional Senior Secured Debt Agreement” (as defined in the Intercreditor Agreement) that is entered into after April 28, 2010.</w:t>
      </w:r>
    </w:p>
    <w:p>
      <w:pPr>
        <w:spacing w:after="0" w:line="213" w:lineRule="exact"/>
        <w:rPr>
          <w:rFonts w:ascii="Arial" w:cs="Arial" w:eastAsia="Arial" w:hAnsi="Arial"/>
          <w:sz w:val="22"/>
          <w:szCs w:val="22"/>
          <w:color w:val="auto"/>
        </w:rPr>
      </w:pPr>
    </w:p>
    <w:p>
      <w:pPr>
        <w:ind w:left="760" w:right="80" w:firstLine="1466"/>
        <w:spacing w:after="0" w:line="251" w:lineRule="auto"/>
        <w:tabs>
          <w:tab w:leader="none" w:pos="3044" w:val="left"/>
        </w:tabs>
        <w:numPr>
          <w:ilvl w:val="4"/>
          <w:numId w:val="314"/>
        </w:numPr>
        <w:rPr>
          <w:rFonts w:ascii="Arial" w:cs="Arial" w:eastAsia="Arial" w:hAnsi="Arial"/>
          <w:sz w:val="22"/>
          <w:szCs w:val="22"/>
          <w:color w:val="auto"/>
        </w:rPr>
      </w:pPr>
      <w:r>
        <w:rPr>
          <w:rFonts w:ascii="Arial" w:cs="Arial" w:eastAsia="Arial" w:hAnsi="Arial"/>
          <w:sz w:val="22"/>
          <w:szCs w:val="22"/>
          <w:color w:val="auto"/>
        </w:rPr>
        <w:t>“Permitted Additional Junior Secured Debt Agreement” has the meaning given to the Intercreditor Agreement.</w:t>
      </w:r>
    </w:p>
    <w:p>
      <w:pPr>
        <w:spacing w:after="0" w:line="200" w:lineRule="exact"/>
        <w:rPr>
          <w:rFonts w:ascii="Arial" w:cs="Arial" w:eastAsia="Arial" w:hAnsi="Arial"/>
          <w:sz w:val="22"/>
          <w:szCs w:val="22"/>
          <w:color w:val="auto"/>
        </w:rPr>
      </w:pPr>
    </w:p>
    <w:p>
      <w:pPr>
        <w:ind w:left="1800" w:hanging="831"/>
        <w:spacing w:after="0"/>
        <w:tabs>
          <w:tab w:leader="none" w:pos="1800" w:val="left"/>
        </w:tabs>
        <w:numPr>
          <w:ilvl w:val="0"/>
          <w:numId w:val="315"/>
        </w:numPr>
        <w:rPr>
          <w:rFonts w:ascii="Arial" w:cs="Arial" w:eastAsia="Arial" w:hAnsi="Arial"/>
          <w:sz w:val="22"/>
          <w:szCs w:val="22"/>
          <w:color w:val="auto"/>
        </w:rPr>
      </w:pPr>
      <w:r>
        <w:rPr>
          <w:rFonts w:ascii="Arial" w:cs="Arial" w:eastAsia="Arial" w:hAnsi="Arial"/>
          <w:sz w:val="22"/>
          <w:szCs w:val="22"/>
          <w:color w:val="auto"/>
        </w:rPr>
        <w:t>“2020 Noteholders” means the holders of the 2020 Notes from time to time.</w:t>
      </w:r>
    </w:p>
    <w:p>
      <w:pPr>
        <w:spacing w:after="0" w:line="233" w:lineRule="exact"/>
        <w:rPr>
          <w:rFonts w:ascii="Arial" w:cs="Arial" w:eastAsia="Arial" w:hAnsi="Arial"/>
          <w:sz w:val="22"/>
          <w:szCs w:val="22"/>
          <w:color w:val="auto"/>
        </w:rPr>
      </w:pPr>
    </w:p>
    <w:p>
      <w:pPr>
        <w:jc w:val="both"/>
        <w:ind w:left="760" w:right="80" w:firstLine="865"/>
        <w:spacing w:after="0"/>
        <w:tabs>
          <w:tab w:leader="none" w:pos="2455" w:val="left"/>
        </w:tabs>
        <w:numPr>
          <w:ilvl w:val="2"/>
          <w:numId w:val="315"/>
        </w:numPr>
        <w:rPr>
          <w:rFonts w:ascii="Arial" w:cs="Arial" w:eastAsia="Arial" w:hAnsi="Arial"/>
          <w:sz w:val="22"/>
          <w:szCs w:val="22"/>
          <w:color w:val="auto"/>
        </w:rPr>
      </w:pPr>
      <w:r>
        <w:rPr>
          <w:rFonts w:ascii="Arial" w:cs="Arial" w:eastAsia="Arial" w:hAnsi="Arial"/>
          <w:sz w:val="22"/>
          <w:szCs w:val="22"/>
          <w:color w:val="auto"/>
        </w:rPr>
        <w:t>“2020 Notes” means the 7 7/8% First Mortgage Notes Due 2020 issued by the Company and Capital Corp. from time to time pursuant to the 2020 Notes Indenture and any exchange notes related thereto as contemplated by the 2020 Notes Indenture.</w:t>
      </w:r>
    </w:p>
    <w:p>
      <w:pPr>
        <w:spacing w:after="0" w:line="213" w:lineRule="exact"/>
        <w:rPr>
          <w:rFonts w:ascii="Arial" w:cs="Arial" w:eastAsia="Arial" w:hAnsi="Arial"/>
          <w:sz w:val="22"/>
          <w:szCs w:val="22"/>
          <w:color w:val="auto"/>
        </w:rPr>
      </w:pPr>
    </w:p>
    <w:p>
      <w:pPr>
        <w:jc w:val="both"/>
        <w:ind w:left="760" w:right="80" w:firstLine="868"/>
        <w:spacing w:after="0" w:line="236" w:lineRule="auto"/>
        <w:tabs>
          <w:tab w:leader="none" w:pos="2406" w:val="left"/>
        </w:tabs>
        <w:numPr>
          <w:ilvl w:val="2"/>
          <w:numId w:val="315"/>
        </w:numPr>
        <w:rPr>
          <w:rFonts w:ascii="Arial" w:cs="Arial" w:eastAsia="Arial" w:hAnsi="Arial"/>
          <w:sz w:val="22"/>
          <w:szCs w:val="22"/>
          <w:color w:val="auto"/>
        </w:rPr>
      </w:pPr>
      <w:r>
        <w:rPr>
          <w:rFonts w:ascii="Arial" w:cs="Arial" w:eastAsia="Arial" w:hAnsi="Arial"/>
          <w:sz w:val="22"/>
          <w:szCs w:val="22"/>
          <w:color w:val="auto"/>
        </w:rPr>
        <w:t>“2020 Notes Agreements” means collectively, the 2020 Notes, the 2020 Notes Indenture, the environmental indemnity agreements entered into by one or more Loan Parties for the benefit of the 2020 Notes Indenture Trustee and certain other indemnified parties, and the security agreement and deeds of trust entered into by one or more Loan Parties to secure their obligations under the 2020 Notes Indenture and the 2020 Notes.</w:t>
      </w:r>
    </w:p>
    <w:p>
      <w:pPr>
        <w:spacing w:after="0" w:line="214" w:lineRule="exact"/>
        <w:rPr>
          <w:rFonts w:ascii="Arial" w:cs="Arial" w:eastAsia="Arial" w:hAnsi="Arial"/>
          <w:sz w:val="22"/>
          <w:szCs w:val="22"/>
          <w:color w:val="auto"/>
        </w:rPr>
      </w:pPr>
    </w:p>
    <w:p>
      <w:pPr>
        <w:jc w:val="both"/>
        <w:ind w:left="760" w:firstLine="274"/>
        <w:spacing w:after="0" w:line="297" w:lineRule="auto"/>
        <w:tabs>
          <w:tab w:leader="none" w:pos="2037" w:val="left"/>
        </w:tabs>
        <w:numPr>
          <w:ilvl w:val="1"/>
          <w:numId w:val="315"/>
        </w:numPr>
        <w:rPr>
          <w:rFonts w:ascii="Arial" w:cs="Arial" w:eastAsia="Arial" w:hAnsi="Arial"/>
          <w:sz w:val="19"/>
          <w:szCs w:val="19"/>
          <w:color w:val="auto"/>
        </w:rPr>
      </w:pPr>
      <w:r>
        <w:rPr>
          <w:rFonts w:ascii="Arial" w:cs="Arial" w:eastAsia="Arial" w:hAnsi="Arial"/>
          <w:sz w:val="19"/>
          <w:szCs w:val="19"/>
          <w:color w:val="auto"/>
        </w:rPr>
        <w:t>“2020 Notes Indenture” means that certain Indenture, dated as of April 28, 2010, among the Company, Capital Corp., the guarantors signatory thereto, and the 2020 Notes Indenture Trustee, as the same may be amended, amended and restated, supplemented or otherwise modified from time to time.</w:t>
      </w:r>
    </w:p>
    <w:p>
      <w:pPr>
        <w:spacing w:after="0" w:line="161" w:lineRule="exact"/>
        <w:rPr>
          <w:sz w:val="20"/>
          <w:szCs w:val="20"/>
          <w:color w:val="auto"/>
        </w:rPr>
      </w:pPr>
    </w:p>
    <w:p>
      <w:pPr>
        <w:ind w:left="760" w:firstLine="255"/>
        <w:spacing w:after="0" w:line="274" w:lineRule="auto"/>
        <w:tabs>
          <w:tab w:leader="none" w:pos="2026" w:val="left"/>
        </w:tabs>
        <w:numPr>
          <w:ilvl w:val="0"/>
          <w:numId w:val="316"/>
        </w:numPr>
        <w:rPr>
          <w:rFonts w:ascii="Arial" w:cs="Arial" w:eastAsia="Arial" w:hAnsi="Arial"/>
          <w:sz w:val="21"/>
          <w:szCs w:val="21"/>
          <w:color w:val="auto"/>
        </w:rPr>
      </w:pPr>
      <w:r>
        <w:rPr>
          <w:rFonts w:ascii="Arial" w:cs="Arial" w:eastAsia="Arial" w:hAnsi="Arial"/>
          <w:sz w:val="21"/>
          <w:szCs w:val="21"/>
          <w:color w:val="auto"/>
        </w:rPr>
        <w:t>“2020 Notes Indenture Trustee” means U.S. Bank National Association, in its capacity as the initial trustee under the 2020 Notes Indenture, and its successors in such capacity.</w:t>
      </w:r>
    </w:p>
    <w:p>
      <w:pPr>
        <w:spacing w:after="0" w:line="177" w:lineRule="exact"/>
        <w:rPr>
          <w:rFonts w:ascii="Arial" w:cs="Arial" w:eastAsia="Arial" w:hAnsi="Arial"/>
          <w:sz w:val="21"/>
          <w:szCs w:val="21"/>
          <w:color w:val="auto"/>
        </w:rPr>
      </w:pPr>
    </w:p>
    <w:p>
      <w:pPr>
        <w:jc w:val="both"/>
        <w:ind w:left="760" w:firstLine="641"/>
        <w:spacing w:after="0" w:line="233" w:lineRule="auto"/>
        <w:tabs>
          <w:tab w:leader="none" w:pos="2205" w:val="left"/>
        </w:tabs>
        <w:numPr>
          <w:ilvl w:val="1"/>
          <w:numId w:val="31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Except as set forth in this Amendment, all other terms and provisions of the Existing Agreement remain unmodified and in full force and effect. This Amendment shall be governed by the laws of the State of New York of the United States of America and shall for all purposes be governed by and construed in accordance with the laws of such state without regard to the conflict of law rules thereof other than Section 5-1401 of the New York General Obligations Law. In the event that any term or provision contained herein is held to be invalid, void or otherwise unenforceable by any court of competent jurisdiction, the fact that such term or provision i s invalid, void or otherwise unenforceable shall in no way affect the validity or enforceability of any other term or provision contained herein. This Amendment may be executed in any number of counterparts and when signed by all of the parties hereto shall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76835</wp:posOffset>
            </wp:positionV>
            <wp:extent cx="601599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40" w:name="page241"/>
    <w:bookmarkEnd w:id="240"/>
    <w:p>
      <w:pPr>
        <w:ind w:left="760"/>
        <w:spacing w:after="0" w:line="251" w:lineRule="auto"/>
        <w:rPr>
          <w:sz w:val="20"/>
          <w:szCs w:val="20"/>
          <w:color w:val="auto"/>
        </w:rPr>
      </w:pPr>
      <w:r>
        <w:rPr>
          <w:rFonts w:ascii="Arial" w:cs="Arial" w:eastAsia="Arial" w:hAnsi="Arial"/>
          <w:sz w:val="22"/>
          <w:szCs w:val="22"/>
          <w:color w:val="auto"/>
        </w:rPr>
        <w:t>constitute a single binding agreement. Delivery of an executed counterpart hereof by facsimile transmission shall be effective as delivery of a manually executed counterpart.</w:t>
      </w:r>
    </w:p>
    <w:p>
      <w:pPr>
        <w:spacing w:after="0" w:line="200" w:lineRule="exact"/>
        <w:rPr>
          <w:sz w:val="20"/>
          <w:szCs w:val="20"/>
          <w:color w:val="auto"/>
        </w:rPr>
      </w:pPr>
    </w:p>
    <w:p>
      <w:pPr>
        <w:spacing w:after="0" w:line="243"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[REMAINDER OF PAGE INTENTIONALLY LEFT BLANK]</w:t>
      </w:r>
    </w:p>
    <w:p>
      <w:pPr>
        <w:spacing w:after="0" w:line="386"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76835</wp:posOffset>
            </wp:positionV>
            <wp:extent cx="601599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41" w:name="page242"/>
    <w:bookmarkEnd w:id="241"/>
    <w:p>
      <w:pPr>
        <w:ind w:left="760" w:firstLine="1296"/>
        <w:spacing w:after="0" w:line="251" w:lineRule="auto"/>
        <w:rPr>
          <w:sz w:val="20"/>
          <w:szCs w:val="20"/>
          <w:color w:val="auto"/>
        </w:rPr>
      </w:pPr>
      <w:r>
        <w:rPr>
          <w:rFonts w:ascii="Arial" w:cs="Arial" w:eastAsia="Arial" w:hAnsi="Arial"/>
          <w:sz w:val="22"/>
          <w:szCs w:val="22"/>
          <w:color w:val="auto"/>
        </w:rPr>
        <w:t>IN WITNESS WHEREOF, the parties hereto have executed this Amendment as of the day and year first written above.</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COMPANY: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WYNN LAS VEGAS, LLC,</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 Nevada limited liability company</w:t>
      </w:r>
    </w:p>
    <w:p>
      <w:pPr>
        <w:sectPr>
          <w:pgSz w:w="11900" w:h="16838" w:orient="portrait"/>
          <w:cols w:equalWidth="0" w:num="1">
            <w:col w:w="9860"/>
          </w:cols>
          <w:pgMar w:left="1440" w:top="510" w:right="599" w:bottom="1440" w:gutter="0" w:footer="0" w:header="0"/>
        </w:sectPr>
      </w:pPr>
    </w:p>
    <w:p>
      <w:pPr>
        <w:spacing w:after="0" w:line="18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Wynn Resorts Holdings,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 Nevada limited liability company,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p>
      <w:pPr>
        <w:sectPr>
          <w:pgSz w:w="11900" w:h="16838" w:orient="portrait"/>
          <w:cols w:equalWidth="0" w:num="2">
            <w:col w:w="1060" w:space="640"/>
            <w:col w:w="8160"/>
          </w:cols>
          <w:pgMar w:left="1440" w:top="510" w:right="599" w:bottom="1440" w:gutter="0" w:footer="0" w:header="0"/>
          <w:type w:val="continuous"/>
        </w:sectPr>
      </w:pPr>
    </w:p>
    <w:p>
      <w:pPr>
        <w:ind w:left="1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Wynn Resorts, Limited,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 Nevada corporation,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ectPr>
          <w:pgSz w:w="11900" w:h="16838" w:orient="portrait"/>
          <w:cols w:equalWidth="0" w:num="2">
            <w:col w:w="2020" w:space="620"/>
            <w:col w:w="7220"/>
          </w:cols>
          <w:pgMar w:left="1440" w:top="510" w:right="599" w:bottom="1440" w:gutter="0" w:footer="0" w:header="0"/>
          <w:type w:val="continuous"/>
        </w:sectPr>
      </w:pPr>
    </w:p>
    <w:p>
      <w:pPr>
        <w:spacing w:after="0" w:line="15" w:lineRule="exact"/>
        <w:rPr>
          <w:sz w:val="20"/>
          <w:szCs w:val="20"/>
          <w:color w:val="auto"/>
        </w:rPr>
      </w:pPr>
    </w:p>
    <w:p>
      <w:pPr>
        <w:ind w:left="2640"/>
        <w:spacing w:after="0"/>
        <w:tabs>
          <w:tab w:leader="none" w:pos="3200" w:val="left"/>
        </w:tabs>
        <w:rPr>
          <w:sz w:val="20"/>
          <w:szCs w:val="20"/>
          <w:color w:val="auto"/>
        </w:rPr>
      </w:pPr>
      <w:r>
        <w:rPr>
          <w:rFonts w:ascii="Arial" w:cs="Arial" w:eastAsia="Arial" w:hAnsi="Arial"/>
          <w:sz w:val="22"/>
          <w:szCs w:val="22"/>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7620</wp:posOffset>
            </wp:positionV>
            <wp:extent cx="144081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Name:Matt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4445</wp:posOffset>
            </wp:positionV>
            <wp:extent cx="144081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ind w:left="2640"/>
        <w:spacing w:after="0"/>
        <w:rPr>
          <w:sz w:val="20"/>
          <w:szCs w:val="20"/>
          <w:color w:val="auto"/>
        </w:rPr>
      </w:pPr>
      <w:r>
        <w:rPr>
          <w:rFonts w:ascii="Arial" w:cs="Arial" w:eastAsia="Arial" w:hAnsi="Arial"/>
          <w:sz w:val="22"/>
          <w:szCs w:val="22"/>
          <w:color w:val="auto"/>
        </w:rPr>
        <w:t>Title: CFO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4445</wp:posOffset>
            </wp:positionV>
            <wp:extent cx="144081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1960"/>
        <w:spacing w:after="0"/>
        <w:rPr>
          <w:sz w:val="20"/>
          <w:szCs w:val="20"/>
          <w:color w:val="auto"/>
        </w:rPr>
      </w:pPr>
      <w:r>
        <w:rPr>
          <w:rFonts w:ascii="Arial" w:cs="Arial" w:eastAsia="Arial" w:hAnsi="Arial"/>
          <w:sz w:val="20"/>
          <w:szCs w:val="20"/>
          <w:color w:val="auto"/>
        </w:rPr>
        <w:t>[Signature Page to Fourth Amendment to</w:t>
      </w:r>
    </w:p>
    <w:p>
      <w:pPr>
        <w:spacing w:after="0" w:line="16" w:lineRule="exact"/>
        <w:rPr>
          <w:sz w:val="20"/>
          <w:szCs w:val="20"/>
          <w:color w:val="auto"/>
        </w:rPr>
      </w:pPr>
    </w:p>
    <w:p>
      <w:pPr>
        <w:jc w:val="center"/>
        <w:ind w:left="1960"/>
        <w:spacing w:after="0"/>
        <w:rPr>
          <w:sz w:val="20"/>
          <w:szCs w:val="20"/>
          <w:color w:val="auto"/>
        </w:rPr>
      </w:pPr>
      <w:r>
        <w:rPr>
          <w:rFonts w:ascii="Arial" w:cs="Arial" w:eastAsia="Arial" w:hAnsi="Arial"/>
          <w:sz w:val="16"/>
          <w:szCs w:val="16"/>
          <w:color w:val="auto"/>
        </w:rPr>
        <w:t>Amended and Restated Master Disbursement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284480</wp:posOffset>
            </wp:positionV>
            <wp:extent cx="601599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9860"/>
          </w:cols>
          <w:pgMar w:left="1440" w:top="510" w:right="599" w:bottom="1440" w:gutter="0" w:footer="0" w:header="0"/>
          <w:type w:val="continuous"/>
        </w:sectPr>
      </w:pPr>
    </w:p>
    <w:bookmarkStart w:id="242" w:name="page243"/>
    <w:bookmarkEnd w:id="242"/>
    <w:p>
      <w:pPr>
        <w:ind w:left="760"/>
        <w:spacing w:after="0"/>
        <w:rPr>
          <w:sz w:val="20"/>
          <w:szCs w:val="20"/>
          <w:color w:val="auto"/>
        </w:rPr>
      </w:pPr>
      <w:r>
        <w:rPr>
          <w:rFonts w:ascii="Arial" w:cs="Arial" w:eastAsia="Arial" w:hAnsi="Arial"/>
          <w:sz w:val="22"/>
          <w:szCs w:val="22"/>
          <w:u w:val="single" w:color="auto"/>
          <w:color w:val="auto"/>
        </w:rPr>
        <w:t>BANK AGENT</w:t>
      </w:r>
      <w:r>
        <w:rPr>
          <w:rFonts w:ascii="Arial" w:cs="Arial" w:eastAsia="Arial" w:hAnsi="Arial"/>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DEUTSCHE BANK TRUST COMPANY AMERICAS</w:t>
      </w:r>
    </w:p>
    <w:p>
      <w:pPr>
        <w:spacing w:after="0" w:line="223"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1980" w:type="dxa"/>
            <w:vAlign w:val="bottom"/>
          </w:tcPr>
          <w:p>
            <w:pPr>
              <w:ind w:left="660"/>
              <w:spacing w:after="0"/>
              <w:rPr>
                <w:sz w:val="20"/>
                <w:szCs w:val="20"/>
                <w:color w:val="auto"/>
              </w:rPr>
            </w:pPr>
            <w:r>
              <w:rPr>
                <w:rFonts w:ascii="Arial" w:cs="Arial" w:eastAsia="Arial" w:hAnsi="Arial"/>
                <w:sz w:val="22"/>
                <w:szCs w:val="22"/>
                <w:color w:val="auto"/>
                <w:w w:val="96"/>
              </w:rPr>
              <w:t>/s/ Marguerite</w:t>
            </w:r>
          </w:p>
        </w:tc>
        <w:tc>
          <w:tcPr>
            <w:tcW w:w="0" w:type="dxa"/>
            <w:vAlign w:val="bottom"/>
          </w:tcPr>
          <w:p>
            <w:pPr>
              <w:spacing w:after="0"/>
              <w:rPr>
                <w:sz w:val="1"/>
                <w:szCs w:val="1"/>
                <w:color w:val="auto"/>
              </w:rPr>
            </w:pPr>
          </w:p>
        </w:tc>
      </w:tr>
      <w:tr>
        <w:trPr>
          <w:trHeight w:val="272"/>
        </w:trPr>
        <w:tc>
          <w:tcPr>
            <w:tcW w:w="7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1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Sutton</w:t>
            </w:r>
          </w:p>
        </w:tc>
        <w:tc>
          <w:tcPr>
            <w:tcW w:w="0" w:type="dxa"/>
            <w:vAlign w:val="bottom"/>
          </w:tcPr>
          <w:p>
            <w:pPr>
              <w:spacing w:after="0"/>
              <w:rPr>
                <w:sz w:val="1"/>
                <w:szCs w:val="1"/>
                <w:color w:val="auto"/>
              </w:rPr>
            </w:pPr>
          </w:p>
        </w:tc>
      </w:tr>
      <w:tr>
        <w:trPr>
          <w:trHeight w:val="222"/>
        </w:trPr>
        <w:tc>
          <w:tcPr>
            <w:tcW w:w="760" w:type="dxa"/>
            <w:vAlign w:val="bottom"/>
            <w:vMerge w:val="continue"/>
          </w:tcPr>
          <w:p>
            <w:pPr>
              <w:spacing w:after="0"/>
              <w:rPr>
                <w:sz w:val="19"/>
                <w:szCs w:val="19"/>
                <w:color w:val="auto"/>
              </w:rPr>
            </w:pPr>
          </w:p>
        </w:tc>
        <w:tc>
          <w:tcPr>
            <w:tcW w:w="1980" w:type="dxa"/>
            <w:vAlign w:val="bottom"/>
          </w:tcPr>
          <w:p>
            <w:pPr>
              <w:ind w:left="660"/>
              <w:spacing w:after="0" w:line="222" w:lineRule="exact"/>
              <w:rPr>
                <w:sz w:val="20"/>
                <w:szCs w:val="20"/>
                <w:color w:val="auto"/>
              </w:rPr>
            </w:pPr>
            <w:r>
              <w:rPr>
                <w:rFonts w:ascii="Arial" w:cs="Arial" w:eastAsia="Arial" w:hAnsi="Arial"/>
                <w:sz w:val="22"/>
                <w:szCs w:val="22"/>
                <w:color w:val="auto"/>
              </w:rPr>
              <w:t>Marguerite</w:t>
            </w:r>
          </w:p>
        </w:tc>
        <w:tc>
          <w:tcPr>
            <w:tcW w:w="0" w:type="dxa"/>
            <w:vAlign w:val="bottom"/>
          </w:tcPr>
          <w:p>
            <w:pPr>
              <w:spacing w:after="0"/>
              <w:rPr>
                <w:sz w:val="1"/>
                <w:szCs w:val="1"/>
                <w:color w:val="auto"/>
              </w:rPr>
            </w:pPr>
          </w:p>
        </w:tc>
      </w:tr>
      <w:tr>
        <w:trPr>
          <w:trHeight w:val="272"/>
        </w:trPr>
        <w:tc>
          <w:tcPr>
            <w:tcW w:w="76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1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Sutton</w:t>
            </w:r>
          </w:p>
        </w:tc>
        <w:tc>
          <w:tcPr>
            <w:tcW w:w="0" w:type="dxa"/>
            <w:vAlign w:val="bottom"/>
          </w:tcPr>
          <w:p>
            <w:pPr>
              <w:spacing w:after="0"/>
              <w:rPr>
                <w:sz w:val="1"/>
                <w:szCs w:val="1"/>
                <w:color w:val="auto"/>
              </w:rPr>
            </w:pPr>
          </w:p>
        </w:tc>
      </w:tr>
      <w:tr>
        <w:trPr>
          <w:trHeight w:val="250"/>
        </w:trPr>
        <w:tc>
          <w:tcPr>
            <w:tcW w:w="760" w:type="dxa"/>
            <w:vAlign w:val="bottom"/>
            <w:vMerge w:val="continue"/>
          </w:tcPr>
          <w:p>
            <w:pPr>
              <w:spacing w:after="0"/>
              <w:rPr>
                <w:sz w:val="21"/>
                <w:szCs w:val="21"/>
                <w:color w:val="auto"/>
              </w:rPr>
            </w:pPr>
          </w:p>
        </w:tc>
        <w:tc>
          <w:tcPr>
            <w:tcW w:w="1980" w:type="dxa"/>
            <w:vAlign w:val="bottom"/>
            <w:tcBorders>
              <w:bottom w:val="single" w:sz="8" w:color="auto"/>
            </w:tcBorders>
          </w:tcPr>
          <w:p>
            <w:pPr>
              <w:ind w:left="660"/>
              <w:spacing w:after="0" w:line="243" w:lineRule="exact"/>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46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1980" w:type="dxa"/>
            <w:vAlign w:val="bottom"/>
          </w:tcPr>
          <w:p>
            <w:pPr>
              <w:ind w:left="660"/>
              <w:spacing w:after="0"/>
              <w:rPr>
                <w:sz w:val="20"/>
                <w:szCs w:val="20"/>
                <w:color w:val="auto"/>
              </w:rPr>
            </w:pPr>
            <w:r>
              <w:rPr>
                <w:rFonts w:ascii="Arial" w:cs="Arial" w:eastAsia="Arial" w:hAnsi="Arial"/>
                <w:sz w:val="22"/>
                <w:szCs w:val="22"/>
                <w:color w:val="auto"/>
              </w:rPr>
              <w:t>/s/ Mary Kay</w:t>
            </w:r>
          </w:p>
        </w:tc>
        <w:tc>
          <w:tcPr>
            <w:tcW w:w="0" w:type="dxa"/>
            <w:vAlign w:val="bottom"/>
          </w:tcPr>
          <w:p>
            <w:pPr>
              <w:spacing w:after="0"/>
              <w:rPr>
                <w:sz w:val="1"/>
                <w:szCs w:val="1"/>
                <w:color w:val="auto"/>
              </w:rPr>
            </w:pPr>
          </w:p>
        </w:tc>
      </w:tr>
      <w:tr>
        <w:trPr>
          <w:trHeight w:val="272"/>
        </w:trPr>
        <w:tc>
          <w:tcPr>
            <w:tcW w:w="7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1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Coyle</w:t>
            </w:r>
          </w:p>
        </w:tc>
        <w:tc>
          <w:tcPr>
            <w:tcW w:w="0" w:type="dxa"/>
            <w:vAlign w:val="bottom"/>
          </w:tcPr>
          <w:p>
            <w:pPr>
              <w:spacing w:after="0"/>
              <w:rPr>
                <w:sz w:val="1"/>
                <w:szCs w:val="1"/>
                <w:color w:val="auto"/>
              </w:rPr>
            </w:pPr>
          </w:p>
        </w:tc>
      </w:tr>
      <w:tr>
        <w:trPr>
          <w:trHeight w:val="222"/>
        </w:trPr>
        <w:tc>
          <w:tcPr>
            <w:tcW w:w="760" w:type="dxa"/>
            <w:vAlign w:val="bottom"/>
            <w:vMerge w:val="continue"/>
          </w:tcPr>
          <w:p>
            <w:pPr>
              <w:spacing w:after="0"/>
              <w:rPr>
                <w:sz w:val="19"/>
                <w:szCs w:val="19"/>
                <w:color w:val="auto"/>
              </w:rPr>
            </w:pPr>
          </w:p>
        </w:tc>
        <w:tc>
          <w:tcPr>
            <w:tcW w:w="1980" w:type="dxa"/>
            <w:vAlign w:val="bottom"/>
          </w:tcPr>
          <w:p>
            <w:pPr>
              <w:ind w:left="660"/>
              <w:spacing w:after="0" w:line="222" w:lineRule="exact"/>
              <w:rPr>
                <w:sz w:val="20"/>
                <w:szCs w:val="20"/>
                <w:color w:val="auto"/>
              </w:rPr>
            </w:pPr>
            <w:r>
              <w:rPr>
                <w:rFonts w:ascii="Arial" w:cs="Arial" w:eastAsia="Arial" w:hAnsi="Arial"/>
                <w:sz w:val="22"/>
                <w:szCs w:val="22"/>
                <w:color w:val="auto"/>
              </w:rPr>
              <w:t>Mary Kay</w:t>
            </w:r>
          </w:p>
        </w:tc>
        <w:tc>
          <w:tcPr>
            <w:tcW w:w="0" w:type="dxa"/>
            <w:vAlign w:val="bottom"/>
          </w:tcPr>
          <w:p>
            <w:pPr>
              <w:spacing w:after="0"/>
              <w:rPr>
                <w:sz w:val="1"/>
                <w:szCs w:val="1"/>
                <w:color w:val="auto"/>
              </w:rPr>
            </w:pPr>
          </w:p>
        </w:tc>
      </w:tr>
      <w:tr>
        <w:trPr>
          <w:trHeight w:val="272"/>
        </w:trPr>
        <w:tc>
          <w:tcPr>
            <w:tcW w:w="76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1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Coyle</w:t>
            </w:r>
          </w:p>
        </w:tc>
        <w:tc>
          <w:tcPr>
            <w:tcW w:w="0" w:type="dxa"/>
            <w:vAlign w:val="bottom"/>
          </w:tcPr>
          <w:p>
            <w:pPr>
              <w:spacing w:after="0"/>
              <w:rPr>
                <w:sz w:val="1"/>
                <w:szCs w:val="1"/>
                <w:color w:val="auto"/>
              </w:rPr>
            </w:pPr>
          </w:p>
        </w:tc>
      </w:tr>
      <w:tr>
        <w:trPr>
          <w:trHeight w:val="222"/>
        </w:trPr>
        <w:tc>
          <w:tcPr>
            <w:tcW w:w="760" w:type="dxa"/>
            <w:vAlign w:val="bottom"/>
            <w:vMerge w:val="continue"/>
          </w:tcPr>
          <w:p>
            <w:pPr>
              <w:spacing w:after="0"/>
              <w:rPr>
                <w:sz w:val="19"/>
                <w:szCs w:val="19"/>
                <w:color w:val="auto"/>
              </w:rPr>
            </w:pPr>
          </w:p>
        </w:tc>
        <w:tc>
          <w:tcPr>
            <w:tcW w:w="1980" w:type="dxa"/>
            <w:vAlign w:val="bottom"/>
          </w:tcPr>
          <w:p>
            <w:pPr>
              <w:ind w:left="660"/>
              <w:spacing w:after="0" w:line="222" w:lineRule="exact"/>
              <w:rPr>
                <w:sz w:val="20"/>
                <w:szCs w:val="20"/>
                <w:color w:val="auto"/>
              </w:rPr>
            </w:pPr>
            <w:r>
              <w:rPr>
                <w:rFonts w:ascii="Arial" w:cs="Arial" w:eastAsia="Arial" w:hAnsi="Arial"/>
                <w:sz w:val="22"/>
                <w:szCs w:val="22"/>
                <w:color w:val="auto"/>
              </w:rPr>
              <w:t>Managing</w:t>
            </w:r>
          </w:p>
        </w:tc>
        <w:tc>
          <w:tcPr>
            <w:tcW w:w="0" w:type="dxa"/>
            <w:vAlign w:val="bottom"/>
          </w:tcPr>
          <w:p>
            <w:pPr>
              <w:spacing w:after="0"/>
              <w:rPr>
                <w:sz w:val="1"/>
                <w:szCs w:val="1"/>
                <w:color w:val="auto"/>
              </w:rPr>
            </w:pPr>
          </w:p>
        </w:tc>
      </w:tr>
      <w:tr>
        <w:trPr>
          <w:trHeight w:val="272"/>
        </w:trPr>
        <w:tc>
          <w:tcPr>
            <w:tcW w:w="760" w:type="dxa"/>
            <w:vAlign w:val="bottom"/>
          </w:tcPr>
          <w:p>
            <w:pPr>
              <w:spacing w:after="0"/>
              <w:rPr>
                <w:sz w:val="23"/>
                <w:szCs w:val="23"/>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DISBURSEMENT AGENT</w:t>
      </w:r>
      <w:r>
        <w:rPr>
          <w:rFonts w:ascii="Arial" w:cs="Arial" w:eastAsia="Arial" w:hAnsi="Arial"/>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DEUTSCHE BANK TRUST COMPANY AMERICAS</w:t>
      </w:r>
    </w:p>
    <w:p>
      <w:pPr>
        <w:spacing w:after="0" w:line="223"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1980" w:type="dxa"/>
            <w:vAlign w:val="bottom"/>
          </w:tcPr>
          <w:p>
            <w:pPr>
              <w:ind w:left="660"/>
              <w:spacing w:after="0"/>
              <w:rPr>
                <w:sz w:val="20"/>
                <w:szCs w:val="20"/>
                <w:color w:val="auto"/>
              </w:rPr>
            </w:pPr>
            <w:r>
              <w:rPr>
                <w:rFonts w:ascii="Arial" w:cs="Arial" w:eastAsia="Arial" w:hAnsi="Arial"/>
                <w:sz w:val="22"/>
                <w:szCs w:val="22"/>
                <w:color w:val="auto"/>
                <w:w w:val="96"/>
              </w:rPr>
              <w:t>/s/ Marguerite</w:t>
            </w:r>
          </w:p>
        </w:tc>
        <w:tc>
          <w:tcPr>
            <w:tcW w:w="0" w:type="dxa"/>
            <w:vAlign w:val="bottom"/>
          </w:tcPr>
          <w:p>
            <w:pPr>
              <w:spacing w:after="0"/>
              <w:rPr>
                <w:sz w:val="1"/>
                <w:szCs w:val="1"/>
                <w:color w:val="auto"/>
              </w:rPr>
            </w:pPr>
          </w:p>
        </w:tc>
      </w:tr>
      <w:tr>
        <w:trPr>
          <w:trHeight w:val="272"/>
        </w:trPr>
        <w:tc>
          <w:tcPr>
            <w:tcW w:w="7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1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Sutton</w:t>
            </w:r>
          </w:p>
        </w:tc>
        <w:tc>
          <w:tcPr>
            <w:tcW w:w="0" w:type="dxa"/>
            <w:vAlign w:val="bottom"/>
          </w:tcPr>
          <w:p>
            <w:pPr>
              <w:spacing w:after="0"/>
              <w:rPr>
                <w:sz w:val="1"/>
                <w:szCs w:val="1"/>
                <w:color w:val="auto"/>
              </w:rPr>
            </w:pPr>
          </w:p>
        </w:tc>
      </w:tr>
      <w:tr>
        <w:trPr>
          <w:trHeight w:val="222"/>
        </w:trPr>
        <w:tc>
          <w:tcPr>
            <w:tcW w:w="760" w:type="dxa"/>
            <w:vAlign w:val="bottom"/>
            <w:vMerge w:val="continue"/>
          </w:tcPr>
          <w:p>
            <w:pPr>
              <w:spacing w:after="0"/>
              <w:rPr>
                <w:sz w:val="19"/>
                <w:szCs w:val="19"/>
                <w:color w:val="auto"/>
              </w:rPr>
            </w:pPr>
          </w:p>
        </w:tc>
        <w:tc>
          <w:tcPr>
            <w:tcW w:w="1980" w:type="dxa"/>
            <w:vAlign w:val="bottom"/>
          </w:tcPr>
          <w:p>
            <w:pPr>
              <w:ind w:left="660"/>
              <w:spacing w:after="0" w:line="222" w:lineRule="exact"/>
              <w:rPr>
                <w:sz w:val="20"/>
                <w:szCs w:val="20"/>
                <w:color w:val="auto"/>
              </w:rPr>
            </w:pPr>
            <w:r>
              <w:rPr>
                <w:rFonts w:ascii="Arial" w:cs="Arial" w:eastAsia="Arial" w:hAnsi="Arial"/>
                <w:sz w:val="22"/>
                <w:szCs w:val="22"/>
                <w:color w:val="auto"/>
              </w:rPr>
              <w:t>Marguerite</w:t>
            </w:r>
          </w:p>
        </w:tc>
        <w:tc>
          <w:tcPr>
            <w:tcW w:w="0" w:type="dxa"/>
            <w:vAlign w:val="bottom"/>
          </w:tcPr>
          <w:p>
            <w:pPr>
              <w:spacing w:after="0"/>
              <w:rPr>
                <w:sz w:val="1"/>
                <w:szCs w:val="1"/>
                <w:color w:val="auto"/>
              </w:rPr>
            </w:pPr>
          </w:p>
        </w:tc>
      </w:tr>
      <w:tr>
        <w:trPr>
          <w:trHeight w:val="272"/>
        </w:trPr>
        <w:tc>
          <w:tcPr>
            <w:tcW w:w="76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1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Sutton</w:t>
            </w:r>
          </w:p>
        </w:tc>
        <w:tc>
          <w:tcPr>
            <w:tcW w:w="0" w:type="dxa"/>
            <w:vAlign w:val="bottom"/>
          </w:tcPr>
          <w:p>
            <w:pPr>
              <w:spacing w:after="0"/>
              <w:rPr>
                <w:sz w:val="1"/>
                <w:szCs w:val="1"/>
                <w:color w:val="auto"/>
              </w:rPr>
            </w:pPr>
          </w:p>
        </w:tc>
      </w:tr>
      <w:tr>
        <w:trPr>
          <w:trHeight w:val="250"/>
        </w:trPr>
        <w:tc>
          <w:tcPr>
            <w:tcW w:w="760" w:type="dxa"/>
            <w:vAlign w:val="bottom"/>
            <w:vMerge w:val="continue"/>
          </w:tcPr>
          <w:p>
            <w:pPr>
              <w:spacing w:after="0"/>
              <w:rPr>
                <w:sz w:val="21"/>
                <w:szCs w:val="21"/>
                <w:color w:val="auto"/>
              </w:rPr>
            </w:pPr>
          </w:p>
        </w:tc>
        <w:tc>
          <w:tcPr>
            <w:tcW w:w="1980" w:type="dxa"/>
            <w:vAlign w:val="bottom"/>
            <w:tcBorders>
              <w:bottom w:val="single" w:sz="8" w:color="auto"/>
            </w:tcBorders>
          </w:tcPr>
          <w:p>
            <w:pPr>
              <w:ind w:left="660"/>
              <w:spacing w:after="0" w:line="243" w:lineRule="exact"/>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46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1980" w:type="dxa"/>
            <w:vAlign w:val="bottom"/>
          </w:tcPr>
          <w:p>
            <w:pPr>
              <w:ind w:left="660"/>
              <w:spacing w:after="0"/>
              <w:rPr>
                <w:sz w:val="20"/>
                <w:szCs w:val="20"/>
                <w:color w:val="auto"/>
              </w:rPr>
            </w:pPr>
            <w:r>
              <w:rPr>
                <w:rFonts w:ascii="Arial" w:cs="Arial" w:eastAsia="Arial" w:hAnsi="Arial"/>
                <w:sz w:val="22"/>
                <w:szCs w:val="22"/>
                <w:color w:val="auto"/>
              </w:rPr>
              <w:t>/s/ Mary Kay</w:t>
            </w:r>
          </w:p>
        </w:tc>
        <w:tc>
          <w:tcPr>
            <w:tcW w:w="0" w:type="dxa"/>
            <w:vAlign w:val="bottom"/>
          </w:tcPr>
          <w:p>
            <w:pPr>
              <w:spacing w:after="0"/>
              <w:rPr>
                <w:sz w:val="1"/>
                <w:szCs w:val="1"/>
                <w:color w:val="auto"/>
              </w:rPr>
            </w:pPr>
          </w:p>
        </w:tc>
      </w:tr>
      <w:tr>
        <w:trPr>
          <w:trHeight w:val="272"/>
        </w:trPr>
        <w:tc>
          <w:tcPr>
            <w:tcW w:w="7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1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Coyle</w:t>
            </w:r>
          </w:p>
        </w:tc>
        <w:tc>
          <w:tcPr>
            <w:tcW w:w="0" w:type="dxa"/>
            <w:vAlign w:val="bottom"/>
          </w:tcPr>
          <w:p>
            <w:pPr>
              <w:spacing w:after="0"/>
              <w:rPr>
                <w:sz w:val="1"/>
                <w:szCs w:val="1"/>
                <w:color w:val="auto"/>
              </w:rPr>
            </w:pPr>
          </w:p>
        </w:tc>
      </w:tr>
      <w:tr>
        <w:trPr>
          <w:trHeight w:val="222"/>
        </w:trPr>
        <w:tc>
          <w:tcPr>
            <w:tcW w:w="760" w:type="dxa"/>
            <w:vAlign w:val="bottom"/>
            <w:vMerge w:val="continue"/>
          </w:tcPr>
          <w:p>
            <w:pPr>
              <w:spacing w:after="0"/>
              <w:rPr>
                <w:sz w:val="19"/>
                <w:szCs w:val="19"/>
                <w:color w:val="auto"/>
              </w:rPr>
            </w:pPr>
          </w:p>
        </w:tc>
        <w:tc>
          <w:tcPr>
            <w:tcW w:w="1980" w:type="dxa"/>
            <w:vAlign w:val="bottom"/>
          </w:tcPr>
          <w:p>
            <w:pPr>
              <w:ind w:left="660"/>
              <w:spacing w:after="0" w:line="222" w:lineRule="exact"/>
              <w:rPr>
                <w:sz w:val="20"/>
                <w:szCs w:val="20"/>
                <w:color w:val="auto"/>
              </w:rPr>
            </w:pPr>
            <w:r>
              <w:rPr>
                <w:rFonts w:ascii="Arial" w:cs="Arial" w:eastAsia="Arial" w:hAnsi="Arial"/>
                <w:sz w:val="22"/>
                <w:szCs w:val="22"/>
                <w:color w:val="auto"/>
              </w:rPr>
              <w:t>Mary Kay</w:t>
            </w:r>
          </w:p>
        </w:tc>
        <w:tc>
          <w:tcPr>
            <w:tcW w:w="0" w:type="dxa"/>
            <w:vAlign w:val="bottom"/>
          </w:tcPr>
          <w:p>
            <w:pPr>
              <w:spacing w:after="0"/>
              <w:rPr>
                <w:sz w:val="1"/>
                <w:szCs w:val="1"/>
                <w:color w:val="auto"/>
              </w:rPr>
            </w:pPr>
          </w:p>
        </w:tc>
      </w:tr>
      <w:tr>
        <w:trPr>
          <w:trHeight w:val="272"/>
        </w:trPr>
        <w:tc>
          <w:tcPr>
            <w:tcW w:w="76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1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Coyle</w:t>
            </w:r>
          </w:p>
        </w:tc>
        <w:tc>
          <w:tcPr>
            <w:tcW w:w="0" w:type="dxa"/>
            <w:vAlign w:val="bottom"/>
          </w:tcPr>
          <w:p>
            <w:pPr>
              <w:spacing w:after="0"/>
              <w:rPr>
                <w:sz w:val="1"/>
                <w:szCs w:val="1"/>
                <w:color w:val="auto"/>
              </w:rPr>
            </w:pPr>
          </w:p>
        </w:tc>
      </w:tr>
      <w:tr>
        <w:trPr>
          <w:trHeight w:val="222"/>
        </w:trPr>
        <w:tc>
          <w:tcPr>
            <w:tcW w:w="760" w:type="dxa"/>
            <w:vAlign w:val="bottom"/>
            <w:vMerge w:val="continue"/>
          </w:tcPr>
          <w:p>
            <w:pPr>
              <w:spacing w:after="0"/>
              <w:rPr>
                <w:sz w:val="19"/>
                <w:szCs w:val="19"/>
                <w:color w:val="auto"/>
              </w:rPr>
            </w:pPr>
          </w:p>
        </w:tc>
        <w:tc>
          <w:tcPr>
            <w:tcW w:w="1980" w:type="dxa"/>
            <w:vAlign w:val="bottom"/>
          </w:tcPr>
          <w:p>
            <w:pPr>
              <w:ind w:left="660"/>
              <w:spacing w:after="0" w:line="222" w:lineRule="exact"/>
              <w:rPr>
                <w:sz w:val="20"/>
                <w:szCs w:val="20"/>
                <w:color w:val="auto"/>
              </w:rPr>
            </w:pPr>
            <w:r>
              <w:rPr>
                <w:rFonts w:ascii="Arial" w:cs="Arial" w:eastAsia="Arial" w:hAnsi="Arial"/>
                <w:sz w:val="22"/>
                <w:szCs w:val="22"/>
                <w:color w:val="auto"/>
              </w:rPr>
              <w:t>Managing</w:t>
            </w:r>
          </w:p>
        </w:tc>
        <w:tc>
          <w:tcPr>
            <w:tcW w:w="0" w:type="dxa"/>
            <w:vAlign w:val="bottom"/>
          </w:tcPr>
          <w:p>
            <w:pPr>
              <w:spacing w:after="0"/>
              <w:rPr>
                <w:sz w:val="1"/>
                <w:szCs w:val="1"/>
                <w:color w:val="auto"/>
              </w:rPr>
            </w:pPr>
          </w:p>
        </w:tc>
      </w:tr>
      <w:tr>
        <w:trPr>
          <w:trHeight w:val="272"/>
        </w:trPr>
        <w:tc>
          <w:tcPr>
            <w:tcW w:w="760" w:type="dxa"/>
            <w:vAlign w:val="bottom"/>
          </w:tcPr>
          <w:p>
            <w:pPr>
              <w:spacing w:after="0"/>
              <w:rPr>
                <w:sz w:val="23"/>
                <w:szCs w:val="23"/>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2600"/>
        <w:spacing w:after="0"/>
        <w:rPr>
          <w:sz w:val="20"/>
          <w:szCs w:val="20"/>
          <w:color w:val="auto"/>
        </w:rPr>
      </w:pPr>
      <w:r>
        <w:rPr>
          <w:rFonts w:ascii="Arial" w:cs="Arial" w:eastAsia="Arial" w:hAnsi="Arial"/>
          <w:sz w:val="20"/>
          <w:szCs w:val="20"/>
          <w:color w:val="auto"/>
        </w:rPr>
        <w:t>[Signature Page to Fourth Amendment to</w:t>
      </w:r>
    </w:p>
    <w:p>
      <w:pPr>
        <w:spacing w:after="0" w:line="16" w:lineRule="exact"/>
        <w:rPr>
          <w:sz w:val="20"/>
          <w:szCs w:val="20"/>
          <w:color w:val="auto"/>
        </w:rPr>
      </w:pPr>
    </w:p>
    <w:p>
      <w:pPr>
        <w:jc w:val="center"/>
        <w:ind w:left="2600"/>
        <w:spacing w:after="0"/>
        <w:rPr>
          <w:sz w:val="20"/>
          <w:szCs w:val="20"/>
          <w:color w:val="auto"/>
        </w:rPr>
      </w:pPr>
      <w:r>
        <w:rPr>
          <w:rFonts w:ascii="Arial" w:cs="Arial" w:eastAsia="Arial" w:hAnsi="Arial"/>
          <w:sz w:val="16"/>
          <w:szCs w:val="16"/>
          <w:color w:val="auto"/>
        </w:rPr>
        <w:t>Amended and Restated Master Disbursement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95885</wp:posOffset>
            </wp:positionV>
            <wp:extent cx="6033135"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3135" cy="21590"/>
                    </a:xfrm>
                    <a:prstGeom prst="rect">
                      <a:avLst/>
                    </a:prstGeom>
                    <a:noFill/>
                  </pic:spPr>
                </pic:pic>
              </a:graphicData>
            </a:graphic>
          </wp:anchor>
        </w:drawing>
      </w:r>
    </w:p>
    <w:p>
      <w:pPr>
        <w:sectPr>
          <w:pgSz w:w="11900" w:h="16838" w:orient="portrait"/>
          <w:cols w:equalWidth="0" w:num="1">
            <w:col w:w="9019"/>
          </w:cols>
          <w:pgMar w:left="1440" w:top="510" w:right="1440" w:bottom="1440" w:gutter="0" w:footer="0" w:header="0"/>
        </w:sectPr>
      </w:pPr>
    </w:p>
    <w:bookmarkStart w:id="243" w:name="page244"/>
    <w:bookmarkEnd w:id="243"/>
    <w:p>
      <w:pPr>
        <w:jc w:val="right"/>
        <w:spacing w:after="0"/>
        <w:rPr>
          <w:sz w:val="20"/>
          <w:szCs w:val="20"/>
          <w:color w:val="auto"/>
        </w:rPr>
      </w:pPr>
      <w:r>
        <w:rPr>
          <w:rFonts w:ascii="Arial" w:cs="Arial" w:eastAsia="Arial" w:hAnsi="Arial"/>
          <w:sz w:val="22"/>
          <w:szCs w:val="22"/>
          <w:b w:val="1"/>
          <w:bCs w:val="1"/>
          <w:color w:val="auto"/>
        </w:rPr>
        <w:t>Exhibit 10.3</w:t>
      </w:r>
    </w:p>
    <w:p>
      <w:pPr>
        <w:spacing w:after="0" w:line="233" w:lineRule="exact"/>
        <w:rPr>
          <w:sz w:val="20"/>
          <w:szCs w:val="20"/>
          <w:color w:val="auto"/>
        </w:rPr>
      </w:pPr>
    </w:p>
    <w:p>
      <w:pPr>
        <w:jc w:val="center"/>
        <w:ind w:left="1960"/>
        <w:spacing w:after="0"/>
        <w:rPr>
          <w:sz w:val="20"/>
          <w:szCs w:val="20"/>
          <w:color w:val="auto"/>
        </w:rPr>
      </w:pPr>
      <w:r>
        <w:rPr>
          <w:rFonts w:ascii="Arial" w:cs="Arial" w:eastAsia="Arial" w:hAnsi="Arial"/>
          <w:sz w:val="22"/>
          <w:szCs w:val="22"/>
          <w:b w:val="1"/>
          <w:bCs w:val="1"/>
          <w:color w:val="auto"/>
        </w:rPr>
        <w:t>SIXTH AMENDMENT TO</w:t>
      </w:r>
    </w:p>
    <w:p>
      <w:pPr>
        <w:spacing w:after="0" w:line="233"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AMENDED AND RESTATED CREDIT AGREEMENT</w:t>
      </w:r>
    </w:p>
    <w:p>
      <w:pPr>
        <w:spacing w:after="0" w:line="239" w:lineRule="exact"/>
        <w:rPr>
          <w:sz w:val="20"/>
          <w:szCs w:val="20"/>
          <w:color w:val="auto"/>
        </w:rPr>
      </w:pPr>
    </w:p>
    <w:p>
      <w:pPr>
        <w:jc w:val="both"/>
        <w:ind w:left="760" w:firstLine="648"/>
        <w:spacing w:after="0" w:line="236" w:lineRule="auto"/>
        <w:rPr>
          <w:sz w:val="20"/>
          <w:szCs w:val="20"/>
          <w:color w:val="auto"/>
        </w:rPr>
      </w:pPr>
      <w:r>
        <w:rPr>
          <w:rFonts w:ascii="Arial" w:cs="Arial" w:eastAsia="Arial" w:hAnsi="Arial"/>
          <w:sz w:val="22"/>
          <w:szCs w:val="22"/>
          <w:color w:val="auto"/>
        </w:rPr>
        <w:t>THIS SIXTH AMENDMENT TO AMENDED AND RESTATED CREDIT AGREEMENT (this “</w:t>
      </w:r>
      <w:r>
        <w:rPr>
          <w:rFonts w:ascii="Arial" w:cs="Arial" w:eastAsia="Arial" w:hAnsi="Arial"/>
          <w:sz w:val="22"/>
          <w:szCs w:val="22"/>
          <w:u w:val="single" w:color="auto"/>
          <w:color w:val="auto"/>
        </w:rPr>
        <w:t>Sixth Amendment</w:t>
      </w:r>
      <w:r>
        <w:rPr>
          <w:rFonts w:ascii="Arial" w:cs="Arial" w:eastAsia="Arial" w:hAnsi="Arial"/>
          <w:sz w:val="22"/>
          <w:szCs w:val="22"/>
          <w:color w:val="auto"/>
        </w:rPr>
        <w:t>”), dated as of April 28, 2010, is made and entered into by and among WYNN LAS VEGAS, LLC, a Nevada limited liability company (the “</w:t>
      </w:r>
      <w:r>
        <w:rPr>
          <w:rFonts w:ascii="Arial" w:cs="Arial" w:eastAsia="Arial" w:hAnsi="Arial"/>
          <w:sz w:val="22"/>
          <w:szCs w:val="22"/>
          <w:u w:val="single" w:color="auto"/>
          <w:color w:val="auto"/>
        </w:rPr>
        <w:t>Borrower</w:t>
      </w:r>
      <w:r>
        <w:rPr>
          <w:rFonts w:ascii="Arial" w:cs="Arial" w:eastAsia="Arial" w:hAnsi="Arial"/>
          <w:sz w:val="22"/>
          <w:szCs w:val="22"/>
          <w:color w:val="auto"/>
        </w:rPr>
        <w:t>”), Deutsche Bank Trust Company Americas as administrative agent for the Lenders (as hereinafter defined)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and the WYNN AMENDMENT PARTIES (as hereinafter defined).</w:t>
      </w:r>
    </w:p>
    <w:p>
      <w:pPr>
        <w:spacing w:after="0" w:line="21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jc w:val="both"/>
        <w:ind w:left="760" w:firstLine="641"/>
        <w:spacing w:after="0" w:line="274" w:lineRule="auto"/>
        <w:tabs>
          <w:tab w:leader="none" w:pos="2256" w:val="left"/>
        </w:tabs>
        <w:numPr>
          <w:ilvl w:val="0"/>
          <w:numId w:val="317"/>
        </w:numPr>
        <w:rPr>
          <w:rFonts w:ascii="Arial" w:cs="Arial" w:eastAsia="Arial" w:hAnsi="Arial"/>
          <w:sz w:val="19"/>
          <w:szCs w:val="19"/>
          <w:color w:val="auto"/>
        </w:rPr>
      </w:pPr>
      <w:r>
        <w:rPr>
          <w:rFonts w:ascii="Arial" w:cs="Arial" w:eastAsia="Arial" w:hAnsi="Arial"/>
          <w:sz w:val="19"/>
          <w:szCs w:val="19"/>
          <w:color w:val="auto"/>
        </w:rPr>
        <w:t>Reference herein is made to that certain Amended and Restated Credit Agreement, dated as of August 15, 2006, as amended by that certain First Amendment to Amended and Restated Credit Agreement, dated as of April 9, 2007, that certain Second Amendment to Amended and Restated Credit Agreement, dated as of October 31, 2007, that certain Third Amendment to Amended and Restated Credit Agreement, dated as of September 17, 2008, that certain Fourth Amendment to Amended and Restated Credit Agreement, dated as of April 17, 2009, and that certain Fifth Amendment to Amended and Restated Credit Agreement, dated as of September 10, 2009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Borrower, Administrative Agent , and the several arrangers and agents party thereto and the several banks and other financial institutions or entities from time to time parties thereto as lenders (the “</w:t>
      </w:r>
      <w:r>
        <w:rPr>
          <w:rFonts w:ascii="Arial" w:cs="Arial" w:eastAsia="Arial" w:hAnsi="Arial"/>
          <w:sz w:val="19"/>
          <w:szCs w:val="19"/>
          <w:u w:val="single" w:color="auto"/>
          <w:color w:val="auto"/>
        </w:rPr>
        <w:t>Lenders</w:t>
      </w:r>
      <w:r>
        <w:rPr>
          <w:rFonts w:ascii="Arial" w:cs="Arial" w:eastAsia="Arial" w:hAnsi="Arial"/>
          <w:sz w:val="19"/>
          <w:szCs w:val="19"/>
          <w:color w:val="auto"/>
        </w:rPr>
        <w:t>”).</w:t>
      </w:r>
    </w:p>
    <w:p>
      <w:pPr>
        <w:spacing w:after="0" w:line="185" w:lineRule="exact"/>
        <w:rPr>
          <w:rFonts w:ascii="Arial" w:cs="Arial" w:eastAsia="Arial" w:hAnsi="Arial"/>
          <w:sz w:val="19"/>
          <w:szCs w:val="19"/>
          <w:color w:val="auto"/>
        </w:rPr>
      </w:pPr>
    </w:p>
    <w:p>
      <w:pPr>
        <w:jc w:val="both"/>
        <w:ind w:left="760" w:firstLine="641"/>
        <w:spacing w:after="0" w:line="273" w:lineRule="auto"/>
        <w:tabs>
          <w:tab w:leader="none" w:pos="2242" w:val="left"/>
        </w:tabs>
        <w:numPr>
          <w:ilvl w:val="0"/>
          <w:numId w:val="317"/>
        </w:numPr>
        <w:rPr>
          <w:rFonts w:ascii="Arial" w:cs="Arial" w:eastAsia="Arial" w:hAnsi="Arial"/>
          <w:sz w:val="19"/>
          <w:szCs w:val="19"/>
          <w:color w:val="auto"/>
        </w:rPr>
      </w:pPr>
      <w:r>
        <w:rPr>
          <w:rFonts w:ascii="Arial" w:cs="Arial" w:eastAsia="Arial" w:hAnsi="Arial"/>
          <w:sz w:val="19"/>
          <w:szCs w:val="19"/>
          <w:color w:val="auto"/>
        </w:rPr>
        <w:t>In connection with the Credit Agreement, each of Wynn Las Vegas Capital Corp., a Nevada corporation (“</w:t>
      </w:r>
      <w:r>
        <w:rPr>
          <w:rFonts w:ascii="Arial" w:cs="Arial" w:eastAsia="Arial" w:hAnsi="Arial"/>
          <w:sz w:val="19"/>
          <w:szCs w:val="19"/>
          <w:u w:val="single" w:color="auto"/>
          <w:color w:val="auto"/>
        </w:rPr>
        <w:t>Capital Corp.</w:t>
      </w:r>
      <w:r>
        <w:rPr>
          <w:rFonts w:ascii="Arial" w:cs="Arial" w:eastAsia="Arial" w:hAnsi="Arial"/>
          <w:sz w:val="19"/>
          <w:szCs w:val="19"/>
          <w:color w:val="auto"/>
        </w:rPr>
        <w:t>”), Wynn Show Performers, LLC, a Nevada limited liability company (“</w:t>
      </w:r>
      <w:r>
        <w:rPr>
          <w:rFonts w:ascii="Arial" w:cs="Arial" w:eastAsia="Arial" w:hAnsi="Arial"/>
          <w:sz w:val="19"/>
          <w:szCs w:val="19"/>
          <w:u w:val="single" w:color="auto"/>
          <w:color w:val="auto"/>
        </w:rPr>
        <w:t>Show</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Performers</w:t>
      </w:r>
      <w:r>
        <w:rPr>
          <w:rFonts w:ascii="Arial" w:cs="Arial" w:eastAsia="Arial" w:hAnsi="Arial"/>
          <w:sz w:val="19"/>
          <w:szCs w:val="19"/>
          <w:color w:val="auto"/>
        </w:rPr>
        <w:t>”), Wynn Golf, LLC, a Nevada limited liability company (“</w:t>
      </w:r>
      <w:r>
        <w:rPr>
          <w:rFonts w:ascii="Arial" w:cs="Arial" w:eastAsia="Arial" w:hAnsi="Arial"/>
          <w:sz w:val="19"/>
          <w:szCs w:val="19"/>
          <w:u w:val="single" w:color="auto"/>
          <w:color w:val="auto"/>
        </w:rPr>
        <w:t>Wynn Golf</w:t>
      </w:r>
      <w:r>
        <w:rPr>
          <w:rFonts w:ascii="Arial" w:cs="Arial" w:eastAsia="Arial" w:hAnsi="Arial"/>
          <w:sz w:val="19"/>
          <w:szCs w:val="19"/>
          <w:color w:val="auto"/>
        </w:rPr>
        <w:t>”), Wynn Sunrise, LLC, a Nevada limited liability company (“</w:t>
      </w:r>
      <w:r>
        <w:rPr>
          <w:rFonts w:ascii="Arial" w:cs="Arial" w:eastAsia="Arial" w:hAnsi="Arial"/>
          <w:sz w:val="19"/>
          <w:szCs w:val="19"/>
          <w:u w:val="single" w:color="auto"/>
          <w:color w:val="auto"/>
        </w:rPr>
        <w:t>Wynn Sunrise</w:t>
      </w:r>
      <w:r>
        <w:rPr>
          <w:rFonts w:ascii="Arial" w:cs="Arial" w:eastAsia="Arial" w:hAnsi="Arial"/>
          <w:sz w:val="19"/>
          <w:szCs w:val="19"/>
          <w:color w:val="auto"/>
        </w:rPr>
        <w:t>”), World Travel, LLC, a Nevada limited liability company (“</w:t>
      </w:r>
      <w:r>
        <w:rPr>
          <w:rFonts w:ascii="Arial" w:cs="Arial" w:eastAsia="Arial" w:hAnsi="Arial"/>
          <w:sz w:val="19"/>
          <w:szCs w:val="19"/>
          <w:u w:val="single" w:color="auto"/>
          <w:color w:val="auto"/>
        </w:rPr>
        <w:t>Wor ld Travel</w:t>
      </w:r>
      <w:r>
        <w:rPr>
          <w:rFonts w:ascii="Arial" w:cs="Arial" w:eastAsia="Arial" w:hAnsi="Arial"/>
          <w:sz w:val="19"/>
          <w:szCs w:val="19"/>
          <w:color w:val="auto"/>
        </w:rPr>
        <w:t>”), Kevyn, LLC, a Nevada limited liability company (“</w:t>
      </w:r>
      <w:r>
        <w:rPr>
          <w:rFonts w:ascii="Arial" w:cs="Arial" w:eastAsia="Arial" w:hAnsi="Arial"/>
          <w:sz w:val="19"/>
          <w:szCs w:val="19"/>
          <w:u w:val="single" w:color="auto"/>
          <w:color w:val="auto"/>
        </w:rPr>
        <w:t>Kevyn</w:t>
      </w:r>
      <w:r>
        <w:rPr>
          <w:rFonts w:ascii="Arial" w:cs="Arial" w:eastAsia="Arial" w:hAnsi="Arial"/>
          <w:sz w:val="19"/>
          <w:szCs w:val="19"/>
          <w:color w:val="auto"/>
        </w:rPr>
        <w:t>”), Las Vegas Jet, LLC, a Nevada limited liability company (“</w:t>
      </w:r>
      <w:r>
        <w:rPr>
          <w:rFonts w:ascii="Arial" w:cs="Arial" w:eastAsia="Arial" w:hAnsi="Arial"/>
          <w:sz w:val="19"/>
          <w:szCs w:val="19"/>
          <w:u w:val="single" w:color="auto"/>
          <w:color w:val="auto"/>
        </w:rPr>
        <w:t>Las Vegas Jet</w:t>
      </w:r>
      <w:r>
        <w:rPr>
          <w:rFonts w:ascii="Arial" w:cs="Arial" w:eastAsia="Arial" w:hAnsi="Arial"/>
          <w:sz w:val="19"/>
          <w:szCs w:val="19"/>
          <w:color w:val="auto"/>
        </w:rPr>
        <w:t>”), Wynn Resorts Holdings, LLC, a Nevada limited liability company (“</w:t>
      </w:r>
      <w:r>
        <w:rPr>
          <w:rFonts w:ascii="Arial" w:cs="Arial" w:eastAsia="Arial" w:hAnsi="Arial"/>
          <w:sz w:val="19"/>
          <w:szCs w:val="19"/>
          <w:u w:val="single" w:color="auto"/>
          <w:color w:val="auto"/>
        </w:rPr>
        <w:t>Wynn Resorts Holdings</w:t>
      </w:r>
      <w:r>
        <w:rPr>
          <w:rFonts w:ascii="Arial" w:cs="Arial" w:eastAsia="Arial" w:hAnsi="Arial"/>
          <w:sz w:val="19"/>
          <w:szCs w:val="19"/>
          <w:color w:val="auto"/>
        </w:rPr>
        <w:t>”), and Wynn Completion Guarantor, LLC, a Nevada limited liability company (“</w:t>
      </w:r>
      <w:r>
        <w:rPr>
          <w:rFonts w:ascii="Arial" w:cs="Arial" w:eastAsia="Arial" w:hAnsi="Arial"/>
          <w:sz w:val="19"/>
          <w:szCs w:val="19"/>
          <w:u w:val="single" w:color="auto"/>
          <w:color w:val="auto"/>
        </w:rPr>
        <w:t>Completion Guarantor</w:t>
      </w:r>
      <w:r>
        <w:rPr>
          <w:rFonts w:ascii="Arial" w:cs="Arial" w:eastAsia="Arial" w:hAnsi="Arial"/>
          <w:sz w:val="19"/>
          <w:szCs w:val="19"/>
          <w:color w:val="auto"/>
        </w:rPr>
        <w:t>” and together with Capital Corp., Show Performers, Wynn Golf, Wynn Sunrise, World Travel, Kevyn, Las Vegas Jet and Wynn Resorts Holdings, the “</w:t>
      </w:r>
      <w:r>
        <w:rPr>
          <w:rFonts w:ascii="Arial" w:cs="Arial" w:eastAsia="Arial" w:hAnsi="Arial"/>
          <w:sz w:val="19"/>
          <w:szCs w:val="19"/>
          <w:u w:val="single" w:color="auto"/>
          <w:color w:val="auto"/>
        </w:rPr>
        <w:t>Wynn Amendment Parties</w:t>
      </w:r>
      <w:r>
        <w:rPr>
          <w:rFonts w:ascii="Arial" w:cs="Arial" w:eastAsia="Arial" w:hAnsi="Arial"/>
          <w:sz w:val="19"/>
          <w:szCs w:val="19"/>
          <w:color w:val="auto"/>
        </w:rPr>
        <w:t>”), have executed certain Loan Documents (as defined in the Credit Agreement).</w:t>
      </w:r>
    </w:p>
    <w:p>
      <w:pPr>
        <w:spacing w:after="0" w:line="188" w:lineRule="exact"/>
        <w:rPr>
          <w:rFonts w:ascii="Arial" w:cs="Arial" w:eastAsia="Arial" w:hAnsi="Arial"/>
          <w:sz w:val="19"/>
          <w:szCs w:val="19"/>
          <w:color w:val="auto"/>
        </w:rPr>
      </w:pPr>
    </w:p>
    <w:p>
      <w:pPr>
        <w:ind w:left="760" w:firstLine="641"/>
        <w:spacing w:after="0" w:line="251" w:lineRule="auto"/>
        <w:tabs>
          <w:tab w:leader="none" w:pos="2436" w:val="left"/>
        </w:tabs>
        <w:numPr>
          <w:ilvl w:val="0"/>
          <w:numId w:val="317"/>
        </w:numPr>
        <w:rPr>
          <w:rFonts w:ascii="Arial" w:cs="Arial" w:eastAsia="Arial" w:hAnsi="Arial"/>
          <w:sz w:val="22"/>
          <w:szCs w:val="22"/>
          <w:color w:val="auto"/>
        </w:rPr>
      </w:pPr>
      <w:r>
        <w:rPr>
          <w:rFonts w:ascii="Arial" w:cs="Arial" w:eastAsia="Arial" w:hAnsi="Arial"/>
          <w:sz w:val="22"/>
          <w:szCs w:val="22"/>
          <w:color w:val="auto"/>
        </w:rPr>
        <w:t>In accordance with Section 7.2(f)(ii) of the Credit Agreement, on the Closing Date, the Borrower and Capital Corp issued the 2014 Notes.</w:t>
      </w:r>
    </w:p>
    <w:p>
      <w:pPr>
        <w:spacing w:after="0" w:line="200" w:lineRule="exact"/>
        <w:rPr>
          <w:rFonts w:ascii="Arial" w:cs="Arial" w:eastAsia="Arial" w:hAnsi="Arial"/>
          <w:sz w:val="22"/>
          <w:szCs w:val="22"/>
          <w:color w:val="auto"/>
        </w:rPr>
      </w:pPr>
    </w:p>
    <w:p>
      <w:pPr>
        <w:jc w:val="both"/>
        <w:ind w:left="760" w:firstLine="641"/>
        <w:spacing w:after="0" w:line="252" w:lineRule="auto"/>
        <w:tabs>
          <w:tab w:leader="none" w:pos="2639" w:val="left"/>
        </w:tabs>
        <w:numPr>
          <w:ilvl w:val="0"/>
          <w:numId w:val="317"/>
        </w:numPr>
        <w:rPr>
          <w:rFonts w:ascii="Arial" w:cs="Arial" w:eastAsia="Arial" w:hAnsi="Arial"/>
          <w:sz w:val="21"/>
          <w:szCs w:val="21"/>
          <w:color w:val="auto"/>
        </w:rPr>
      </w:pPr>
      <w:r>
        <w:rPr>
          <w:rFonts w:ascii="Arial" w:cs="Arial" w:eastAsia="Arial" w:hAnsi="Arial"/>
          <w:sz w:val="21"/>
          <w:szCs w:val="21"/>
          <w:color w:val="auto"/>
        </w:rPr>
        <w:t>In accordance with Section 7.2(f)(ii) of the Credit Agreement and the definition of “Permitted Refinancing Indebtedness” contained in Section 1.1 of the Credit Agreement, the Borrower and Capital Corp have exchanged 7 7/8% senior secured first mortgage notes due 2020 in an aggregate principal amount of $382,010,000 (“</w:t>
      </w:r>
      <w:r>
        <w:rPr>
          <w:rFonts w:ascii="Arial" w:cs="Arial" w:eastAsia="Arial" w:hAnsi="Arial"/>
          <w:sz w:val="21"/>
          <w:szCs w:val="21"/>
          <w:u w:val="single" w:color="auto"/>
          <w:color w:val="auto"/>
        </w:rPr>
        <w:t>2020 Notes</w:t>
      </w:r>
      <w:r>
        <w:rPr>
          <w:rFonts w:ascii="Arial" w:cs="Arial" w:eastAsia="Arial" w:hAnsi="Arial"/>
          <w:sz w:val="21"/>
          <w:szCs w:val="21"/>
          <w:color w:val="auto"/>
        </w:rPr>
        <w:t>”) for 2014 Notes in an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551180</wp:posOffset>
            </wp:positionV>
            <wp:extent cx="601599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244" w:name="page245"/>
    <w:bookmarkEnd w:id="244"/>
    <w:p>
      <w:pPr>
        <w:ind w:left="760" w:right="20"/>
        <w:spacing w:after="0" w:line="251" w:lineRule="auto"/>
        <w:rPr>
          <w:sz w:val="20"/>
          <w:szCs w:val="20"/>
          <w:color w:val="auto"/>
        </w:rPr>
      </w:pPr>
      <w:r>
        <w:rPr>
          <w:rFonts w:ascii="Arial" w:cs="Arial" w:eastAsia="Arial" w:hAnsi="Arial"/>
          <w:sz w:val="22"/>
          <w:szCs w:val="22"/>
          <w:color w:val="auto"/>
        </w:rPr>
        <w:t>principal amount of $382,010,000, and the Borrower has represented that such 2020 Notes constitute “Permitted Refinancing Indebtedness” under the Credit Agreement.</w:t>
      </w:r>
    </w:p>
    <w:p>
      <w:pPr>
        <w:spacing w:after="0" w:line="200" w:lineRule="exact"/>
        <w:rPr>
          <w:sz w:val="20"/>
          <w:szCs w:val="20"/>
          <w:color w:val="auto"/>
        </w:rPr>
      </w:pPr>
    </w:p>
    <w:p>
      <w:pPr>
        <w:jc w:val="both"/>
        <w:ind w:left="760" w:firstLine="641"/>
        <w:spacing w:after="0" w:line="252" w:lineRule="auto"/>
        <w:tabs>
          <w:tab w:leader="none" w:pos="2756" w:val="left"/>
        </w:tabs>
        <w:numPr>
          <w:ilvl w:val="0"/>
          <w:numId w:val="318"/>
        </w:numPr>
        <w:rPr>
          <w:rFonts w:ascii="Arial" w:cs="Arial" w:eastAsia="Arial" w:hAnsi="Arial"/>
          <w:sz w:val="21"/>
          <w:szCs w:val="21"/>
          <w:color w:val="auto"/>
        </w:rPr>
      </w:pPr>
      <w:r>
        <w:rPr>
          <w:rFonts w:ascii="Arial" w:cs="Arial" w:eastAsia="Arial" w:hAnsi="Arial"/>
          <w:sz w:val="21"/>
          <w:szCs w:val="21"/>
          <w:color w:val="auto"/>
        </w:rPr>
        <w:t>In accordance with the last sentence of the definition of “Permitted Refinancing Indebtedness” contained in Section 1.1 of the Credit Agreement, the Borrower and the Administrative Agent are hereby entering into this Sixth Amendment to reflect the foregoing exchange of 2014 Notes for 2020 Notes, subject to the conditions and on the terms set forth below.</w:t>
      </w:r>
    </w:p>
    <w:p>
      <w:pPr>
        <w:spacing w:after="0" w:line="201"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AGREEMENT</w:t>
      </w:r>
    </w:p>
    <w:p>
      <w:pPr>
        <w:spacing w:after="0" w:line="233" w:lineRule="exact"/>
        <w:rPr>
          <w:sz w:val="20"/>
          <w:szCs w:val="20"/>
          <w:color w:val="auto"/>
        </w:rPr>
      </w:pPr>
    </w:p>
    <w:p>
      <w:pPr>
        <w:jc w:val="both"/>
        <w:ind w:left="760" w:firstLine="648"/>
        <w:spacing w:after="0"/>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Borrower, the Wynn Amendment Parties and the Administrative Agent agree as follows:</w:t>
      </w:r>
    </w:p>
    <w:p>
      <w:pPr>
        <w:spacing w:after="0" w:line="213" w:lineRule="exact"/>
        <w:rPr>
          <w:sz w:val="20"/>
          <w:szCs w:val="20"/>
          <w:color w:val="auto"/>
        </w:rPr>
      </w:pPr>
    </w:p>
    <w:p>
      <w:pPr>
        <w:jc w:val="both"/>
        <w:ind w:left="760" w:firstLine="641"/>
        <w:spacing w:after="0"/>
        <w:tabs>
          <w:tab w:leader="none" w:pos="2300" w:val="left"/>
        </w:tabs>
        <w:numPr>
          <w:ilvl w:val="0"/>
          <w:numId w:val="31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Except as otherwise expressly provided herein, capitalized terms used in this Sixth Amendment shall have the meanings given in the Credit Agreement and the rules of interpretation set forth in the Credit Agreement shall apply to this Sixth Amendment.</w:t>
      </w:r>
    </w:p>
    <w:p>
      <w:pPr>
        <w:spacing w:after="0" w:line="213" w:lineRule="exact"/>
        <w:rPr>
          <w:rFonts w:ascii="Arial" w:cs="Arial" w:eastAsia="Arial" w:hAnsi="Arial"/>
          <w:sz w:val="22"/>
          <w:szCs w:val="22"/>
          <w:color w:val="auto"/>
        </w:rPr>
      </w:pPr>
    </w:p>
    <w:p>
      <w:pPr>
        <w:ind w:left="760" w:firstLine="641"/>
        <w:spacing w:after="0" w:line="251" w:lineRule="auto"/>
        <w:tabs>
          <w:tab w:leader="none" w:pos="2408" w:val="left"/>
        </w:tabs>
        <w:numPr>
          <w:ilvl w:val="0"/>
          <w:numId w:val="319"/>
        </w:numPr>
        <w:rPr>
          <w:rFonts w:ascii="Arial" w:cs="Arial" w:eastAsia="Arial" w:hAnsi="Arial"/>
          <w:sz w:val="22"/>
          <w:szCs w:val="22"/>
          <w:color w:val="auto"/>
        </w:rPr>
      </w:pPr>
      <w:r>
        <w:rPr>
          <w:rFonts w:ascii="Arial" w:cs="Arial" w:eastAsia="Arial" w:hAnsi="Arial"/>
          <w:sz w:val="22"/>
          <w:szCs w:val="22"/>
          <w:u w:val="single" w:color="auto"/>
          <w:color w:val="auto"/>
        </w:rPr>
        <w:t>Additional Defined Terms</w:t>
      </w:r>
      <w:r>
        <w:rPr>
          <w:rFonts w:ascii="Arial" w:cs="Arial" w:eastAsia="Arial" w:hAnsi="Arial"/>
          <w:sz w:val="22"/>
          <w:szCs w:val="22"/>
          <w:color w:val="auto"/>
        </w:rPr>
        <w:t>. Section 1.1 of the Credit Agreement is hereby amended by inserting the following new definitions in appropriate alphabetical order:</w:t>
      </w:r>
    </w:p>
    <w:p>
      <w:pPr>
        <w:spacing w:after="0" w:line="200" w:lineRule="exact"/>
        <w:rPr>
          <w:sz w:val="20"/>
          <w:szCs w:val="20"/>
          <w:color w:val="auto"/>
        </w:rPr>
      </w:pPr>
    </w:p>
    <w:p>
      <w:pPr>
        <w:jc w:val="both"/>
        <w:ind w:left="960" w:firstLine="648"/>
        <w:spacing w:after="0"/>
        <w:rPr>
          <w:sz w:val="20"/>
          <w:szCs w:val="20"/>
          <w:color w:val="auto"/>
        </w:rPr>
      </w:pPr>
      <w:r>
        <w:rPr>
          <w:rFonts w:ascii="Arial" w:cs="Arial" w:eastAsia="Arial" w:hAnsi="Arial"/>
          <w:sz w:val="22"/>
          <w:szCs w:val="22"/>
          <w:color w:val="auto"/>
        </w:rPr>
        <w:t>2.1. “</w:t>
      </w:r>
      <w:r>
        <w:rPr>
          <w:rFonts w:ascii="Arial" w:cs="Arial" w:eastAsia="Arial" w:hAnsi="Arial"/>
          <w:sz w:val="22"/>
          <w:szCs w:val="22"/>
          <w:u w:val="single" w:color="auto"/>
          <w:color w:val="auto"/>
        </w:rPr>
        <w:t>2020 Notes</w:t>
      </w:r>
      <w:r>
        <w:rPr>
          <w:rFonts w:ascii="Arial" w:cs="Arial" w:eastAsia="Arial" w:hAnsi="Arial"/>
          <w:sz w:val="22"/>
          <w:szCs w:val="22"/>
          <w:color w:val="auto"/>
        </w:rPr>
        <w:t>”: all 7 7/8% First Mortgage Notes due 2020 issued by the Borrower and Capital Corp. from time to time pursuant to the 2020 Notes Indenture (including any exchange notes issued thereunder).”</w:t>
      </w:r>
    </w:p>
    <w:p>
      <w:pPr>
        <w:spacing w:after="0" w:line="213" w:lineRule="exact"/>
        <w:rPr>
          <w:sz w:val="20"/>
          <w:szCs w:val="20"/>
          <w:color w:val="auto"/>
        </w:rPr>
      </w:pPr>
    </w:p>
    <w:p>
      <w:pPr>
        <w:jc w:val="both"/>
        <w:ind w:left="960" w:right="20" w:firstLine="648"/>
        <w:spacing w:after="0" w:line="274" w:lineRule="auto"/>
        <w:rPr>
          <w:sz w:val="20"/>
          <w:szCs w:val="20"/>
          <w:color w:val="auto"/>
        </w:rPr>
      </w:pPr>
      <w:r>
        <w:rPr>
          <w:rFonts w:ascii="Arial" w:cs="Arial" w:eastAsia="Arial" w:hAnsi="Arial"/>
          <w:sz w:val="21"/>
          <w:szCs w:val="21"/>
          <w:color w:val="auto"/>
        </w:rPr>
        <w:t>2.2. “</w:t>
      </w:r>
      <w:r>
        <w:rPr>
          <w:rFonts w:ascii="Arial" w:cs="Arial" w:eastAsia="Arial" w:hAnsi="Arial"/>
          <w:sz w:val="21"/>
          <w:szCs w:val="21"/>
          <w:u w:val="single" w:color="auto"/>
          <w:color w:val="auto"/>
        </w:rPr>
        <w:t>2020 Notes Indenture</w:t>
      </w:r>
      <w:r>
        <w:rPr>
          <w:rFonts w:ascii="Arial" w:cs="Arial" w:eastAsia="Arial" w:hAnsi="Arial"/>
          <w:sz w:val="21"/>
          <w:szCs w:val="21"/>
          <w:color w:val="auto"/>
        </w:rPr>
        <w:t>”: that certain Indenture, dated as of April 28, 2010, between the Borrower, Capital Corp., certain guarantors named therein and the 2020 Notes Indenture Trustee.”</w:t>
      </w:r>
    </w:p>
    <w:p>
      <w:pPr>
        <w:spacing w:after="0" w:line="178" w:lineRule="exact"/>
        <w:rPr>
          <w:sz w:val="20"/>
          <w:szCs w:val="20"/>
          <w:color w:val="auto"/>
        </w:rPr>
      </w:pPr>
    </w:p>
    <w:p>
      <w:pPr>
        <w:jc w:val="both"/>
        <w:ind w:left="960" w:firstLine="648"/>
        <w:spacing w:after="0" w:line="251" w:lineRule="auto"/>
        <w:rPr>
          <w:sz w:val="20"/>
          <w:szCs w:val="20"/>
          <w:color w:val="auto"/>
        </w:rPr>
      </w:pPr>
      <w:r>
        <w:rPr>
          <w:rFonts w:ascii="Arial" w:cs="Arial" w:eastAsia="Arial" w:hAnsi="Arial"/>
          <w:sz w:val="22"/>
          <w:szCs w:val="22"/>
          <w:color w:val="auto"/>
        </w:rPr>
        <w:t>2.3. “</w:t>
      </w:r>
      <w:r>
        <w:rPr>
          <w:rFonts w:ascii="Arial" w:cs="Arial" w:eastAsia="Arial" w:hAnsi="Arial"/>
          <w:sz w:val="22"/>
          <w:szCs w:val="22"/>
          <w:u w:val="single" w:color="auto"/>
          <w:color w:val="auto"/>
        </w:rPr>
        <w:t>2020 Notes Indenture Trustee</w:t>
      </w:r>
      <w:r>
        <w:rPr>
          <w:rFonts w:ascii="Arial" w:cs="Arial" w:eastAsia="Arial" w:hAnsi="Arial"/>
          <w:sz w:val="22"/>
          <w:szCs w:val="22"/>
          <w:color w:val="auto"/>
        </w:rPr>
        <w:t>”: U.S. Bank National Association in its capacity as the trustee under the 2020 Notes Indenture and its successors in such capacity.”</w:t>
      </w:r>
    </w:p>
    <w:p>
      <w:pPr>
        <w:spacing w:after="0" w:line="200" w:lineRule="exact"/>
        <w:rPr>
          <w:sz w:val="20"/>
          <w:szCs w:val="20"/>
          <w:color w:val="auto"/>
        </w:rPr>
      </w:pPr>
    </w:p>
    <w:p>
      <w:pPr>
        <w:ind w:left="2460" w:hanging="1059"/>
        <w:spacing w:after="0"/>
        <w:tabs>
          <w:tab w:leader="none" w:pos="2460" w:val="left"/>
        </w:tabs>
        <w:numPr>
          <w:ilvl w:val="0"/>
          <w:numId w:val="320"/>
        </w:numPr>
        <w:rPr>
          <w:rFonts w:ascii="Arial" w:cs="Arial" w:eastAsia="Arial" w:hAnsi="Arial"/>
          <w:sz w:val="19"/>
          <w:szCs w:val="19"/>
          <w:color w:val="auto"/>
        </w:rPr>
      </w:pPr>
      <w:r>
        <w:rPr>
          <w:rFonts w:ascii="Arial" w:cs="Arial" w:eastAsia="Arial" w:hAnsi="Arial"/>
          <w:sz w:val="19"/>
          <w:szCs w:val="19"/>
          <w:u w:val="single" w:color="auto"/>
          <w:color w:val="auto"/>
        </w:rPr>
        <w:t>Amendment to Defined Terms</w:t>
      </w:r>
      <w:r>
        <w:rPr>
          <w:rFonts w:ascii="Arial" w:cs="Arial" w:eastAsia="Arial" w:hAnsi="Arial"/>
          <w:sz w:val="19"/>
          <w:szCs w:val="19"/>
          <w:color w:val="auto"/>
        </w:rPr>
        <w:t>.  Section 1.1 of the Credit Agreement is hereby further</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amended by:</w:t>
      </w:r>
    </w:p>
    <w:p>
      <w:pPr>
        <w:spacing w:after="0" w:line="215" w:lineRule="exact"/>
        <w:rPr>
          <w:sz w:val="20"/>
          <w:szCs w:val="20"/>
          <w:color w:val="auto"/>
        </w:rPr>
      </w:pPr>
    </w:p>
    <w:p>
      <w:pPr>
        <w:ind w:left="960" w:firstLine="648"/>
        <w:spacing w:after="0" w:line="251" w:lineRule="auto"/>
        <w:rPr>
          <w:sz w:val="20"/>
          <w:szCs w:val="20"/>
          <w:color w:val="auto"/>
        </w:rPr>
      </w:pPr>
      <w:r>
        <w:rPr>
          <w:rFonts w:ascii="Arial" w:cs="Arial" w:eastAsia="Arial" w:hAnsi="Arial"/>
          <w:sz w:val="22"/>
          <w:szCs w:val="22"/>
          <w:color w:val="auto"/>
        </w:rPr>
        <w:t>3.1. Replacing the definition of “Intercreditor Agreement” where it appears therein with the following:</w:t>
      </w:r>
    </w:p>
    <w:p>
      <w:pPr>
        <w:spacing w:after="0" w:line="200" w:lineRule="exact"/>
        <w:rPr>
          <w:sz w:val="20"/>
          <w:szCs w:val="20"/>
          <w:color w:val="auto"/>
        </w:rPr>
      </w:pPr>
    </w:p>
    <w:p>
      <w:pPr>
        <w:jc w:val="both"/>
        <w:ind w:left="2700" w:right="66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Intercreditor Agreement</w:t>
      </w:r>
      <w:r>
        <w:rPr>
          <w:rFonts w:ascii="Arial" w:cs="Arial" w:eastAsia="Arial" w:hAnsi="Arial"/>
          <w:sz w:val="19"/>
          <w:szCs w:val="19"/>
          <w:color w:val="auto"/>
        </w:rPr>
        <w:t>”: the Intercreditor Agreement dated as of the Closing Date, among the Collateral Agent, the Administrative Agent, the 2014 Notes Indenture Trustee, the 2020 Notes Indenture Trustee, the Senior Secured Notes Trustee and the other Project Credit Parties (as defined therein) from time to time party thereto, as amended from time to time.”</w:t>
      </w:r>
    </w:p>
    <w:p>
      <w:pPr>
        <w:spacing w:after="0" w:line="200" w:lineRule="exact"/>
        <w:rPr>
          <w:sz w:val="20"/>
          <w:szCs w:val="20"/>
          <w:color w:val="auto"/>
        </w:rPr>
      </w:pPr>
    </w:p>
    <w:p>
      <w:pPr>
        <w:spacing w:after="0" w:line="371"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76835</wp:posOffset>
            </wp:positionV>
            <wp:extent cx="601599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45" w:name="page246"/>
    <w:bookmarkEnd w:id="245"/>
    <w:p>
      <w:pPr>
        <w:ind w:left="960" w:firstLine="648"/>
        <w:spacing w:after="0" w:line="251" w:lineRule="auto"/>
        <w:rPr>
          <w:sz w:val="20"/>
          <w:szCs w:val="20"/>
          <w:color w:val="auto"/>
        </w:rPr>
      </w:pPr>
      <w:r>
        <w:rPr>
          <w:rFonts w:ascii="Arial" w:cs="Arial" w:eastAsia="Arial" w:hAnsi="Arial"/>
          <w:sz w:val="22"/>
          <w:szCs w:val="22"/>
          <w:color w:val="auto"/>
        </w:rPr>
        <w:t>3.2. Replacing the definition of “Management Fee Subordination Agreement” where it appears therein with the following:</w:t>
      </w:r>
    </w:p>
    <w:p>
      <w:pPr>
        <w:spacing w:after="0" w:line="200" w:lineRule="exact"/>
        <w:rPr>
          <w:sz w:val="20"/>
          <w:szCs w:val="20"/>
          <w:color w:val="auto"/>
        </w:rPr>
      </w:pPr>
    </w:p>
    <w:p>
      <w:pPr>
        <w:jc w:val="both"/>
        <w:ind w:left="2700" w:right="640"/>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Management Fee Subordination Agreement</w:t>
      </w:r>
      <w:r>
        <w:rPr>
          <w:rFonts w:ascii="Arial" w:cs="Arial" w:eastAsia="Arial" w:hAnsi="Arial"/>
          <w:sz w:val="19"/>
          <w:szCs w:val="19"/>
          <w:color w:val="auto"/>
        </w:rPr>
        <w:t>”: collectively, (i) the Management Fee Subordination Agreement, dated as of the Closing Date, among the Loan Parties, Wynn Resorts, the 2014 Notes Indenture Trustee and the Administrative Agent, (ii) the Management Fee Subordination Agreement, dated as of the date of the issuance of the Senior Secured Notes, among the Loan Parties, Wynn Resorts and the Senior Secured Notes Trustee and (iii) the Management Fee Subordination Agreement, dated as of the date of the issuance of the 2020 Notes, among the Loan Parties, Wynn Resorts and the 2020 Notes Indenture Trustee.”</w:t>
      </w:r>
    </w:p>
    <w:p>
      <w:pPr>
        <w:spacing w:after="0" w:line="200" w:lineRule="exact"/>
        <w:rPr>
          <w:sz w:val="20"/>
          <w:szCs w:val="20"/>
          <w:color w:val="auto"/>
        </w:rPr>
      </w:pPr>
    </w:p>
    <w:p>
      <w:pPr>
        <w:spacing w:after="0" w:line="228" w:lineRule="exact"/>
        <w:rPr>
          <w:sz w:val="20"/>
          <w:szCs w:val="20"/>
          <w:color w:val="auto"/>
        </w:rPr>
      </w:pPr>
    </w:p>
    <w:p>
      <w:pPr>
        <w:jc w:val="both"/>
        <w:ind w:left="960" w:firstLine="648"/>
        <w:spacing w:after="0"/>
        <w:rPr>
          <w:sz w:val="20"/>
          <w:szCs w:val="20"/>
          <w:color w:val="auto"/>
        </w:rPr>
      </w:pPr>
      <w:r>
        <w:rPr>
          <w:rFonts w:ascii="Arial" w:cs="Arial" w:eastAsia="Arial" w:hAnsi="Arial"/>
          <w:sz w:val="22"/>
          <w:szCs w:val="22"/>
          <w:color w:val="auto"/>
        </w:rPr>
        <w:t>3.3. Adding the phrase “, 2020 Notes” immediately after the words “2014 Notes”, in each place where such words appear in the definitions of “Permitted Notes Repurchase” and “Permitted Refinancing Indebtedness”.</w:t>
      </w:r>
    </w:p>
    <w:p>
      <w:pPr>
        <w:spacing w:after="0" w:line="213" w:lineRule="exact"/>
        <w:rPr>
          <w:sz w:val="20"/>
          <w:szCs w:val="20"/>
          <w:color w:val="auto"/>
        </w:rPr>
      </w:pPr>
    </w:p>
    <w:p>
      <w:pPr>
        <w:ind w:left="2160" w:hanging="759"/>
        <w:spacing w:after="0"/>
        <w:tabs>
          <w:tab w:leader="none" w:pos="2160" w:val="left"/>
        </w:tabs>
        <w:numPr>
          <w:ilvl w:val="0"/>
          <w:numId w:val="321"/>
        </w:numPr>
        <w:rPr>
          <w:rFonts w:ascii="Arial" w:cs="Arial" w:eastAsia="Arial" w:hAnsi="Arial"/>
          <w:sz w:val="22"/>
          <w:szCs w:val="22"/>
          <w:color w:val="auto"/>
        </w:rPr>
      </w:pPr>
      <w:r>
        <w:rPr>
          <w:rFonts w:ascii="Arial" w:cs="Arial" w:eastAsia="Arial" w:hAnsi="Arial"/>
          <w:sz w:val="22"/>
          <w:szCs w:val="22"/>
          <w:u w:val="single" w:color="auto"/>
          <w:color w:val="auto"/>
        </w:rPr>
        <w:t>Amendments to Sections 1, 4 and 7</w:t>
      </w:r>
      <w:r>
        <w:rPr>
          <w:rFonts w:ascii="Arial" w:cs="Arial" w:eastAsia="Arial" w:hAnsi="Arial"/>
          <w:sz w:val="22"/>
          <w:szCs w:val="22"/>
          <w:color w:val="auto"/>
        </w:rPr>
        <w:t>.</w:t>
      </w:r>
    </w:p>
    <w:p>
      <w:pPr>
        <w:spacing w:after="0" w:line="233" w:lineRule="exact"/>
        <w:rPr>
          <w:sz w:val="20"/>
          <w:szCs w:val="20"/>
          <w:color w:val="auto"/>
        </w:rPr>
      </w:pPr>
    </w:p>
    <w:p>
      <w:pPr>
        <w:jc w:val="both"/>
        <w:ind w:left="960" w:right="20" w:firstLine="648"/>
        <w:spacing w:after="0"/>
        <w:rPr>
          <w:sz w:val="20"/>
          <w:szCs w:val="20"/>
          <w:color w:val="auto"/>
        </w:rPr>
      </w:pPr>
      <w:r>
        <w:rPr>
          <w:rFonts w:ascii="Arial" w:cs="Arial" w:eastAsia="Arial" w:hAnsi="Arial"/>
          <w:sz w:val="22"/>
          <w:szCs w:val="22"/>
          <w:color w:val="auto"/>
        </w:rPr>
        <w:t>4.1. Section 1.3(a) of the Credit Agreement is hereby amended by replacing the words “and the Senior Secured Notes”, where such words appear therein, with the words “, the Senior Secured Notes and the 2020 Notes”.</w:t>
      </w:r>
    </w:p>
    <w:p>
      <w:pPr>
        <w:spacing w:after="0" w:line="213" w:lineRule="exact"/>
        <w:rPr>
          <w:sz w:val="20"/>
          <w:szCs w:val="20"/>
          <w:color w:val="auto"/>
        </w:rPr>
      </w:pPr>
    </w:p>
    <w:p>
      <w:pPr>
        <w:jc w:val="both"/>
        <w:ind w:left="960" w:firstLine="648"/>
        <w:spacing w:after="0" w:line="297" w:lineRule="auto"/>
        <w:rPr>
          <w:sz w:val="20"/>
          <w:szCs w:val="20"/>
          <w:color w:val="auto"/>
        </w:rPr>
      </w:pPr>
      <w:r>
        <w:rPr>
          <w:rFonts w:ascii="Arial" w:cs="Arial" w:eastAsia="Arial" w:hAnsi="Arial"/>
          <w:sz w:val="19"/>
          <w:szCs w:val="19"/>
          <w:color w:val="auto"/>
        </w:rPr>
        <w:t>4.2. Section 4.21 of the Credit Agreement is hereby amended by (i) inserting the phrase “, 2020 Notes Indenture” immediately after reference therein to the words “2014 Notes Indenture” and (ii) inserting the phase “, 2020 Notes” immediately after each reference therein to the words “2014 Notes”.</w:t>
      </w:r>
    </w:p>
    <w:p>
      <w:pPr>
        <w:spacing w:after="0" w:line="161" w:lineRule="exact"/>
        <w:rPr>
          <w:sz w:val="20"/>
          <w:szCs w:val="20"/>
          <w:color w:val="auto"/>
        </w:rPr>
      </w:pPr>
    </w:p>
    <w:p>
      <w:pPr>
        <w:jc w:val="both"/>
        <w:ind w:left="960" w:firstLine="648"/>
        <w:spacing w:after="0" w:line="238" w:lineRule="auto"/>
        <w:rPr>
          <w:sz w:val="20"/>
          <w:szCs w:val="20"/>
          <w:color w:val="auto"/>
        </w:rPr>
      </w:pPr>
      <w:r>
        <w:rPr>
          <w:rFonts w:ascii="Arial" w:cs="Arial" w:eastAsia="Arial" w:hAnsi="Arial"/>
          <w:sz w:val="22"/>
          <w:szCs w:val="22"/>
          <w:color w:val="auto"/>
        </w:rPr>
        <w:t>4.3. Section 7.2(n) of the Credit Agreement is hereby amended by adding (i) the phrase “, the 2020 Notes Indenture” immediately after the words “the 2014 Notes Indenture” in clause (y) thereof and (ii) the phrase “, the 2020 Notes” immediately after the words “the 2014 Notes” in clause (ii) of the proviso at the end of Section 7.2(n).</w:t>
      </w:r>
    </w:p>
    <w:p>
      <w:pPr>
        <w:spacing w:after="0" w:line="212" w:lineRule="exact"/>
        <w:rPr>
          <w:sz w:val="20"/>
          <w:szCs w:val="20"/>
          <w:color w:val="auto"/>
        </w:rPr>
      </w:pPr>
    </w:p>
    <w:p>
      <w:pPr>
        <w:jc w:val="both"/>
        <w:ind w:left="960" w:firstLine="648"/>
        <w:spacing w:after="0" w:line="251" w:lineRule="auto"/>
        <w:rPr>
          <w:sz w:val="20"/>
          <w:szCs w:val="20"/>
          <w:color w:val="auto"/>
        </w:rPr>
      </w:pPr>
      <w:r>
        <w:rPr>
          <w:rFonts w:ascii="Arial" w:cs="Arial" w:eastAsia="Arial" w:hAnsi="Arial"/>
          <w:sz w:val="22"/>
          <w:szCs w:val="22"/>
          <w:color w:val="auto"/>
        </w:rPr>
        <w:t>4.4. Section 7.8(p) of the Credit Agreement is hereby amended by adding the phrase “, 2020 Notes” immediately after the reference therein to the words “2014 Notes”.</w:t>
      </w:r>
    </w:p>
    <w:p>
      <w:pPr>
        <w:spacing w:after="0" w:line="200" w:lineRule="exact"/>
        <w:rPr>
          <w:sz w:val="20"/>
          <w:szCs w:val="20"/>
          <w:color w:val="auto"/>
        </w:rPr>
      </w:pPr>
    </w:p>
    <w:p>
      <w:pPr>
        <w:jc w:val="both"/>
        <w:ind w:left="960" w:firstLine="648"/>
        <w:spacing w:after="0" w:line="251" w:lineRule="auto"/>
        <w:rPr>
          <w:sz w:val="20"/>
          <w:szCs w:val="20"/>
          <w:color w:val="auto"/>
        </w:rPr>
      </w:pPr>
      <w:r>
        <w:rPr>
          <w:rFonts w:ascii="Arial" w:cs="Arial" w:eastAsia="Arial" w:hAnsi="Arial"/>
          <w:sz w:val="22"/>
          <w:szCs w:val="22"/>
          <w:color w:val="auto"/>
        </w:rPr>
        <w:t>4.5. Section 7.9 of the Credit Agreement is hereby amended by (i) adding the phrase “, 2020 Notes” immediately after each reference therein to the words “2014 Notes”.</w:t>
      </w:r>
    </w:p>
    <w:p>
      <w:pPr>
        <w:spacing w:after="0" w:line="200" w:lineRule="exact"/>
        <w:rPr>
          <w:sz w:val="20"/>
          <w:szCs w:val="20"/>
          <w:color w:val="auto"/>
        </w:rPr>
      </w:pPr>
    </w:p>
    <w:p>
      <w:pPr>
        <w:jc w:val="both"/>
        <w:ind w:left="960" w:firstLine="648"/>
        <w:spacing w:after="0" w:line="251" w:lineRule="auto"/>
        <w:rPr>
          <w:sz w:val="20"/>
          <w:szCs w:val="20"/>
          <w:color w:val="auto"/>
        </w:rPr>
      </w:pPr>
      <w:r>
        <w:rPr>
          <w:rFonts w:ascii="Arial" w:cs="Arial" w:eastAsia="Arial" w:hAnsi="Arial"/>
          <w:sz w:val="22"/>
          <w:szCs w:val="22"/>
          <w:color w:val="auto"/>
        </w:rPr>
        <w:t>4.6. Section 7.10 of the Credit Agreement is hereby amended by deleting clause (i) thereof in its entirety and replacing it with the following:</w:t>
      </w:r>
    </w:p>
    <w:p>
      <w:pPr>
        <w:spacing w:after="0" w:line="200" w:lineRule="exact"/>
        <w:rPr>
          <w:sz w:val="20"/>
          <w:szCs w:val="20"/>
          <w:color w:val="auto"/>
        </w:rPr>
      </w:pPr>
    </w:p>
    <w:p>
      <w:pPr>
        <w:ind w:left="2700" w:right="640"/>
        <w:spacing w:after="0" w:line="251" w:lineRule="auto"/>
        <w:rPr>
          <w:sz w:val="20"/>
          <w:szCs w:val="20"/>
          <w:color w:val="auto"/>
        </w:rPr>
      </w:pPr>
      <w:r>
        <w:rPr>
          <w:rFonts w:ascii="Arial" w:cs="Arial" w:eastAsia="Arial" w:hAnsi="Arial"/>
          <w:sz w:val="22"/>
          <w:szCs w:val="22"/>
          <w:color w:val="auto"/>
        </w:rPr>
        <w:t>“(i) (A) the issuance by the Borrower and/or Capital Corp. of the exchange notes contemplated by the 2014 Notes Indenture as</w:t>
      </w:r>
    </w:p>
    <w:p>
      <w:pPr>
        <w:spacing w:after="0" w:line="200" w:lineRule="exact"/>
        <w:rPr>
          <w:sz w:val="20"/>
          <w:szCs w:val="20"/>
          <w:color w:val="auto"/>
        </w:rPr>
      </w:pPr>
    </w:p>
    <w:p>
      <w:pPr>
        <w:spacing w:after="0" w:line="396"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76835</wp:posOffset>
            </wp:positionV>
            <wp:extent cx="601599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46" w:name="page247"/>
    <w:bookmarkEnd w:id="246"/>
    <w:p>
      <w:pPr>
        <w:jc w:val="both"/>
        <w:ind w:left="2700" w:right="660"/>
        <w:spacing w:after="0" w:line="277" w:lineRule="auto"/>
        <w:rPr>
          <w:sz w:val="20"/>
          <w:szCs w:val="20"/>
          <w:color w:val="auto"/>
        </w:rPr>
      </w:pPr>
      <w:r>
        <w:rPr>
          <w:rFonts w:ascii="Arial" w:cs="Arial" w:eastAsia="Arial" w:hAnsi="Arial"/>
          <w:sz w:val="19"/>
          <w:szCs w:val="19"/>
          <w:color w:val="auto"/>
        </w:rPr>
        <w:t>of the Closing Date (including any exchange notes issued in exchange for Additional 2014 Notes), (B) the issuance by the Borrower and/or Capital Corp. of the exchange notes contemplated by the 2020 Notes Indenture as in effect as of the date of the initial issuance of the 2020 Notes thereunder and (C) the issuance by the Borrower and/or Capital Corp. of the exchange notes contemplated by the Senior Secured Notes Indenture as in effect as of the date of the initial issuance of the Senior Secured Notes thereunder;”</w:t>
      </w:r>
    </w:p>
    <w:p>
      <w:pPr>
        <w:spacing w:after="0" w:line="180" w:lineRule="exact"/>
        <w:rPr>
          <w:sz w:val="20"/>
          <w:szCs w:val="20"/>
          <w:color w:val="auto"/>
        </w:rPr>
      </w:pPr>
    </w:p>
    <w:p>
      <w:pPr>
        <w:ind w:left="1620"/>
        <w:spacing w:after="0"/>
        <w:tabs>
          <w:tab w:leader="none" w:pos="250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color w:val="auto"/>
        </w:rPr>
        <w:t>Section 7.10 of the Credit Agreement is hereby further amended by deleting clause (l)</w:t>
      </w:r>
    </w:p>
    <w:p>
      <w:pPr>
        <w:spacing w:after="0" w:line="8" w:lineRule="exact"/>
        <w:rPr>
          <w:sz w:val="20"/>
          <w:szCs w:val="20"/>
          <w:color w:val="auto"/>
        </w:rPr>
      </w:pPr>
    </w:p>
    <w:p>
      <w:pPr>
        <w:ind w:left="960"/>
        <w:spacing w:after="0"/>
        <w:rPr>
          <w:sz w:val="20"/>
          <w:szCs w:val="20"/>
          <w:color w:val="auto"/>
        </w:rPr>
      </w:pPr>
      <w:r>
        <w:rPr>
          <w:rFonts w:ascii="Arial" w:cs="Arial" w:eastAsia="Arial" w:hAnsi="Arial"/>
          <w:sz w:val="22"/>
          <w:szCs w:val="22"/>
          <w:color w:val="auto"/>
        </w:rPr>
        <w:t>thereof in its entirety and replacing it with the following:</w:t>
      </w:r>
    </w:p>
    <w:p>
      <w:pPr>
        <w:spacing w:after="0" w:line="215" w:lineRule="exact"/>
        <w:rPr>
          <w:sz w:val="20"/>
          <w:szCs w:val="20"/>
          <w:color w:val="auto"/>
        </w:rPr>
      </w:pPr>
    </w:p>
    <w:p>
      <w:pPr>
        <w:ind w:left="2700" w:right="660"/>
        <w:spacing w:after="0" w:line="251" w:lineRule="auto"/>
        <w:rPr>
          <w:sz w:val="20"/>
          <w:szCs w:val="20"/>
          <w:color w:val="auto"/>
        </w:rPr>
      </w:pPr>
      <w:r>
        <w:rPr>
          <w:rFonts w:ascii="Arial" w:cs="Arial" w:eastAsia="Arial" w:hAnsi="Arial"/>
          <w:sz w:val="22"/>
          <w:szCs w:val="22"/>
          <w:color w:val="auto"/>
        </w:rPr>
        <w:t>“(l) any repurchase of 2014 Notes, 2020 Notes or Senior Secured Notes permitted by Section 7.9.”</w:t>
      </w:r>
    </w:p>
    <w:p>
      <w:pPr>
        <w:spacing w:after="0" w:line="200" w:lineRule="exact"/>
        <w:rPr>
          <w:sz w:val="20"/>
          <w:szCs w:val="20"/>
          <w:color w:val="auto"/>
        </w:rPr>
      </w:pPr>
    </w:p>
    <w:p>
      <w:pPr>
        <w:ind w:left="760" w:right="20" w:firstLine="641"/>
        <w:spacing w:after="0" w:line="274" w:lineRule="auto"/>
        <w:tabs>
          <w:tab w:leader="none" w:pos="2246" w:val="left"/>
        </w:tabs>
        <w:numPr>
          <w:ilvl w:val="0"/>
          <w:numId w:val="322"/>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The Borrower represents to the Administrative Agent and the Lenders that, as of the date hereof and as of the date of each issuance of 2020 Notes:</w:t>
      </w:r>
    </w:p>
    <w:p>
      <w:pPr>
        <w:spacing w:after="0" w:line="178" w:lineRule="exact"/>
        <w:rPr>
          <w:sz w:val="20"/>
          <w:szCs w:val="20"/>
          <w:color w:val="auto"/>
        </w:rPr>
      </w:pPr>
    </w:p>
    <w:p>
      <w:pPr>
        <w:jc w:val="both"/>
        <w:ind w:left="960" w:firstLine="648"/>
        <w:spacing w:after="0" w:line="248" w:lineRule="auto"/>
        <w:rPr>
          <w:sz w:val="20"/>
          <w:szCs w:val="20"/>
          <w:color w:val="auto"/>
        </w:rPr>
      </w:pPr>
      <w:r>
        <w:rPr>
          <w:rFonts w:ascii="Arial" w:cs="Arial" w:eastAsia="Arial" w:hAnsi="Arial"/>
          <w:sz w:val="21"/>
          <w:szCs w:val="21"/>
          <w:color w:val="auto"/>
        </w:rPr>
        <w:t>5.1. each of the Borrower and each of the Wynn Amendment Parties has all power and authority to enter into this Sixth Amendment and the Loan Document amendments (collectively, the “</w:t>
      </w:r>
      <w:r>
        <w:rPr>
          <w:rFonts w:ascii="Arial" w:cs="Arial" w:eastAsia="Arial" w:hAnsi="Arial"/>
          <w:sz w:val="21"/>
          <w:szCs w:val="21"/>
          <w:u w:val="single" w:color="auto"/>
          <w:color w:val="auto"/>
        </w:rPr>
        <w:t>Sixth Amendment Documents</w:t>
      </w:r>
      <w:r>
        <w:rPr>
          <w:rFonts w:ascii="Arial" w:cs="Arial" w:eastAsia="Arial" w:hAnsi="Arial"/>
          <w:sz w:val="21"/>
          <w:szCs w:val="21"/>
          <w:color w:val="auto"/>
        </w:rPr>
        <w:t>”) to which it is a party and that have been entered into by the Borrower or such Wynn Amendment Party as of the date this representation is being made, and to carry out the transactions contemplated by, and to perform its obligations under or in respect of, the Sixth Amendment Documents to which it is a party;</w:t>
      </w:r>
    </w:p>
    <w:p>
      <w:pPr>
        <w:spacing w:after="0" w:line="204" w:lineRule="exact"/>
        <w:rPr>
          <w:sz w:val="20"/>
          <w:szCs w:val="20"/>
          <w:color w:val="auto"/>
        </w:rPr>
      </w:pPr>
    </w:p>
    <w:p>
      <w:pPr>
        <w:jc w:val="both"/>
        <w:ind w:left="960" w:firstLine="648"/>
        <w:spacing w:after="0" w:line="235" w:lineRule="auto"/>
        <w:rPr>
          <w:sz w:val="20"/>
          <w:szCs w:val="20"/>
          <w:color w:val="auto"/>
        </w:rPr>
      </w:pPr>
      <w:r>
        <w:rPr>
          <w:rFonts w:ascii="Arial" w:cs="Arial" w:eastAsia="Arial" w:hAnsi="Arial"/>
          <w:sz w:val="22"/>
          <w:szCs w:val="22"/>
          <w:color w:val="auto"/>
        </w:rPr>
        <w:t>5.2. the execution and delivery of the Sixth Amendment Documents and the performance of the obligations of the Borrower and each of the Wynn Amendment Parties under or in respect of the Sixth Amendment Documents to which the Borrower or any Wynn Amendment Party is a party and that have been entered into by the Borrower or such Wynn Amendment Party as of the date this representation is being made have been duly authorized by all necessary action on the part of the Borrower and each such Wynn Amendment Party;</w:t>
      </w:r>
    </w:p>
    <w:p>
      <w:pPr>
        <w:spacing w:after="0" w:line="215" w:lineRule="exact"/>
        <w:rPr>
          <w:sz w:val="20"/>
          <w:szCs w:val="20"/>
          <w:color w:val="auto"/>
        </w:rPr>
      </w:pPr>
    </w:p>
    <w:p>
      <w:pPr>
        <w:jc w:val="both"/>
        <w:ind w:left="960" w:firstLine="648"/>
        <w:spacing w:after="0" w:line="270" w:lineRule="auto"/>
        <w:rPr>
          <w:sz w:val="20"/>
          <w:szCs w:val="20"/>
          <w:color w:val="auto"/>
        </w:rPr>
      </w:pPr>
      <w:r>
        <w:rPr>
          <w:rFonts w:ascii="Arial" w:cs="Arial" w:eastAsia="Arial" w:hAnsi="Arial"/>
          <w:sz w:val="19"/>
          <w:szCs w:val="19"/>
          <w:color w:val="auto"/>
        </w:rPr>
        <w:t>5.3. the execution and delivery of each of the Sixth Amendment Documents that have been entered into by the Borrower or any of the Wynn Amendment Parties as of the date this representation is being made and the performance of the obligations of the Borrower and each of the Wynn Amendment Parties under or in respect of such Sixth Amendment Documents to which any such entity is a party do not and will not conflict with or violate (i) any provision of the articles of incorporation or bylaws (or similar constituent documents) of the Borrower or such Wynn Amendment Party, (ii) any Requirement of Law,</w:t>
      </w:r>
    </w:p>
    <w:p>
      <w:pPr>
        <w:spacing w:after="0" w:line="2" w:lineRule="exact"/>
        <w:rPr>
          <w:sz w:val="20"/>
          <w:szCs w:val="20"/>
          <w:color w:val="auto"/>
        </w:rPr>
      </w:pPr>
    </w:p>
    <w:p>
      <w:pPr>
        <w:jc w:val="both"/>
        <w:ind w:left="960" w:firstLine="9"/>
        <w:spacing w:after="0" w:line="233" w:lineRule="auto"/>
        <w:tabs>
          <w:tab w:leader="none" w:pos="1345" w:val="left"/>
        </w:tabs>
        <w:numPr>
          <w:ilvl w:val="0"/>
          <w:numId w:val="323"/>
        </w:numPr>
        <w:rPr>
          <w:rFonts w:ascii="Arial" w:cs="Arial" w:eastAsia="Arial" w:hAnsi="Arial"/>
          <w:sz w:val="22"/>
          <w:szCs w:val="22"/>
          <w:color w:val="auto"/>
        </w:rPr>
      </w:pPr>
      <w:r>
        <w:rPr>
          <w:rFonts w:ascii="Arial" w:cs="Arial" w:eastAsia="Arial" w:hAnsi="Arial"/>
          <w:sz w:val="22"/>
          <w:szCs w:val="22"/>
          <w:color w:val="auto"/>
        </w:rPr>
        <w:t>any order, judgment or decree of any court or other governmental agency binding on the Borrower or any Wynn Amendment Party, or (iv) any indenture, agreement or instrument to which t he Borrower or any Wynn Amendment Party is a party or by which the Borrower or any Wynn Amendment Party, or any property of any of them, is bound, and do not and will not require any consent or approval of any Person that has not been obtained;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76835</wp:posOffset>
            </wp:positionV>
            <wp:extent cx="601599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47" w:name="page248"/>
    <w:bookmarkEnd w:id="247"/>
    <w:p>
      <w:pPr>
        <w:jc w:val="both"/>
        <w:ind w:left="960" w:firstLine="648"/>
        <w:spacing w:after="0" w:line="245" w:lineRule="auto"/>
        <w:rPr>
          <w:sz w:val="20"/>
          <w:szCs w:val="20"/>
          <w:color w:val="auto"/>
        </w:rPr>
      </w:pPr>
      <w:r>
        <w:rPr>
          <w:rFonts w:ascii="Arial" w:cs="Arial" w:eastAsia="Arial" w:hAnsi="Arial"/>
          <w:sz w:val="21"/>
          <w:szCs w:val="21"/>
          <w:color w:val="auto"/>
        </w:rPr>
        <w:t>5.4. each of the Sixth Amendment Documents that has been entered into by the Borrower or any of the Wynn Amendment Parties as of the date this representation is being made has been duly executed and delivered by the Borrower or such Wynn Amendment Party party thereto, as the case may be, and the Credit Agreement and the other Loan Documents, as amended by the Sixth Amendment Documents, are the legal, valid and binding obligations of the Borrower and each of the Wynn Amendment Parties party thereto, enforceable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12" w:lineRule="exact"/>
        <w:rPr>
          <w:sz w:val="20"/>
          <w:szCs w:val="20"/>
          <w:color w:val="auto"/>
        </w:rPr>
      </w:pPr>
    </w:p>
    <w:p>
      <w:pPr>
        <w:jc w:val="both"/>
        <w:ind w:left="960" w:firstLine="648"/>
        <w:spacing w:after="0" w:line="235" w:lineRule="auto"/>
        <w:rPr>
          <w:sz w:val="20"/>
          <w:szCs w:val="20"/>
          <w:color w:val="auto"/>
        </w:rPr>
      </w:pPr>
      <w:r>
        <w:rPr>
          <w:rFonts w:ascii="Arial" w:cs="Arial" w:eastAsia="Arial" w:hAnsi="Arial"/>
          <w:sz w:val="22"/>
          <w:szCs w:val="22"/>
          <w:color w:val="auto"/>
        </w:rPr>
        <w:t>5.5. the 2020 Notes constitute Permitted Refinancing Indebtedness under the Credit Agreement, and after giving effect to the Sixth Amendment Documents that have been entered into by the Borrower or any of the Wynn Amendment Parties as of the date this representation is being made, the 2020 Notes Indenture and the issuance of the 2020 Notes, no event has occurred and is continuing or will result from the execution and delivery of such documents or the issuance of the 2020 Notes that would constitute a Default or an Event of Default; and</w:t>
      </w:r>
    </w:p>
    <w:p>
      <w:pPr>
        <w:spacing w:after="0" w:line="215" w:lineRule="exact"/>
        <w:rPr>
          <w:sz w:val="20"/>
          <w:szCs w:val="20"/>
          <w:color w:val="auto"/>
        </w:rPr>
      </w:pPr>
    </w:p>
    <w:p>
      <w:pPr>
        <w:jc w:val="both"/>
        <w:ind w:left="960" w:firstLine="648"/>
        <w:spacing w:after="0" w:line="248" w:lineRule="auto"/>
        <w:rPr>
          <w:sz w:val="20"/>
          <w:szCs w:val="20"/>
          <w:color w:val="auto"/>
        </w:rPr>
      </w:pPr>
      <w:r>
        <w:rPr>
          <w:rFonts w:ascii="Arial" w:cs="Arial" w:eastAsia="Arial" w:hAnsi="Arial"/>
          <w:sz w:val="21"/>
          <w:szCs w:val="21"/>
          <w:color w:val="auto"/>
        </w:rPr>
        <w:t>5.6. each of the representations and warranties made by the Borrower or any of the Wynn Amendment Parties in or pursuant to the Loan Documents to which such entity is a party, as amended hereby and by the Sixth Amendment Documents, are true and correct in all material respects on and as of the date this representation is being made, except for representations and warranties expressly stated to relate to a specific earlier date, in which case such representations and warranties are true and correct in all material respects as of such earlier date.</w:t>
      </w:r>
    </w:p>
    <w:p>
      <w:pPr>
        <w:spacing w:after="0" w:line="204" w:lineRule="exact"/>
        <w:rPr>
          <w:sz w:val="20"/>
          <w:szCs w:val="20"/>
          <w:color w:val="auto"/>
        </w:rPr>
      </w:pPr>
    </w:p>
    <w:p>
      <w:pPr>
        <w:ind w:left="760" w:firstLine="641"/>
        <w:spacing w:after="0" w:line="274" w:lineRule="auto"/>
        <w:tabs>
          <w:tab w:leader="none" w:pos="2313" w:val="left"/>
        </w:tabs>
        <w:numPr>
          <w:ilvl w:val="0"/>
          <w:numId w:val="324"/>
        </w:numPr>
        <w:rPr>
          <w:rFonts w:ascii="Arial" w:cs="Arial" w:eastAsia="Arial" w:hAnsi="Arial"/>
          <w:sz w:val="21"/>
          <w:szCs w:val="21"/>
          <w:color w:val="auto"/>
        </w:rPr>
      </w:pPr>
      <w:r>
        <w:rPr>
          <w:rFonts w:ascii="Arial" w:cs="Arial" w:eastAsia="Arial" w:hAnsi="Arial"/>
          <w:sz w:val="21"/>
          <w:szCs w:val="21"/>
          <w:u w:val="single" w:color="auto"/>
          <w:color w:val="auto"/>
        </w:rPr>
        <w:t>Effectiveness of this Sixth Amendment</w:t>
      </w:r>
      <w:r>
        <w:rPr>
          <w:rFonts w:ascii="Arial" w:cs="Arial" w:eastAsia="Arial" w:hAnsi="Arial"/>
          <w:sz w:val="21"/>
          <w:szCs w:val="21"/>
          <w:color w:val="auto"/>
        </w:rPr>
        <w:t>. This Sixth Amendment shall be effective only if and when signed by the Administrative Agent, the Borrower and the Wynn Amendment Parties.</w:t>
      </w:r>
    </w:p>
    <w:p>
      <w:pPr>
        <w:spacing w:after="0" w:line="177" w:lineRule="exact"/>
        <w:rPr>
          <w:rFonts w:ascii="Arial" w:cs="Arial" w:eastAsia="Arial" w:hAnsi="Arial"/>
          <w:sz w:val="21"/>
          <w:szCs w:val="21"/>
          <w:color w:val="auto"/>
        </w:rPr>
      </w:pPr>
    </w:p>
    <w:p>
      <w:pPr>
        <w:jc w:val="both"/>
        <w:ind w:left="760" w:firstLine="641"/>
        <w:spacing w:after="0" w:line="271" w:lineRule="auto"/>
        <w:tabs>
          <w:tab w:leader="none" w:pos="2354" w:val="left"/>
        </w:tabs>
        <w:numPr>
          <w:ilvl w:val="0"/>
          <w:numId w:val="324"/>
        </w:numPr>
        <w:rPr>
          <w:rFonts w:ascii="Arial" w:cs="Arial" w:eastAsia="Arial" w:hAnsi="Arial"/>
          <w:sz w:val="19"/>
          <w:szCs w:val="19"/>
          <w:color w:val="auto"/>
        </w:rPr>
      </w:pPr>
      <w:r>
        <w:rPr>
          <w:rFonts w:ascii="Arial" w:cs="Arial" w:eastAsia="Arial" w:hAnsi="Arial"/>
          <w:sz w:val="19"/>
          <w:szCs w:val="19"/>
          <w:u w:val="single" w:color="auto"/>
          <w:color w:val="auto"/>
        </w:rPr>
        <w:t>Acknowledgments</w:t>
      </w:r>
      <w:r>
        <w:rPr>
          <w:rFonts w:ascii="Arial" w:cs="Arial" w:eastAsia="Arial" w:hAnsi="Arial"/>
          <w:sz w:val="19"/>
          <w:szCs w:val="19"/>
          <w:color w:val="auto"/>
        </w:rPr>
        <w:t>. By executing this Sixth Amendment, each of the Wynn Amendment Parties (other than Wynn Resorts Holdings and Completion Guarantor) (a) consents to the Sixth Amendment Documents and the issuance by the Borrower and Capital Corp. of the 2020 Notes, (b) acknowledges that notwithstanding the execution and delivery of the Sixth Amendment Documents, or any prior amendments to the Loan Documents, and the issuance by the Borrower and Capital Corp. of the 2020 Notes, the obligations of each of the Wynn Amendment Parties under the Guarantee are not impaired or affected (except as provided for in the Sixth Amendment Documents) and the Guarantee continues in full force and effe ct and shall apply to the Obligations as amended by the Sixth Amendment Documents and (c) affirms and ratifies the Guarantee. By executing this Sixth Amendment, the Borrower and each of the Wynn Amendment Parties (other than Completion Guarantor) (x) consents to the Sixth Amendment Documents and the issuance by the Borrower and Capital Corp. of the 2020 Notes, (y) acknowledges that notwithstanding the execution and delivery of the Sixth Amendment Documents, or any prior amendments to the Loan Documents, and the issuance by the Borrower and Capital Corp. of the 2020 Notes, the obligations of the Borrower and each of the Wynn Amendment Parties under the Security Documents to which it is a party (other than the</w:t>
      </w:r>
    </w:p>
    <w:p>
      <w:pPr>
        <w:spacing w:after="0" w:line="200" w:lineRule="exact"/>
        <w:rPr>
          <w:sz w:val="20"/>
          <w:szCs w:val="20"/>
          <w:color w:val="auto"/>
        </w:rPr>
      </w:pPr>
    </w:p>
    <w:p>
      <w:pPr>
        <w:spacing w:after="0" w:line="38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76835</wp:posOffset>
            </wp:positionV>
            <wp:extent cx="601599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48" w:name="page249"/>
    <w:bookmarkEnd w:id="248"/>
    <w:p>
      <w:pPr>
        <w:ind w:left="760" w:right="40"/>
        <w:spacing w:after="0" w:line="244" w:lineRule="auto"/>
        <w:rPr>
          <w:sz w:val="20"/>
          <w:szCs w:val="20"/>
          <w:color w:val="auto"/>
        </w:rPr>
      </w:pPr>
      <w:r>
        <w:rPr>
          <w:rFonts w:ascii="Arial" w:cs="Arial" w:eastAsia="Arial" w:hAnsi="Arial"/>
          <w:sz w:val="21"/>
          <w:szCs w:val="21"/>
          <w:color w:val="auto"/>
        </w:rPr>
        <w:t>Guarantee) are not impaired or affected (except as provided for in the Sixth Amendment Documents) and the Security Documents continue in full force and effect and shall secure the Obligations as amended by the Sixth Amendment Documents and (z) affirms and ratifies such Security Documents. By executing this Sixth Amendment, Completion Guarantor (a) consents to the Sixth Amendment Documents and the issuance by the Borrower and Capital Corp. of the 2020 Notes, (b) acknowledges that notwithstanding the execution and delivery of the Sixth Amendment Documents, or any prior amendments to the Loan Documents, and the issuance by the Borrower and Capital Corp. of the 2020 Notes, the obligations of Completion Guarantor under the Completion Guaranty are not impaired or affected (except as provided for in the Sixth Amendment Doc uments) and the Completion Guaranty continues in full force and effect and shall apply to the Obligations as amended by the Sixth Amendment Documents and (c) affirms and ratifies the Completion Guaranty.</w:t>
      </w:r>
    </w:p>
    <w:p>
      <w:pPr>
        <w:spacing w:after="0" w:line="211" w:lineRule="exact"/>
        <w:rPr>
          <w:sz w:val="20"/>
          <w:szCs w:val="20"/>
          <w:color w:val="auto"/>
        </w:rPr>
      </w:pPr>
    </w:p>
    <w:p>
      <w:pPr>
        <w:ind w:left="2500" w:hanging="1099"/>
        <w:spacing w:after="0"/>
        <w:tabs>
          <w:tab w:leader="none" w:pos="2500" w:val="left"/>
        </w:tabs>
        <w:numPr>
          <w:ilvl w:val="0"/>
          <w:numId w:val="32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w:t>
      </w:r>
      <w:r>
        <w:rPr>
          <w:rFonts w:ascii="Arial" w:cs="Arial" w:eastAsia="Arial" w:hAnsi="Arial"/>
          <w:sz w:val="22"/>
          <w:szCs w:val="22"/>
          <w:b w:val="1"/>
          <w:bCs w:val="1"/>
          <w:color w:val="auto"/>
        </w:rPr>
        <w:t>THIS SIXTH AMENDMENT SHALL BE GOVERNED BY, AND</w:t>
      </w:r>
    </w:p>
    <w:p>
      <w:pPr>
        <w:spacing w:after="0" w:line="14" w:lineRule="exact"/>
        <w:rPr>
          <w:rFonts w:ascii="Arial" w:cs="Arial" w:eastAsia="Arial" w:hAnsi="Arial"/>
          <w:sz w:val="22"/>
          <w:szCs w:val="22"/>
          <w:color w:val="auto"/>
        </w:rPr>
      </w:pPr>
    </w:p>
    <w:p>
      <w:pPr>
        <w:jc w:val="both"/>
        <w:ind w:left="760"/>
        <w:spacing w:after="0" w:line="242" w:lineRule="auto"/>
        <w:rPr>
          <w:rFonts w:ascii="Arial" w:cs="Arial" w:eastAsia="Arial" w:hAnsi="Arial"/>
          <w:sz w:val="22"/>
          <w:szCs w:val="22"/>
          <w:color w:val="auto"/>
        </w:rPr>
      </w:pPr>
      <w:r>
        <w:rPr>
          <w:rFonts w:ascii="Arial" w:cs="Arial" w:eastAsia="Arial" w:hAnsi="Arial"/>
          <w:sz w:val="21"/>
          <w:szCs w:val="21"/>
          <w:b w:val="1"/>
          <w:bCs w:val="1"/>
          <w:color w:val="auto"/>
        </w:rPr>
        <w:t xml:space="preserve">CONSTRUED AND INTERPRETED IN ACCORDANCE WITH, THE LAW OF THE STATE OF NEW YORK, WITHOUT REGARD TO THE CONFLICT OF LAW RULES THEREOF (OTHER THAN SECTIONS 5-1401 AND 5-1402 OF THE NEW YORK GENERAL OBLIGATIONS LAW). </w:t>
      </w:r>
      <w:r>
        <w:rPr>
          <w:rFonts w:ascii="Arial" w:cs="Arial" w:eastAsia="Arial" w:hAnsi="Arial"/>
          <w:sz w:val="21"/>
          <w:szCs w:val="21"/>
          <w:color w:val="auto"/>
        </w:rPr>
        <w:t>This Sixth Amendment may be executed in one or more counterparts and when signed by all of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listed below shall constitute a single binding agreement. Delivery of an executed counterpart hereof by facsimile transmission shall be effective as delivery of a manually executed counterpart. Except as amended hereby and the other Sixth Amendment Documents, all of the provisions of the Credit Agreement and the other Loan Documents shall remain in full force and effect except that each reference to the “Credit Agreement”, or words of like import in any Loan Document, shall mean and be a reference to the Credit Agreement as amended hereby. This Sixth Amendment shall be deemed a “Loan Document” as defined in the Credit Agreement. Section 10.12 of the Credit Agreement shall apply to this Sixth Amendment and all past and future amendments to the Credit Agreement and other Loan Documents as if expressly set forth therein.</w:t>
      </w:r>
    </w:p>
    <w:p>
      <w:pPr>
        <w:spacing w:after="0" w:line="220"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76835</wp:posOffset>
            </wp:positionV>
            <wp:extent cx="601599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510" w:right="239" w:bottom="1440" w:gutter="0" w:footer="0" w:header="0"/>
        </w:sectPr>
      </w:pPr>
    </w:p>
    <w:bookmarkStart w:id="249" w:name="page250"/>
    <w:bookmarkEnd w:id="249"/>
    <w:p>
      <w:pPr>
        <w:jc w:val="both"/>
        <w:ind w:left="760"/>
        <w:spacing w:after="0"/>
        <w:rPr>
          <w:sz w:val="20"/>
          <w:szCs w:val="20"/>
          <w:color w:val="auto"/>
        </w:rPr>
      </w:pPr>
      <w:r>
        <w:rPr>
          <w:rFonts w:ascii="Arial" w:cs="Arial" w:eastAsia="Arial" w:hAnsi="Arial"/>
          <w:sz w:val="22"/>
          <w:szCs w:val="22"/>
          <w:color w:val="auto"/>
        </w:rPr>
        <w:t>IN WITNESS WHEREOF, the parties have caused this Sixth Amendment to be duly executed by their officers or officers of their sole ultimate members thereunto duly authorized as of the day and year first above written.</w:t>
      </w:r>
    </w:p>
    <w:p>
      <w:pPr>
        <w:spacing w:after="0" w:line="204"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3740" w:type="dxa"/>
            <w:vAlign w:val="bottom"/>
            <w:gridSpan w:val="2"/>
          </w:tcPr>
          <w:p>
            <w:pPr>
              <w:spacing w:after="0"/>
              <w:rPr>
                <w:sz w:val="20"/>
                <w:szCs w:val="20"/>
                <w:color w:val="auto"/>
              </w:rPr>
            </w:pPr>
            <w:r>
              <w:rPr>
                <w:rFonts w:ascii="Arial" w:cs="Arial" w:eastAsia="Arial" w:hAnsi="Arial"/>
                <w:sz w:val="22"/>
                <w:szCs w:val="22"/>
                <w:color w:val="auto"/>
              </w:rPr>
              <w:t>WYNN LAS VEGAS, LLC,</w:t>
            </w:r>
          </w:p>
        </w:tc>
        <w:tc>
          <w:tcPr>
            <w:tcW w:w="3080" w:type="dxa"/>
            <w:vAlign w:val="bottom"/>
          </w:tcPr>
          <w:p>
            <w:pPr>
              <w:ind w:left="480"/>
              <w:spacing w:after="0"/>
              <w:rPr>
                <w:sz w:val="20"/>
                <w:szCs w:val="20"/>
                <w:color w:val="auto"/>
              </w:rPr>
            </w:pPr>
            <w:r>
              <w:rPr>
                <w:rFonts w:ascii="Arial" w:cs="Arial" w:eastAsia="Arial" w:hAnsi="Arial"/>
                <w:sz w:val="22"/>
                <w:szCs w:val="22"/>
                <w:color w:val="auto"/>
              </w:rPr>
              <w:t>WYNN GOLF, LLC,</w:t>
            </w:r>
          </w:p>
        </w:tc>
        <w:tc>
          <w:tcPr>
            <w:tcW w:w="2160" w:type="dxa"/>
            <w:vAlign w:val="bottom"/>
          </w:tcPr>
          <w:p>
            <w:pPr>
              <w:spacing w:after="0"/>
              <w:rPr>
                <w:sz w:val="21"/>
                <w:szCs w:val="21"/>
                <w:color w:val="auto"/>
              </w:rPr>
            </w:pPr>
          </w:p>
        </w:tc>
      </w:tr>
      <w:tr>
        <w:trPr>
          <w:trHeight w:val="275"/>
        </w:trPr>
        <w:tc>
          <w:tcPr>
            <w:tcW w:w="3740" w:type="dxa"/>
            <w:vAlign w:val="bottom"/>
            <w:gridSpan w:val="2"/>
          </w:tcPr>
          <w:p>
            <w:pPr>
              <w:spacing w:after="0"/>
              <w:rPr>
                <w:sz w:val="20"/>
                <w:szCs w:val="20"/>
                <w:color w:val="auto"/>
              </w:rPr>
            </w:pPr>
            <w:r>
              <w:rPr>
                <w:rFonts w:ascii="Arial" w:cs="Arial" w:eastAsia="Arial" w:hAnsi="Arial"/>
                <w:sz w:val="22"/>
                <w:szCs w:val="22"/>
                <w:color w:val="auto"/>
              </w:rPr>
              <w:t>a Nevada limited liability company</w:t>
            </w:r>
          </w:p>
        </w:tc>
        <w:tc>
          <w:tcPr>
            <w:tcW w:w="5240" w:type="dxa"/>
            <w:vAlign w:val="bottom"/>
            <w:gridSpan w:val="2"/>
          </w:tcPr>
          <w:p>
            <w:pPr>
              <w:ind w:left="480"/>
              <w:spacing w:after="0"/>
              <w:rPr>
                <w:sz w:val="20"/>
                <w:szCs w:val="20"/>
                <w:color w:val="auto"/>
              </w:rPr>
            </w:pPr>
            <w:r>
              <w:rPr>
                <w:rFonts w:ascii="Arial" w:cs="Arial" w:eastAsia="Arial" w:hAnsi="Arial"/>
                <w:sz w:val="22"/>
                <w:szCs w:val="22"/>
                <w:color w:val="auto"/>
              </w:rPr>
              <w:t>a Nevada limited liability company</w:t>
            </w:r>
          </w:p>
        </w:tc>
      </w:tr>
      <w:tr>
        <w:trPr>
          <w:trHeight w:val="644"/>
        </w:trPr>
        <w:tc>
          <w:tcPr>
            <w:tcW w:w="3740" w:type="dxa"/>
            <w:vAlign w:val="bottom"/>
            <w:gridSpan w:val="2"/>
          </w:tcPr>
          <w:p>
            <w:pPr>
              <w:spacing w:after="0"/>
              <w:rPr>
                <w:sz w:val="20"/>
                <w:szCs w:val="20"/>
                <w:color w:val="auto"/>
              </w:rPr>
            </w:pPr>
            <w:r>
              <w:rPr>
                <w:rFonts w:ascii="Arial" w:cs="Arial" w:eastAsia="Arial" w:hAnsi="Arial"/>
                <w:sz w:val="22"/>
                <w:szCs w:val="22"/>
                <w:color w:val="auto"/>
              </w:rPr>
              <w:t>By:   Wynn Resorts Holdings, LLC,</w:t>
            </w:r>
          </w:p>
        </w:tc>
        <w:tc>
          <w:tcPr>
            <w:tcW w:w="5240" w:type="dxa"/>
            <w:vAlign w:val="bottom"/>
            <w:gridSpan w:val="2"/>
          </w:tcPr>
          <w:p>
            <w:pPr>
              <w:ind w:left="480"/>
              <w:spacing w:after="0"/>
              <w:rPr>
                <w:sz w:val="20"/>
                <w:szCs w:val="20"/>
                <w:color w:val="auto"/>
              </w:rPr>
            </w:pPr>
            <w:r>
              <w:rPr>
                <w:rFonts w:ascii="Arial" w:cs="Arial" w:eastAsia="Arial" w:hAnsi="Arial"/>
                <w:sz w:val="22"/>
                <w:szCs w:val="22"/>
                <w:color w:val="auto"/>
              </w:rPr>
              <w:t>By:   Wynn Las Vegas, LLC,</w:t>
            </w:r>
          </w:p>
        </w:tc>
      </w:tr>
      <w:tr>
        <w:trPr>
          <w:trHeight w:val="243"/>
        </w:trPr>
        <w:tc>
          <w:tcPr>
            <w:tcW w:w="3740" w:type="dxa"/>
            <w:vAlign w:val="bottom"/>
            <w:gridSpan w:val="2"/>
          </w:tcPr>
          <w:p>
            <w:pPr>
              <w:ind w:left="580"/>
              <w:spacing w:after="0" w:line="243" w:lineRule="exact"/>
              <w:rPr>
                <w:sz w:val="20"/>
                <w:szCs w:val="20"/>
                <w:color w:val="auto"/>
              </w:rPr>
            </w:pPr>
            <w:r>
              <w:rPr>
                <w:rFonts w:ascii="Arial" w:cs="Arial" w:eastAsia="Arial" w:hAnsi="Arial"/>
                <w:sz w:val="22"/>
                <w:szCs w:val="22"/>
                <w:color w:val="auto"/>
                <w:w w:val="93"/>
              </w:rPr>
              <w:t>a Nevada limited liability company,</w:t>
            </w:r>
          </w:p>
        </w:tc>
        <w:tc>
          <w:tcPr>
            <w:tcW w:w="5240" w:type="dxa"/>
            <w:vAlign w:val="bottom"/>
            <w:gridSpan w:val="2"/>
          </w:tcPr>
          <w:p>
            <w:pPr>
              <w:ind w:left="108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1980" w:type="dxa"/>
            <w:vAlign w:val="bottom"/>
          </w:tcPr>
          <w:p>
            <w:pPr>
              <w:ind w:left="580"/>
              <w:spacing w:after="0"/>
              <w:rPr>
                <w:sz w:val="20"/>
                <w:szCs w:val="20"/>
                <w:color w:val="auto"/>
              </w:rPr>
            </w:pPr>
            <w:r>
              <w:rPr>
                <w:rFonts w:ascii="Arial" w:cs="Arial" w:eastAsia="Arial" w:hAnsi="Arial"/>
                <w:sz w:val="22"/>
                <w:szCs w:val="22"/>
                <w:color w:val="auto"/>
                <w:w w:val="88"/>
              </w:rPr>
              <w:t>its sole member</w:t>
            </w:r>
          </w:p>
        </w:tc>
        <w:tc>
          <w:tcPr>
            <w:tcW w:w="1760" w:type="dxa"/>
            <w:vAlign w:val="bottom"/>
          </w:tcPr>
          <w:p>
            <w:pPr>
              <w:spacing w:after="0"/>
              <w:rPr>
                <w:sz w:val="23"/>
                <w:szCs w:val="23"/>
                <w:color w:val="auto"/>
              </w:rPr>
            </w:pPr>
          </w:p>
        </w:tc>
        <w:tc>
          <w:tcPr>
            <w:tcW w:w="3080" w:type="dxa"/>
            <w:vAlign w:val="bottom"/>
          </w:tcPr>
          <w:p>
            <w:pPr>
              <w:ind w:left="1080"/>
              <w:spacing w:after="0"/>
              <w:rPr>
                <w:sz w:val="20"/>
                <w:szCs w:val="20"/>
                <w:color w:val="auto"/>
              </w:rPr>
            </w:pPr>
            <w:r>
              <w:rPr>
                <w:rFonts w:ascii="Arial" w:cs="Arial" w:eastAsia="Arial" w:hAnsi="Arial"/>
                <w:sz w:val="22"/>
                <w:szCs w:val="22"/>
                <w:color w:val="auto"/>
              </w:rPr>
              <w:t>its sole member</w:t>
            </w:r>
          </w:p>
        </w:tc>
        <w:tc>
          <w:tcPr>
            <w:tcW w:w="2160" w:type="dxa"/>
            <w:vAlign w:val="bottom"/>
          </w:tcPr>
          <w:p>
            <w:pPr>
              <w:spacing w:after="0"/>
              <w:rPr>
                <w:sz w:val="23"/>
                <w:szCs w:val="23"/>
                <w:color w:val="auto"/>
              </w:rPr>
            </w:pPr>
          </w:p>
        </w:tc>
      </w:tr>
      <w:tr>
        <w:trPr>
          <w:trHeight w:val="644"/>
        </w:trPr>
        <w:tc>
          <w:tcPr>
            <w:tcW w:w="3740" w:type="dxa"/>
            <w:vAlign w:val="bottom"/>
            <w:gridSpan w:val="2"/>
          </w:tcPr>
          <w:p>
            <w:pPr>
              <w:ind w:left="580"/>
              <w:spacing w:after="0"/>
              <w:rPr>
                <w:sz w:val="20"/>
                <w:szCs w:val="20"/>
                <w:color w:val="auto"/>
              </w:rPr>
            </w:pPr>
            <w:r>
              <w:rPr>
                <w:rFonts w:ascii="Arial" w:cs="Arial" w:eastAsia="Arial" w:hAnsi="Arial"/>
                <w:sz w:val="22"/>
                <w:szCs w:val="22"/>
                <w:color w:val="auto"/>
              </w:rPr>
              <w:t>By:   Wynn Resorts, Limited,</w:t>
            </w:r>
          </w:p>
        </w:tc>
        <w:tc>
          <w:tcPr>
            <w:tcW w:w="5240" w:type="dxa"/>
            <w:vAlign w:val="bottom"/>
            <w:gridSpan w:val="2"/>
          </w:tcPr>
          <w:p>
            <w:pPr>
              <w:ind w:left="1080"/>
              <w:spacing w:after="0"/>
              <w:rPr>
                <w:sz w:val="20"/>
                <w:szCs w:val="20"/>
                <w:color w:val="auto"/>
              </w:rPr>
            </w:pPr>
            <w:r>
              <w:rPr>
                <w:rFonts w:ascii="Arial" w:cs="Arial" w:eastAsia="Arial" w:hAnsi="Arial"/>
                <w:sz w:val="22"/>
                <w:szCs w:val="22"/>
                <w:color w:val="auto"/>
              </w:rPr>
              <w:t>By:   Wynn Resorts Holdings, LLC,</w:t>
            </w:r>
          </w:p>
        </w:tc>
      </w:tr>
      <w:tr>
        <w:trPr>
          <w:trHeight w:val="243"/>
        </w:trPr>
        <w:tc>
          <w:tcPr>
            <w:tcW w:w="3740" w:type="dxa"/>
            <w:vAlign w:val="bottom"/>
            <w:gridSpan w:val="2"/>
          </w:tcPr>
          <w:p>
            <w:pPr>
              <w:ind w:left="1160"/>
              <w:spacing w:after="0" w:line="243" w:lineRule="exact"/>
              <w:rPr>
                <w:sz w:val="20"/>
                <w:szCs w:val="20"/>
                <w:color w:val="auto"/>
              </w:rPr>
            </w:pPr>
            <w:r>
              <w:rPr>
                <w:rFonts w:ascii="Arial" w:cs="Arial" w:eastAsia="Arial" w:hAnsi="Arial"/>
                <w:sz w:val="22"/>
                <w:szCs w:val="22"/>
                <w:color w:val="auto"/>
              </w:rPr>
              <w:t>a Nevada corporation,</w:t>
            </w:r>
          </w:p>
        </w:tc>
        <w:tc>
          <w:tcPr>
            <w:tcW w:w="5240" w:type="dxa"/>
            <w:vAlign w:val="bottom"/>
            <w:gridSpan w:val="2"/>
          </w:tcPr>
          <w:p>
            <w:pPr>
              <w:ind w:left="1660"/>
              <w:spacing w:after="0" w:line="243" w:lineRule="exact"/>
              <w:rPr>
                <w:sz w:val="20"/>
                <w:szCs w:val="20"/>
                <w:color w:val="auto"/>
              </w:rPr>
            </w:pPr>
            <w:r>
              <w:rPr>
                <w:rFonts w:ascii="Arial" w:cs="Arial" w:eastAsia="Arial" w:hAnsi="Arial"/>
                <w:sz w:val="22"/>
                <w:szCs w:val="22"/>
                <w:color w:val="auto"/>
              </w:rPr>
              <w:t>a Nevada limited liability company,</w:t>
            </w:r>
          </w:p>
        </w:tc>
      </w:tr>
      <w:tr>
        <w:trPr>
          <w:trHeight w:val="275"/>
        </w:trPr>
        <w:tc>
          <w:tcPr>
            <w:tcW w:w="3740" w:type="dxa"/>
            <w:vAlign w:val="bottom"/>
            <w:gridSpan w:val="2"/>
          </w:tcPr>
          <w:p>
            <w:pPr>
              <w:ind w:left="1160"/>
              <w:spacing w:after="0"/>
              <w:rPr>
                <w:sz w:val="20"/>
                <w:szCs w:val="20"/>
                <w:color w:val="auto"/>
              </w:rPr>
            </w:pPr>
            <w:r>
              <w:rPr>
                <w:rFonts w:ascii="Arial" w:cs="Arial" w:eastAsia="Arial" w:hAnsi="Arial"/>
                <w:sz w:val="22"/>
                <w:szCs w:val="22"/>
                <w:color w:val="auto"/>
              </w:rPr>
              <w:t>its sole member</w:t>
            </w:r>
          </w:p>
        </w:tc>
        <w:tc>
          <w:tcPr>
            <w:tcW w:w="3080" w:type="dxa"/>
            <w:vAlign w:val="bottom"/>
          </w:tcPr>
          <w:p>
            <w:pPr>
              <w:ind w:left="1660"/>
              <w:spacing w:after="0"/>
              <w:rPr>
                <w:sz w:val="20"/>
                <w:szCs w:val="20"/>
                <w:color w:val="auto"/>
              </w:rPr>
            </w:pPr>
            <w:r>
              <w:rPr>
                <w:rFonts w:ascii="Arial" w:cs="Arial" w:eastAsia="Arial" w:hAnsi="Arial"/>
                <w:sz w:val="22"/>
                <w:szCs w:val="22"/>
                <w:color w:val="auto"/>
                <w:w w:val="90"/>
              </w:rPr>
              <w:t>its sole member</w:t>
            </w:r>
          </w:p>
        </w:tc>
        <w:tc>
          <w:tcPr>
            <w:tcW w:w="2160" w:type="dxa"/>
            <w:vAlign w:val="bottom"/>
          </w:tcPr>
          <w:p>
            <w:pPr>
              <w:spacing w:after="0"/>
              <w:rPr>
                <w:sz w:val="23"/>
                <w:szCs w:val="23"/>
                <w:color w:val="auto"/>
              </w:rPr>
            </w:pPr>
          </w:p>
        </w:tc>
      </w:tr>
      <w:tr>
        <w:trPr>
          <w:trHeight w:val="456"/>
        </w:trPr>
        <w:tc>
          <w:tcPr>
            <w:tcW w:w="1980" w:type="dxa"/>
            <w:vAlign w:val="bottom"/>
          </w:tcPr>
          <w:p>
            <w:pPr>
              <w:ind w:left="1160"/>
              <w:spacing w:after="0"/>
              <w:rPr>
                <w:sz w:val="20"/>
                <w:szCs w:val="20"/>
                <w:color w:val="auto"/>
              </w:rPr>
            </w:pPr>
            <w:r>
              <w:rPr>
                <w:rFonts w:ascii="Arial" w:cs="Arial" w:eastAsia="Arial" w:hAnsi="Arial"/>
                <w:sz w:val="22"/>
                <w:szCs w:val="22"/>
                <w:color w:val="auto"/>
              </w:rPr>
              <w:t>By:</w:t>
            </w:r>
          </w:p>
        </w:tc>
        <w:tc>
          <w:tcPr>
            <w:tcW w:w="17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 Maddox</w:t>
            </w:r>
          </w:p>
        </w:tc>
        <w:tc>
          <w:tcPr>
            <w:tcW w:w="5240" w:type="dxa"/>
            <w:vAlign w:val="bottom"/>
            <w:gridSpan w:val="2"/>
          </w:tcPr>
          <w:p>
            <w:pPr>
              <w:ind w:left="1660"/>
              <w:spacing w:after="0"/>
              <w:rPr>
                <w:sz w:val="20"/>
                <w:szCs w:val="20"/>
                <w:color w:val="auto"/>
              </w:rPr>
            </w:pPr>
            <w:r>
              <w:rPr>
                <w:rFonts w:ascii="Arial" w:cs="Arial" w:eastAsia="Arial" w:hAnsi="Arial"/>
                <w:sz w:val="22"/>
                <w:szCs w:val="22"/>
                <w:color w:val="auto"/>
              </w:rPr>
              <w:t>By:   Wynn Resorts, Limited,</w:t>
            </w:r>
          </w:p>
        </w:tc>
      </w:tr>
      <w:tr>
        <w:trPr>
          <w:trHeight w:val="250"/>
        </w:trPr>
        <w:tc>
          <w:tcPr>
            <w:tcW w:w="1980" w:type="dxa"/>
            <w:vAlign w:val="bottom"/>
          </w:tcPr>
          <w:p>
            <w:pPr>
              <w:ind w:left="1160"/>
              <w:spacing w:after="0" w:line="243" w:lineRule="exact"/>
              <w:rPr>
                <w:sz w:val="20"/>
                <w:szCs w:val="20"/>
                <w:color w:val="auto"/>
              </w:rPr>
            </w:pPr>
            <w:r>
              <w:rPr>
                <w:rFonts w:ascii="Arial" w:cs="Arial" w:eastAsia="Arial" w:hAnsi="Arial"/>
                <w:sz w:val="22"/>
                <w:szCs w:val="22"/>
                <w:color w:val="auto"/>
              </w:rPr>
              <w:t>Name:</w:t>
            </w:r>
          </w:p>
        </w:tc>
        <w:tc>
          <w:tcPr>
            <w:tcW w:w="176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Matt Maddox</w:t>
            </w:r>
          </w:p>
        </w:tc>
        <w:tc>
          <w:tcPr>
            <w:tcW w:w="5240" w:type="dxa"/>
            <w:vAlign w:val="bottom"/>
            <w:gridSpan w:val="2"/>
          </w:tcPr>
          <w:p>
            <w:pPr>
              <w:ind w:left="2260"/>
              <w:spacing w:after="0" w:line="243" w:lineRule="exact"/>
              <w:rPr>
                <w:sz w:val="20"/>
                <w:szCs w:val="20"/>
                <w:color w:val="auto"/>
              </w:rPr>
            </w:pPr>
            <w:r>
              <w:rPr>
                <w:rFonts w:ascii="Arial" w:cs="Arial" w:eastAsia="Arial" w:hAnsi="Arial"/>
                <w:sz w:val="22"/>
                <w:szCs w:val="22"/>
                <w:color w:val="auto"/>
              </w:rPr>
              <w:t>a Nevada corporation,</w:t>
            </w:r>
          </w:p>
        </w:tc>
      </w:tr>
      <w:tr>
        <w:trPr>
          <w:trHeight w:val="250"/>
        </w:trPr>
        <w:tc>
          <w:tcPr>
            <w:tcW w:w="1980" w:type="dxa"/>
            <w:vAlign w:val="bottom"/>
          </w:tcPr>
          <w:p>
            <w:pPr>
              <w:ind w:left="1160"/>
              <w:spacing w:after="0" w:line="243" w:lineRule="exact"/>
              <w:rPr>
                <w:sz w:val="20"/>
                <w:szCs w:val="20"/>
                <w:color w:val="auto"/>
              </w:rPr>
            </w:pPr>
            <w:r>
              <w:rPr>
                <w:rFonts w:ascii="Arial" w:cs="Arial" w:eastAsia="Arial" w:hAnsi="Arial"/>
                <w:sz w:val="22"/>
                <w:szCs w:val="22"/>
                <w:color w:val="auto"/>
              </w:rPr>
              <w:t>Title:</w:t>
            </w:r>
          </w:p>
        </w:tc>
        <w:tc>
          <w:tcPr>
            <w:tcW w:w="176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w w:val="91"/>
              </w:rPr>
              <w:t>CFO and Treasurer</w:t>
            </w:r>
          </w:p>
        </w:tc>
        <w:tc>
          <w:tcPr>
            <w:tcW w:w="5240" w:type="dxa"/>
            <w:vAlign w:val="bottom"/>
            <w:gridSpan w:val="2"/>
          </w:tcPr>
          <w:p>
            <w:pPr>
              <w:ind w:left="2260"/>
              <w:spacing w:after="0" w:line="243" w:lineRule="exact"/>
              <w:rPr>
                <w:sz w:val="20"/>
                <w:szCs w:val="20"/>
                <w:color w:val="auto"/>
              </w:rPr>
            </w:pPr>
            <w:r>
              <w:rPr>
                <w:rFonts w:ascii="Arial" w:cs="Arial" w:eastAsia="Arial" w:hAnsi="Arial"/>
                <w:sz w:val="22"/>
                <w:szCs w:val="22"/>
                <w:color w:val="auto"/>
              </w:rPr>
              <w:t>its sole member</w:t>
            </w:r>
          </w:p>
        </w:tc>
      </w:tr>
      <w:tr>
        <w:trPr>
          <w:trHeight w:val="520"/>
        </w:trPr>
        <w:tc>
          <w:tcPr>
            <w:tcW w:w="1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80" w:type="dxa"/>
            <w:vAlign w:val="bottom"/>
          </w:tcPr>
          <w:p>
            <w:pPr>
              <w:ind w:left="2260"/>
              <w:spacing w:after="0"/>
              <w:rPr>
                <w:sz w:val="20"/>
                <w:szCs w:val="20"/>
                <w:color w:val="auto"/>
              </w:rPr>
            </w:pPr>
            <w:r>
              <w:rPr>
                <w:rFonts w:ascii="Arial" w:cs="Arial" w:eastAsia="Arial" w:hAnsi="Arial"/>
                <w:sz w:val="22"/>
                <w:szCs w:val="22"/>
                <w:color w:val="auto"/>
              </w:rPr>
              <w:t>By:</w:t>
            </w:r>
          </w:p>
        </w:tc>
        <w:tc>
          <w:tcPr>
            <w:tcW w:w="2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Matt Maddox</w:t>
            </w:r>
          </w:p>
        </w:tc>
      </w:tr>
      <w:tr>
        <w:trPr>
          <w:trHeight w:val="250"/>
        </w:trPr>
        <w:tc>
          <w:tcPr>
            <w:tcW w:w="19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80" w:type="dxa"/>
            <w:vAlign w:val="bottom"/>
          </w:tcPr>
          <w:p>
            <w:pPr>
              <w:ind w:left="2260"/>
              <w:spacing w:after="0" w:line="243" w:lineRule="exact"/>
              <w:rPr>
                <w:sz w:val="20"/>
                <w:szCs w:val="20"/>
                <w:color w:val="auto"/>
              </w:rPr>
            </w:pPr>
            <w:r>
              <w:rPr>
                <w:rFonts w:ascii="Arial" w:cs="Arial" w:eastAsia="Arial" w:hAnsi="Arial"/>
                <w:sz w:val="22"/>
                <w:szCs w:val="22"/>
                <w:color w:val="auto"/>
              </w:rPr>
              <w:t>Name:</w:t>
            </w:r>
          </w:p>
        </w:tc>
        <w:tc>
          <w:tcPr>
            <w:tcW w:w="216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Matt Maddox</w:t>
            </w:r>
          </w:p>
        </w:tc>
      </w:tr>
      <w:tr>
        <w:trPr>
          <w:trHeight w:val="250"/>
        </w:trPr>
        <w:tc>
          <w:tcPr>
            <w:tcW w:w="19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80" w:type="dxa"/>
            <w:vAlign w:val="bottom"/>
          </w:tcPr>
          <w:p>
            <w:pPr>
              <w:ind w:left="2260"/>
              <w:spacing w:after="0" w:line="243" w:lineRule="exact"/>
              <w:rPr>
                <w:sz w:val="20"/>
                <w:szCs w:val="20"/>
                <w:color w:val="auto"/>
              </w:rPr>
            </w:pPr>
            <w:r>
              <w:rPr>
                <w:rFonts w:ascii="Arial" w:cs="Arial" w:eastAsia="Arial" w:hAnsi="Arial"/>
                <w:sz w:val="22"/>
                <w:szCs w:val="22"/>
                <w:color w:val="auto"/>
              </w:rPr>
              <w:t>Title:</w:t>
            </w:r>
          </w:p>
        </w:tc>
        <w:tc>
          <w:tcPr>
            <w:tcW w:w="216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CFO and Treasurer</w:t>
            </w:r>
          </w:p>
        </w:tc>
      </w:tr>
    </w:tbl>
    <w:p>
      <w:pPr>
        <w:spacing w:after="0" w:line="200" w:lineRule="exact"/>
        <w:rPr>
          <w:sz w:val="20"/>
          <w:szCs w:val="20"/>
          <w:color w:val="auto"/>
        </w:rPr>
      </w:pPr>
    </w:p>
    <w:p>
      <w:pPr>
        <w:spacing w:after="0" w:line="242"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[Signature Page to Sixth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265430</wp:posOffset>
            </wp:positionV>
            <wp:extent cx="601599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10220"/>
          </w:cols>
          <w:pgMar w:left="1440" w:top="753" w:right="239" w:bottom="1440" w:gutter="0" w:footer="0" w:header="0"/>
        </w:sectPr>
      </w:pPr>
    </w:p>
    <w:bookmarkStart w:id="250" w:name="page251"/>
    <w:bookmarkEnd w:id="250"/>
    <w:tbl>
      <w:tblPr>
        <w:tblLayout w:type="fixed"/>
        <w:tblInd w:w="760" w:type="dxa"/>
        <w:tblCellMar>
          <w:top w:w="0" w:type="dxa"/>
          <w:left w:w="0" w:type="dxa"/>
          <w:bottom w:w="0" w:type="dxa"/>
          <w:right w:w="0" w:type="dxa"/>
        </w:tblCellMar>
      </w:tblPr>
      <w:tr>
        <w:trPr>
          <w:trHeight w:val="253"/>
        </w:trPr>
        <w:tc>
          <w:tcPr>
            <w:tcW w:w="2800" w:type="dxa"/>
            <w:vAlign w:val="bottom"/>
            <w:gridSpan w:val="4"/>
          </w:tcPr>
          <w:p>
            <w:pPr>
              <w:spacing w:after="0"/>
              <w:rPr>
                <w:sz w:val="20"/>
                <w:szCs w:val="20"/>
                <w:color w:val="auto"/>
              </w:rPr>
            </w:pPr>
            <w:r>
              <w:rPr>
                <w:rFonts w:ascii="Arial" w:cs="Arial" w:eastAsia="Arial" w:hAnsi="Arial"/>
                <w:sz w:val="22"/>
                <w:szCs w:val="22"/>
                <w:color w:val="auto"/>
              </w:rPr>
              <w:t>WYNN SUNRISE, LLC,</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40" w:type="dxa"/>
            <w:vAlign w:val="bottom"/>
            <w:gridSpan w:val="4"/>
          </w:tcPr>
          <w:p>
            <w:pPr>
              <w:ind w:left="100"/>
              <w:spacing w:after="0"/>
              <w:rPr>
                <w:sz w:val="20"/>
                <w:szCs w:val="20"/>
                <w:color w:val="auto"/>
              </w:rPr>
            </w:pPr>
            <w:r>
              <w:rPr>
                <w:rFonts w:ascii="Arial" w:cs="Arial" w:eastAsia="Arial" w:hAnsi="Arial"/>
                <w:sz w:val="22"/>
                <w:szCs w:val="22"/>
                <w:color w:val="auto"/>
              </w:rPr>
              <w:t>WORLD TRAVEL, LLC,</w:t>
            </w: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560" w:type="dxa"/>
            <w:vAlign w:val="bottom"/>
            <w:gridSpan w:val="6"/>
          </w:tcPr>
          <w:p>
            <w:pPr>
              <w:spacing w:after="0"/>
              <w:rPr>
                <w:sz w:val="20"/>
                <w:szCs w:val="20"/>
                <w:color w:val="auto"/>
              </w:rPr>
            </w:pPr>
            <w:r>
              <w:rPr>
                <w:rFonts w:ascii="Arial" w:cs="Arial" w:eastAsia="Arial" w:hAnsi="Arial"/>
                <w:sz w:val="22"/>
                <w:szCs w:val="22"/>
                <w:color w:val="auto"/>
              </w:rPr>
              <w:t>a Nevada limited liability company</w:t>
            </w:r>
          </w:p>
        </w:tc>
        <w:tc>
          <w:tcPr>
            <w:tcW w:w="4580" w:type="dxa"/>
            <w:vAlign w:val="bottom"/>
            <w:gridSpan w:val="7"/>
          </w:tcPr>
          <w:p>
            <w:pPr>
              <w:ind w:left="100"/>
              <w:spacing w:after="0"/>
              <w:rPr>
                <w:sz w:val="20"/>
                <w:szCs w:val="20"/>
                <w:color w:val="auto"/>
              </w:rPr>
            </w:pPr>
            <w:r>
              <w:rPr>
                <w:rFonts w:ascii="Arial" w:cs="Arial" w:eastAsia="Arial" w:hAnsi="Arial"/>
                <w:sz w:val="22"/>
                <w:szCs w:val="22"/>
                <w:color w:val="auto"/>
              </w:rPr>
              <w:t>a Nevada limited liability company</w:t>
            </w:r>
          </w:p>
        </w:tc>
        <w:tc>
          <w:tcPr>
            <w:tcW w:w="0" w:type="dxa"/>
            <w:vAlign w:val="bottom"/>
          </w:tcPr>
          <w:p>
            <w:pPr>
              <w:spacing w:after="0"/>
              <w:rPr>
                <w:sz w:val="1"/>
                <w:szCs w:val="1"/>
                <w:color w:val="auto"/>
              </w:rPr>
            </w:pPr>
          </w:p>
        </w:tc>
      </w:tr>
      <w:tr>
        <w:trPr>
          <w:trHeight w:val="644"/>
        </w:trPr>
        <w:tc>
          <w:tcPr>
            <w:tcW w:w="500" w:type="dxa"/>
            <w:vAlign w:val="bottom"/>
          </w:tcPr>
          <w:p>
            <w:pPr>
              <w:spacing w:after="0"/>
              <w:rPr>
                <w:sz w:val="20"/>
                <w:szCs w:val="20"/>
                <w:color w:val="auto"/>
              </w:rPr>
            </w:pPr>
            <w:r>
              <w:rPr>
                <w:rFonts w:ascii="Arial" w:cs="Arial" w:eastAsia="Arial" w:hAnsi="Arial"/>
                <w:sz w:val="22"/>
                <w:szCs w:val="22"/>
                <w:color w:val="auto"/>
              </w:rPr>
              <w:t>By:</w:t>
            </w:r>
          </w:p>
        </w:tc>
        <w:tc>
          <w:tcPr>
            <w:tcW w:w="2300" w:type="dxa"/>
            <w:vAlign w:val="bottom"/>
            <w:gridSpan w:val="3"/>
          </w:tcPr>
          <w:p>
            <w:pPr>
              <w:ind w:left="200"/>
              <w:spacing w:after="0"/>
              <w:rPr>
                <w:sz w:val="20"/>
                <w:szCs w:val="20"/>
                <w:color w:val="auto"/>
              </w:rPr>
            </w:pPr>
            <w:r>
              <w:rPr>
                <w:rFonts w:ascii="Arial" w:cs="Arial" w:eastAsia="Arial" w:hAnsi="Arial"/>
                <w:sz w:val="22"/>
                <w:szCs w:val="22"/>
                <w:color w:val="auto"/>
                <w:w w:val="92"/>
              </w:rPr>
              <w:t>Wynn Las Vegas, LLC,</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22"/>
                <w:szCs w:val="22"/>
                <w:color w:val="auto"/>
              </w:rPr>
              <w:t>By:</w:t>
            </w:r>
          </w:p>
        </w:tc>
        <w:tc>
          <w:tcPr>
            <w:tcW w:w="2240" w:type="dxa"/>
            <w:vAlign w:val="bottom"/>
            <w:gridSpan w:val="3"/>
          </w:tcPr>
          <w:p>
            <w:pPr>
              <w:ind w:left="200"/>
              <w:spacing w:after="0"/>
              <w:rPr>
                <w:sz w:val="20"/>
                <w:szCs w:val="20"/>
                <w:color w:val="auto"/>
              </w:rPr>
            </w:pPr>
            <w:r>
              <w:rPr>
                <w:rFonts w:ascii="Arial" w:cs="Arial" w:eastAsia="Arial" w:hAnsi="Arial"/>
                <w:sz w:val="22"/>
                <w:szCs w:val="22"/>
                <w:color w:val="auto"/>
                <w:w w:val="89"/>
              </w:rPr>
              <w:t>Wynn Las Vegas, LLC,</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60" w:type="dxa"/>
            <w:vAlign w:val="bottom"/>
            <w:gridSpan w:val="5"/>
          </w:tcPr>
          <w:p>
            <w:pPr>
              <w:ind w:left="200"/>
              <w:spacing w:after="0" w:line="243" w:lineRule="exact"/>
              <w:rPr>
                <w:sz w:val="20"/>
                <w:szCs w:val="20"/>
                <w:color w:val="auto"/>
              </w:rPr>
            </w:pPr>
            <w:r>
              <w:rPr>
                <w:rFonts w:ascii="Arial" w:cs="Arial" w:eastAsia="Arial" w:hAnsi="Arial"/>
                <w:sz w:val="22"/>
                <w:szCs w:val="22"/>
                <w:color w:val="auto"/>
              </w:rPr>
              <w:t>a Nevada limited liability company,</w:t>
            </w:r>
          </w:p>
        </w:tc>
        <w:tc>
          <w:tcPr>
            <w:tcW w:w="600" w:type="dxa"/>
            <w:vAlign w:val="bottom"/>
          </w:tcPr>
          <w:p>
            <w:pPr>
              <w:spacing w:after="0"/>
              <w:rPr>
                <w:sz w:val="21"/>
                <w:szCs w:val="21"/>
                <w:color w:val="auto"/>
              </w:rPr>
            </w:pPr>
          </w:p>
        </w:tc>
        <w:tc>
          <w:tcPr>
            <w:tcW w:w="3980" w:type="dxa"/>
            <w:vAlign w:val="bottom"/>
            <w:gridSpan w:val="6"/>
          </w:tcPr>
          <w:p>
            <w:pPr>
              <w:ind w:left="200"/>
              <w:spacing w:after="0" w:line="243" w:lineRule="exact"/>
              <w:rPr>
                <w:sz w:val="20"/>
                <w:szCs w:val="20"/>
                <w:color w:val="auto"/>
              </w:rPr>
            </w:pPr>
            <w:r>
              <w:rPr>
                <w:rFonts w:ascii="Arial" w:cs="Arial" w:eastAsia="Arial" w:hAnsi="Arial"/>
                <w:sz w:val="22"/>
                <w:szCs w:val="22"/>
                <w:color w:val="auto"/>
              </w:rPr>
              <w:t>a Nevada limited liability company,</w:t>
            </w:r>
          </w:p>
        </w:tc>
        <w:tc>
          <w:tcPr>
            <w:tcW w:w="0" w:type="dxa"/>
            <w:vAlign w:val="bottom"/>
          </w:tcPr>
          <w:p>
            <w:pPr>
              <w:spacing w:after="0"/>
              <w:rPr>
                <w:sz w:val="1"/>
                <w:szCs w:val="1"/>
                <w:color w:val="auto"/>
              </w:rPr>
            </w:pPr>
          </w:p>
        </w:tc>
      </w:tr>
      <w:tr>
        <w:trPr>
          <w:trHeight w:val="275"/>
        </w:trPr>
        <w:tc>
          <w:tcPr>
            <w:tcW w:w="500" w:type="dxa"/>
            <w:vAlign w:val="bottom"/>
          </w:tcPr>
          <w:p>
            <w:pPr>
              <w:spacing w:after="0"/>
              <w:rPr>
                <w:sz w:val="23"/>
                <w:szCs w:val="23"/>
                <w:color w:val="auto"/>
              </w:rPr>
            </w:pPr>
          </w:p>
        </w:tc>
        <w:tc>
          <w:tcPr>
            <w:tcW w:w="1580" w:type="dxa"/>
            <w:vAlign w:val="bottom"/>
            <w:gridSpan w:val="2"/>
          </w:tcPr>
          <w:p>
            <w:pPr>
              <w:ind w:left="200"/>
              <w:spacing w:after="0"/>
              <w:rPr>
                <w:sz w:val="20"/>
                <w:szCs w:val="20"/>
                <w:color w:val="auto"/>
              </w:rPr>
            </w:pPr>
            <w:r>
              <w:rPr>
                <w:rFonts w:ascii="Arial" w:cs="Arial" w:eastAsia="Arial" w:hAnsi="Arial"/>
                <w:sz w:val="22"/>
                <w:szCs w:val="22"/>
                <w:color w:val="auto"/>
                <w:w w:val="87"/>
              </w:rPr>
              <w:t>its sole member</w:t>
            </w: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80" w:type="dxa"/>
            <w:vAlign w:val="bottom"/>
            <w:gridSpan w:val="2"/>
          </w:tcPr>
          <w:p>
            <w:pPr>
              <w:ind w:left="200"/>
              <w:spacing w:after="0"/>
              <w:rPr>
                <w:sz w:val="20"/>
                <w:szCs w:val="20"/>
                <w:color w:val="auto"/>
              </w:rPr>
            </w:pPr>
            <w:r>
              <w:rPr>
                <w:rFonts w:ascii="Arial" w:cs="Arial" w:eastAsia="Arial" w:hAnsi="Arial"/>
                <w:sz w:val="22"/>
                <w:szCs w:val="22"/>
                <w:color w:val="auto"/>
                <w:w w:val="87"/>
              </w:rPr>
              <w:t>its sole member</w:t>
            </w: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500" w:type="dxa"/>
            <w:vAlign w:val="bottom"/>
          </w:tcPr>
          <w:p>
            <w:pPr>
              <w:spacing w:after="0"/>
              <w:rPr>
                <w:sz w:val="24"/>
                <w:szCs w:val="24"/>
                <w:color w:val="auto"/>
              </w:rPr>
            </w:pPr>
          </w:p>
        </w:tc>
        <w:tc>
          <w:tcPr>
            <w:tcW w:w="700" w:type="dxa"/>
            <w:vAlign w:val="bottom"/>
          </w:tcPr>
          <w:p>
            <w:pPr>
              <w:ind w:left="200"/>
              <w:spacing w:after="0"/>
              <w:rPr>
                <w:sz w:val="20"/>
                <w:szCs w:val="20"/>
                <w:color w:val="auto"/>
              </w:rPr>
            </w:pPr>
            <w:r>
              <w:rPr>
                <w:rFonts w:ascii="Arial" w:cs="Arial" w:eastAsia="Arial" w:hAnsi="Arial"/>
                <w:sz w:val="22"/>
                <w:szCs w:val="22"/>
                <w:color w:val="auto"/>
              </w:rPr>
              <w:t>By:</w:t>
            </w:r>
          </w:p>
        </w:tc>
        <w:tc>
          <w:tcPr>
            <w:tcW w:w="3360" w:type="dxa"/>
            <w:vAlign w:val="bottom"/>
            <w:gridSpan w:val="4"/>
          </w:tcPr>
          <w:p>
            <w:pPr>
              <w:ind w:left="200"/>
              <w:spacing w:after="0"/>
              <w:rPr>
                <w:sz w:val="20"/>
                <w:szCs w:val="20"/>
                <w:color w:val="auto"/>
              </w:rPr>
            </w:pPr>
            <w:r>
              <w:rPr>
                <w:rFonts w:ascii="Arial" w:cs="Arial" w:eastAsia="Arial" w:hAnsi="Arial"/>
                <w:sz w:val="22"/>
                <w:szCs w:val="22"/>
                <w:color w:val="auto"/>
              </w:rPr>
              <w:t>Wynn Resorts Holdings, LLC,</w:t>
            </w:r>
          </w:p>
        </w:tc>
        <w:tc>
          <w:tcPr>
            <w:tcW w:w="600" w:type="dxa"/>
            <w:vAlign w:val="bottom"/>
          </w:tcPr>
          <w:p>
            <w:pPr>
              <w:spacing w:after="0"/>
              <w:rPr>
                <w:sz w:val="24"/>
                <w:szCs w:val="24"/>
                <w:color w:val="auto"/>
              </w:rPr>
            </w:pPr>
          </w:p>
        </w:tc>
        <w:tc>
          <w:tcPr>
            <w:tcW w:w="700" w:type="dxa"/>
            <w:vAlign w:val="bottom"/>
          </w:tcPr>
          <w:p>
            <w:pPr>
              <w:ind w:left="200"/>
              <w:spacing w:after="0"/>
              <w:rPr>
                <w:sz w:val="20"/>
                <w:szCs w:val="20"/>
                <w:color w:val="auto"/>
              </w:rPr>
            </w:pPr>
            <w:r>
              <w:rPr>
                <w:rFonts w:ascii="Arial" w:cs="Arial" w:eastAsia="Arial" w:hAnsi="Arial"/>
                <w:sz w:val="22"/>
                <w:szCs w:val="22"/>
                <w:color w:val="auto"/>
              </w:rPr>
              <w:t>By:</w:t>
            </w:r>
          </w:p>
        </w:tc>
        <w:tc>
          <w:tcPr>
            <w:tcW w:w="3280" w:type="dxa"/>
            <w:vAlign w:val="bottom"/>
            <w:gridSpan w:val="5"/>
          </w:tcPr>
          <w:p>
            <w:pPr>
              <w:ind w:left="200"/>
              <w:spacing w:after="0"/>
              <w:rPr>
                <w:sz w:val="20"/>
                <w:szCs w:val="20"/>
                <w:color w:val="auto"/>
              </w:rPr>
            </w:pPr>
            <w:r>
              <w:rPr>
                <w:rFonts w:ascii="Arial" w:cs="Arial" w:eastAsia="Arial" w:hAnsi="Arial"/>
                <w:sz w:val="22"/>
                <w:szCs w:val="22"/>
                <w:color w:val="auto"/>
              </w:rPr>
              <w:t>Wynn Resorts Holdings, LLC,</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360" w:type="dxa"/>
            <w:vAlign w:val="bottom"/>
            <w:gridSpan w:val="4"/>
          </w:tcPr>
          <w:p>
            <w:pPr>
              <w:ind w:left="200"/>
              <w:spacing w:after="0" w:line="243" w:lineRule="exact"/>
              <w:rPr>
                <w:sz w:val="20"/>
                <w:szCs w:val="20"/>
                <w:color w:val="auto"/>
              </w:rPr>
            </w:pPr>
            <w:r>
              <w:rPr>
                <w:rFonts w:ascii="Arial" w:cs="Arial" w:eastAsia="Arial" w:hAnsi="Arial"/>
                <w:sz w:val="22"/>
                <w:szCs w:val="22"/>
                <w:color w:val="auto"/>
                <w:w w:val="93"/>
              </w:rPr>
              <w:t>a Nevada limited liability company,</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80" w:type="dxa"/>
            <w:vAlign w:val="bottom"/>
            <w:gridSpan w:val="5"/>
          </w:tcPr>
          <w:p>
            <w:pPr>
              <w:ind w:left="200"/>
              <w:spacing w:after="0" w:line="243" w:lineRule="exact"/>
              <w:rPr>
                <w:sz w:val="20"/>
                <w:szCs w:val="20"/>
                <w:color w:val="auto"/>
              </w:rPr>
            </w:pPr>
            <w:r>
              <w:rPr>
                <w:rFonts w:ascii="Arial" w:cs="Arial" w:eastAsia="Arial" w:hAnsi="Arial"/>
                <w:sz w:val="22"/>
                <w:szCs w:val="22"/>
                <w:color w:val="auto"/>
                <w:w w:val="90"/>
              </w:rPr>
              <w:t>a Nevada limited liability company,</w:t>
            </w:r>
          </w:p>
        </w:tc>
        <w:tc>
          <w:tcPr>
            <w:tcW w:w="0" w:type="dxa"/>
            <w:vAlign w:val="bottom"/>
          </w:tcPr>
          <w:p>
            <w:pPr>
              <w:spacing w:after="0"/>
              <w:rPr>
                <w:sz w:val="1"/>
                <w:szCs w:val="1"/>
                <w:color w:val="auto"/>
              </w:rPr>
            </w:pPr>
          </w:p>
        </w:tc>
      </w:tr>
      <w:tr>
        <w:trPr>
          <w:trHeight w:val="275"/>
        </w:trPr>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0" w:type="dxa"/>
            <w:vAlign w:val="bottom"/>
            <w:gridSpan w:val="2"/>
          </w:tcPr>
          <w:p>
            <w:pPr>
              <w:ind w:left="200"/>
              <w:spacing w:after="0"/>
              <w:rPr>
                <w:sz w:val="20"/>
                <w:szCs w:val="20"/>
                <w:color w:val="auto"/>
              </w:rPr>
            </w:pPr>
            <w:r>
              <w:rPr>
                <w:rFonts w:ascii="Arial" w:cs="Arial" w:eastAsia="Arial" w:hAnsi="Arial"/>
                <w:sz w:val="22"/>
                <w:szCs w:val="22"/>
                <w:color w:val="auto"/>
                <w:w w:val="88"/>
              </w:rPr>
              <w:t>its sole member</w:t>
            </w: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80" w:type="dxa"/>
            <w:vAlign w:val="bottom"/>
            <w:gridSpan w:val="5"/>
          </w:tcPr>
          <w:p>
            <w:pPr>
              <w:ind w:left="200"/>
              <w:spacing w:after="0"/>
              <w:rPr>
                <w:sz w:val="20"/>
                <w:szCs w:val="20"/>
                <w:color w:val="auto"/>
              </w:rPr>
            </w:pPr>
            <w:r>
              <w:rPr>
                <w:rFonts w:ascii="Arial" w:cs="Arial" w:eastAsia="Arial" w:hAnsi="Arial"/>
                <w:sz w:val="22"/>
                <w:szCs w:val="22"/>
                <w:color w:val="auto"/>
              </w:rPr>
              <w:t>its sole member</w:t>
            </w:r>
          </w:p>
        </w:tc>
        <w:tc>
          <w:tcPr>
            <w:tcW w:w="0" w:type="dxa"/>
            <w:vAlign w:val="bottom"/>
          </w:tcPr>
          <w:p>
            <w:pPr>
              <w:spacing w:after="0"/>
              <w:rPr>
                <w:sz w:val="1"/>
                <w:szCs w:val="1"/>
                <w:color w:val="auto"/>
              </w:rPr>
            </w:pPr>
          </w:p>
        </w:tc>
      </w:tr>
      <w:tr>
        <w:trPr>
          <w:trHeight w:val="428"/>
        </w:trPr>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ind w:left="200"/>
              <w:spacing w:after="0"/>
              <w:rPr>
                <w:sz w:val="20"/>
                <w:szCs w:val="20"/>
                <w:color w:val="auto"/>
              </w:rPr>
            </w:pPr>
            <w:r>
              <w:rPr>
                <w:rFonts w:ascii="Arial" w:cs="Arial" w:eastAsia="Arial" w:hAnsi="Arial"/>
                <w:sz w:val="22"/>
                <w:szCs w:val="22"/>
                <w:color w:val="auto"/>
              </w:rPr>
              <w:t>By:</w:t>
            </w:r>
          </w:p>
        </w:tc>
        <w:tc>
          <w:tcPr>
            <w:tcW w:w="2480" w:type="dxa"/>
            <w:vAlign w:val="bottom"/>
            <w:gridSpan w:val="3"/>
          </w:tcPr>
          <w:p>
            <w:pPr>
              <w:ind w:left="20"/>
              <w:spacing w:after="0"/>
              <w:rPr>
                <w:sz w:val="20"/>
                <w:szCs w:val="20"/>
                <w:color w:val="auto"/>
              </w:rPr>
            </w:pPr>
            <w:r>
              <w:rPr>
                <w:rFonts w:ascii="Arial" w:cs="Arial" w:eastAsia="Arial" w:hAnsi="Arial"/>
                <w:sz w:val="22"/>
                <w:szCs w:val="22"/>
                <w:color w:val="auto"/>
              </w:rPr>
              <w:t>Wynn Resorts, Limited,</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ind w:left="200"/>
              <w:spacing w:after="0"/>
              <w:rPr>
                <w:sz w:val="20"/>
                <w:szCs w:val="20"/>
                <w:color w:val="auto"/>
              </w:rPr>
            </w:pPr>
            <w:r>
              <w:rPr>
                <w:rFonts w:ascii="Arial" w:cs="Arial" w:eastAsia="Arial" w:hAnsi="Arial"/>
                <w:sz w:val="22"/>
                <w:szCs w:val="22"/>
                <w:color w:val="auto"/>
              </w:rPr>
              <w:t>By:</w:t>
            </w:r>
          </w:p>
        </w:tc>
        <w:tc>
          <w:tcPr>
            <w:tcW w:w="2400" w:type="dxa"/>
            <w:vAlign w:val="bottom"/>
            <w:gridSpan w:val="4"/>
          </w:tcPr>
          <w:p>
            <w:pPr>
              <w:ind w:left="20"/>
              <w:spacing w:after="0"/>
              <w:rPr>
                <w:sz w:val="20"/>
                <w:szCs w:val="20"/>
                <w:color w:val="auto"/>
              </w:rPr>
            </w:pPr>
            <w:r>
              <w:rPr>
                <w:rFonts w:ascii="Arial" w:cs="Arial" w:eastAsia="Arial" w:hAnsi="Arial"/>
                <w:sz w:val="22"/>
                <w:szCs w:val="22"/>
                <w:color w:val="auto"/>
              </w:rPr>
              <w:t>Wynn Resorts, Limited,</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8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a Nevada corporation,</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0" w:type="dxa"/>
            <w:vAlign w:val="bottom"/>
            <w:gridSpan w:val="4"/>
          </w:tcPr>
          <w:p>
            <w:pPr>
              <w:ind w:left="20"/>
              <w:spacing w:after="0" w:line="243" w:lineRule="exact"/>
              <w:rPr>
                <w:sz w:val="20"/>
                <w:szCs w:val="20"/>
                <w:color w:val="auto"/>
              </w:rPr>
            </w:pPr>
            <w:r>
              <w:rPr>
                <w:rFonts w:ascii="Arial" w:cs="Arial" w:eastAsia="Arial" w:hAnsi="Arial"/>
                <w:sz w:val="22"/>
                <w:szCs w:val="22"/>
                <w:color w:val="auto"/>
              </w:rPr>
              <w:t>a Nevada corporation,</w:t>
            </w:r>
          </w:p>
        </w:tc>
        <w:tc>
          <w:tcPr>
            <w:tcW w:w="0" w:type="dxa"/>
            <w:vAlign w:val="bottom"/>
          </w:tcPr>
          <w:p>
            <w:pPr>
              <w:spacing w:after="0"/>
              <w:rPr>
                <w:sz w:val="1"/>
                <w:szCs w:val="1"/>
                <w:color w:val="auto"/>
              </w:rPr>
            </w:pPr>
          </w:p>
        </w:tc>
      </w:tr>
      <w:tr>
        <w:trPr>
          <w:trHeight w:val="275"/>
        </w:trPr>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80" w:type="dxa"/>
            <w:vAlign w:val="bottom"/>
            <w:gridSpan w:val="3"/>
          </w:tcPr>
          <w:p>
            <w:pPr>
              <w:ind w:left="20"/>
              <w:spacing w:after="0"/>
              <w:rPr>
                <w:sz w:val="20"/>
                <w:szCs w:val="20"/>
                <w:color w:val="auto"/>
              </w:rPr>
            </w:pPr>
            <w:r>
              <w:rPr>
                <w:rFonts w:ascii="Arial" w:cs="Arial" w:eastAsia="Arial" w:hAnsi="Arial"/>
                <w:sz w:val="22"/>
                <w:szCs w:val="22"/>
                <w:color w:val="auto"/>
              </w:rPr>
              <w:t>its sole member</w:t>
            </w: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40" w:type="dxa"/>
            <w:vAlign w:val="bottom"/>
            <w:gridSpan w:val="3"/>
          </w:tcPr>
          <w:p>
            <w:pPr>
              <w:spacing w:after="0"/>
              <w:rPr>
                <w:sz w:val="20"/>
                <w:szCs w:val="20"/>
                <w:color w:val="auto"/>
              </w:rPr>
            </w:pPr>
            <w:r>
              <w:rPr>
                <w:rFonts w:ascii="Arial" w:cs="Arial" w:eastAsia="Arial" w:hAnsi="Arial"/>
                <w:sz w:val="22"/>
                <w:szCs w:val="22"/>
                <w:color w:val="auto"/>
              </w:rPr>
              <w:t>its sole member</w:t>
            </w:r>
          </w:p>
        </w:tc>
        <w:tc>
          <w:tcPr>
            <w:tcW w:w="0" w:type="dxa"/>
            <w:vAlign w:val="bottom"/>
          </w:tcPr>
          <w:p>
            <w:pPr>
              <w:spacing w:after="0"/>
              <w:rPr>
                <w:sz w:val="1"/>
                <w:szCs w:val="1"/>
                <w:color w:val="auto"/>
              </w:rPr>
            </w:pPr>
          </w:p>
        </w:tc>
      </w:tr>
      <w:tr>
        <w:trPr>
          <w:trHeight w:val="428"/>
        </w:trPr>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22"/>
                <w:szCs w:val="22"/>
                <w:color w:val="auto"/>
              </w:rPr>
              <w:t>By:</w:t>
            </w:r>
          </w:p>
        </w:tc>
        <w:tc>
          <w:tcPr>
            <w:tcW w:w="1760" w:type="dxa"/>
            <w:vAlign w:val="bottom"/>
            <w:gridSpan w:val="2"/>
          </w:tcPr>
          <w:p>
            <w:pPr>
              <w:ind w:left="660"/>
              <w:spacing w:after="0"/>
              <w:rPr>
                <w:sz w:val="20"/>
                <w:szCs w:val="20"/>
                <w:color w:val="auto"/>
              </w:rPr>
            </w:pPr>
            <w:r>
              <w:rPr>
                <w:rFonts w:ascii="Arial" w:cs="Arial" w:eastAsia="Arial" w:hAnsi="Arial"/>
                <w:sz w:val="22"/>
                <w:szCs w:val="22"/>
                <w:color w:val="auto"/>
              </w:rPr>
              <w:t>/s/</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22"/>
                <w:szCs w:val="22"/>
                <w:color w:val="auto"/>
              </w:rPr>
              <w:t>By:</w:t>
            </w:r>
          </w:p>
        </w:tc>
        <w:tc>
          <w:tcPr>
            <w:tcW w:w="80" w:type="dxa"/>
            <w:vAlign w:val="bottom"/>
          </w:tcPr>
          <w:p>
            <w:pPr>
              <w:spacing w:after="0"/>
              <w:rPr>
                <w:sz w:val="24"/>
                <w:szCs w:val="24"/>
                <w:color w:val="auto"/>
              </w:rPr>
            </w:pPr>
          </w:p>
        </w:tc>
        <w:tc>
          <w:tcPr>
            <w:tcW w:w="1660" w:type="dxa"/>
            <w:vAlign w:val="bottom"/>
            <w:gridSpan w:val="2"/>
          </w:tcPr>
          <w:p>
            <w:pPr>
              <w:ind w:left="640"/>
              <w:spacing w:after="0"/>
              <w:rPr>
                <w:sz w:val="20"/>
                <w:szCs w:val="20"/>
                <w:color w:val="auto"/>
              </w:rPr>
            </w:pPr>
            <w:r>
              <w:rPr>
                <w:rFonts w:ascii="Arial" w:cs="Arial" w:eastAsia="Arial" w:hAnsi="Arial"/>
                <w:sz w:val="22"/>
                <w:szCs w:val="22"/>
                <w:color w:val="auto"/>
              </w:rPr>
              <w:t>/s/</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60" w:type="dxa"/>
            <w:vAlign w:val="bottom"/>
            <w:gridSpan w:val="2"/>
          </w:tcPr>
          <w:p>
            <w:pPr>
              <w:spacing w:after="0" w:line="243" w:lineRule="exact"/>
              <w:rPr>
                <w:sz w:val="20"/>
                <w:szCs w:val="20"/>
                <w:color w:val="auto"/>
              </w:rPr>
            </w:pPr>
            <w:r>
              <w:rPr>
                <w:rFonts w:ascii="Arial" w:cs="Arial" w:eastAsia="Arial" w:hAnsi="Arial"/>
                <w:sz w:val="22"/>
                <w:szCs w:val="22"/>
                <w:color w:val="auto"/>
              </w:rPr>
              <w:t>Matt</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74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Matt Maddox</w:t>
            </w:r>
          </w:p>
        </w:tc>
        <w:tc>
          <w:tcPr>
            <w:tcW w:w="0" w:type="dxa"/>
            <w:vAlign w:val="bottom"/>
          </w:tcPr>
          <w:p>
            <w:pPr>
              <w:spacing w:after="0"/>
              <w:rPr>
                <w:sz w:val="1"/>
                <w:szCs w:val="1"/>
                <w:color w:val="auto"/>
              </w:rPr>
            </w:pPr>
          </w:p>
        </w:tc>
      </w:tr>
      <w:tr>
        <w:trPr>
          <w:trHeight w:val="272"/>
        </w:trPr>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vMerge w:val="restart"/>
          </w:tcPr>
          <w:p>
            <w:pPr>
              <w:ind w:left="20"/>
              <w:spacing w:after="0"/>
              <w:rPr>
                <w:sz w:val="20"/>
                <w:szCs w:val="20"/>
                <w:color w:val="auto"/>
              </w:rPr>
            </w:pPr>
            <w:r>
              <w:rPr>
                <w:rFonts w:ascii="Arial" w:cs="Arial" w:eastAsia="Arial" w:hAnsi="Arial"/>
                <w:sz w:val="22"/>
                <w:szCs w:val="22"/>
                <w:color w:val="auto"/>
              </w:rPr>
              <w:t>Name:</w:t>
            </w:r>
          </w:p>
        </w:tc>
        <w:tc>
          <w:tcPr>
            <w:tcW w:w="1760" w:type="dxa"/>
            <w:vAlign w:val="bottom"/>
            <w:gridSpan w:val="2"/>
          </w:tcPr>
          <w:p>
            <w:pPr>
              <w:spacing w:after="0"/>
              <w:rPr>
                <w:sz w:val="20"/>
                <w:szCs w:val="20"/>
                <w:color w:val="auto"/>
              </w:rPr>
            </w:pPr>
            <w:r>
              <w:rPr>
                <w:rFonts w:ascii="Arial" w:cs="Arial" w:eastAsia="Arial" w:hAnsi="Arial"/>
                <w:sz w:val="22"/>
                <w:szCs w:val="22"/>
                <w:color w:val="auto"/>
              </w:rPr>
              <w:t>Maddox</w:t>
            </w: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vMerge w:val="restart"/>
          </w:tcPr>
          <w:p>
            <w:pPr>
              <w:ind w:left="20"/>
              <w:spacing w:after="0"/>
              <w:rPr>
                <w:sz w:val="20"/>
                <w:szCs w:val="20"/>
                <w:color w:val="auto"/>
              </w:rPr>
            </w:pPr>
            <w:r>
              <w:rPr>
                <w:rFonts w:ascii="Arial" w:cs="Arial" w:eastAsia="Arial" w:hAnsi="Arial"/>
                <w:sz w:val="22"/>
                <w:szCs w:val="22"/>
                <w:color w:val="auto"/>
                <w:w w:val="95"/>
              </w:rPr>
              <w:t>Name:</w:t>
            </w: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140" w:type="dxa"/>
            <w:vAlign w:val="bottom"/>
            <w:tcBorders>
              <w:top w:val="single" w:sz="8" w:color="auto"/>
            </w:tcBorders>
          </w:tcPr>
          <w:p>
            <w:pPr>
              <w:ind w:left="660"/>
              <w:spacing w:after="0" w:line="222" w:lineRule="exact"/>
              <w:rPr>
                <w:sz w:val="20"/>
                <w:szCs w:val="20"/>
                <w:color w:val="auto"/>
              </w:rPr>
            </w:pPr>
            <w:r>
              <w:rPr>
                <w:rFonts w:ascii="Arial" w:cs="Arial" w:eastAsia="Arial" w:hAnsi="Arial"/>
                <w:sz w:val="22"/>
                <w:szCs w:val="22"/>
                <w:color w:val="auto"/>
              </w:rPr>
              <w:t>Matt</w:t>
            </w: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Borders>
              <w:top w:val="single" w:sz="8" w:color="auto"/>
            </w:tcBorders>
          </w:tcPr>
          <w:p>
            <w:pPr>
              <w:ind w:left="640"/>
              <w:spacing w:after="0" w:line="222" w:lineRule="exact"/>
              <w:rPr>
                <w:sz w:val="20"/>
                <w:szCs w:val="20"/>
                <w:color w:val="auto"/>
              </w:rPr>
            </w:pPr>
            <w:r>
              <w:rPr>
                <w:rFonts w:ascii="Arial" w:cs="Arial" w:eastAsia="Arial" w:hAnsi="Arial"/>
                <w:sz w:val="22"/>
                <w:szCs w:val="22"/>
                <w:color w:val="auto"/>
              </w:rPr>
              <w:t>Matt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vMerge w:val="restart"/>
          </w:tcPr>
          <w:p>
            <w:pPr>
              <w:ind w:left="20"/>
              <w:spacing w:after="0"/>
              <w:rPr>
                <w:sz w:val="20"/>
                <w:szCs w:val="20"/>
                <w:color w:val="auto"/>
              </w:rPr>
            </w:pPr>
            <w:r>
              <w:rPr>
                <w:rFonts w:ascii="Arial" w:cs="Arial" w:eastAsia="Arial" w:hAnsi="Arial"/>
                <w:sz w:val="22"/>
                <w:szCs w:val="22"/>
                <w:color w:val="auto"/>
              </w:rPr>
              <w:t>Title:</w:t>
            </w:r>
          </w:p>
        </w:tc>
        <w:tc>
          <w:tcPr>
            <w:tcW w:w="1760" w:type="dxa"/>
            <w:vAlign w:val="bottom"/>
            <w:gridSpan w:val="2"/>
          </w:tcPr>
          <w:p>
            <w:pPr>
              <w:spacing w:after="0"/>
              <w:rPr>
                <w:sz w:val="20"/>
                <w:szCs w:val="20"/>
                <w:color w:val="auto"/>
              </w:rPr>
            </w:pPr>
            <w:r>
              <w:rPr>
                <w:rFonts w:ascii="Arial" w:cs="Arial" w:eastAsia="Arial" w:hAnsi="Arial"/>
                <w:sz w:val="22"/>
                <w:szCs w:val="22"/>
                <w:color w:val="auto"/>
              </w:rPr>
              <w:t>Maddox</w:t>
            </w: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vMerge w:val="restart"/>
          </w:tcPr>
          <w:p>
            <w:pPr>
              <w:ind w:left="20"/>
              <w:spacing w:after="0"/>
              <w:rPr>
                <w:sz w:val="20"/>
                <w:szCs w:val="20"/>
                <w:color w:val="auto"/>
              </w:rPr>
            </w:pPr>
            <w:r>
              <w:rPr>
                <w:rFonts w:ascii="Arial" w:cs="Arial" w:eastAsia="Arial" w:hAnsi="Arial"/>
                <w:sz w:val="22"/>
                <w:szCs w:val="22"/>
                <w:color w:val="auto"/>
              </w:rPr>
              <w:t>Title:</w:t>
            </w:r>
          </w:p>
        </w:tc>
        <w:tc>
          <w:tcPr>
            <w:tcW w:w="1740" w:type="dxa"/>
            <w:vAlign w:val="bottom"/>
            <w:gridSpan w:val="3"/>
          </w:tcPr>
          <w:p>
            <w:pPr>
              <w:ind w:left="80"/>
              <w:spacing w:after="0"/>
              <w:rPr>
                <w:sz w:val="20"/>
                <w:szCs w:val="20"/>
                <w:color w:val="auto"/>
              </w:rPr>
            </w:pPr>
            <w:r>
              <w:rPr>
                <w:rFonts w:ascii="Arial" w:cs="Arial" w:eastAsia="Arial" w:hAnsi="Arial"/>
                <w:sz w:val="22"/>
                <w:szCs w:val="22"/>
                <w:color w:val="auto"/>
              </w:rPr>
              <w:t>Maddox</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140" w:type="dxa"/>
            <w:vAlign w:val="bottom"/>
            <w:tcBorders>
              <w:top w:val="single" w:sz="8" w:color="auto"/>
            </w:tcBorders>
          </w:tcPr>
          <w:p>
            <w:pPr>
              <w:ind w:left="660"/>
              <w:spacing w:after="0" w:line="222" w:lineRule="exact"/>
              <w:rPr>
                <w:sz w:val="20"/>
                <w:szCs w:val="20"/>
                <w:color w:val="auto"/>
              </w:rPr>
            </w:pPr>
            <w:r>
              <w:rPr>
                <w:rFonts w:ascii="Arial" w:cs="Arial" w:eastAsia="Arial" w:hAnsi="Arial"/>
                <w:sz w:val="22"/>
                <w:szCs w:val="22"/>
                <w:color w:val="auto"/>
                <w:w w:val="98"/>
              </w:rPr>
              <w:t>CFO</w:t>
            </w: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Borders>
              <w:top w:val="single" w:sz="8" w:color="auto"/>
            </w:tcBorders>
          </w:tcPr>
          <w:p>
            <w:pPr>
              <w:ind w:left="640"/>
              <w:spacing w:after="0" w:line="222" w:lineRule="exact"/>
              <w:rPr>
                <w:sz w:val="20"/>
                <w:szCs w:val="20"/>
                <w:color w:val="auto"/>
              </w:rPr>
            </w:pPr>
            <w:r>
              <w:rPr>
                <w:rFonts w:ascii="Arial" w:cs="Arial" w:eastAsia="Arial" w:hAnsi="Arial"/>
                <w:sz w:val="22"/>
                <w:szCs w:val="22"/>
                <w:color w:val="auto"/>
              </w:rPr>
              <w:t>CFO</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60" w:type="dxa"/>
            <w:vAlign w:val="bottom"/>
            <w:gridSpan w:val="2"/>
          </w:tcPr>
          <w:p>
            <w:pPr>
              <w:spacing w:after="0" w:line="243" w:lineRule="exact"/>
              <w:rPr>
                <w:sz w:val="20"/>
                <w:szCs w:val="20"/>
                <w:color w:val="auto"/>
              </w:rPr>
            </w:pPr>
            <w:r>
              <w:rPr>
                <w:rFonts w:ascii="Arial" w:cs="Arial" w:eastAsia="Arial" w:hAnsi="Arial"/>
                <w:sz w:val="22"/>
                <w:szCs w:val="22"/>
                <w:color w:val="auto"/>
              </w:rPr>
              <w:t>and</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74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and Treasurer</w:t>
            </w:r>
          </w:p>
        </w:tc>
        <w:tc>
          <w:tcPr>
            <w:tcW w:w="0" w:type="dxa"/>
            <w:vAlign w:val="bottom"/>
          </w:tcPr>
          <w:p>
            <w:pPr>
              <w:spacing w:after="0"/>
              <w:rPr>
                <w:sz w:val="1"/>
                <w:szCs w:val="1"/>
                <w:color w:val="auto"/>
              </w:rPr>
            </w:pPr>
          </w:p>
        </w:tc>
      </w:tr>
      <w:tr>
        <w:trPr>
          <w:trHeight w:val="272"/>
        </w:trPr>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Treasurer</w:t>
            </w:r>
          </w:p>
        </w:tc>
        <w:tc>
          <w:tcPr>
            <w:tcW w:w="6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[Signature Page to Sixth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265430</wp:posOffset>
            </wp:positionV>
            <wp:extent cx="601599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9900"/>
          </w:cols>
          <w:pgMar w:left="1440" w:top="743" w:right="559" w:bottom="1440" w:gutter="0" w:footer="0" w:header="0"/>
        </w:sectPr>
      </w:pPr>
    </w:p>
    <w:bookmarkStart w:id="251" w:name="page252"/>
    <w:bookmarkEnd w:id="251"/>
    <w:tbl>
      <w:tblPr>
        <w:tblLayout w:type="fixed"/>
        <w:tblInd w:w="760" w:type="dxa"/>
        <w:tblCellMar>
          <w:top w:w="0" w:type="dxa"/>
          <w:left w:w="0" w:type="dxa"/>
          <w:bottom w:w="0" w:type="dxa"/>
          <w:right w:w="0" w:type="dxa"/>
        </w:tblCellMar>
      </w:tblPr>
      <w:tr>
        <w:trPr>
          <w:trHeight w:val="253"/>
        </w:trPr>
        <w:tc>
          <w:tcPr>
            <w:tcW w:w="2740" w:type="dxa"/>
            <w:vAlign w:val="bottom"/>
            <w:gridSpan w:val="4"/>
          </w:tcPr>
          <w:p>
            <w:pPr>
              <w:spacing w:after="0"/>
              <w:rPr>
                <w:sz w:val="20"/>
                <w:szCs w:val="20"/>
                <w:color w:val="auto"/>
              </w:rPr>
            </w:pPr>
            <w:r>
              <w:rPr>
                <w:rFonts w:ascii="Arial" w:cs="Arial" w:eastAsia="Arial" w:hAnsi="Arial"/>
                <w:sz w:val="22"/>
                <w:szCs w:val="22"/>
                <w:color w:val="auto"/>
              </w:rPr>
              <w:t>LAS VEGAS JET, LLC,</w:t>
            </w: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580" w:type="dxa"/>
            <w:vAlign w:val="bottom"/>
            <w:gridSpan w:val="7"/>
          </w:tcPr>
          <w:p>
            <w:pPr>
              <w:ind w:left="100"/>
              <w:spacing w:after="0"/>
              <w:rPr>
                <w:sz w:val="20"/>
                <w:szCs w:val="20"/>
                <w:color w:val="auto"/>
              </w:rPr>
            </w:pPr>
            <w:r>
              <w:rPr>
                <w:rFonts w:ascii="Arial" w:cs="Arial" w:eastAsia="Arial" w:hAnsi="Arial"/>
                <w:sz w:val="22"/>
                <w:szCs w:val="22"/>
                <w:color w:val="auto"/>
              </w:rPr>
              <w:t>WYNN SHOW PERFORMERS, LLC,</w:t>
            </w:r>
          </w:p>
        </w:tc>
        <w:tc>
          <w:tcPr>
            <w:tcW w:w="0" w:type="dxa"/>
            <w:vAlign w:val="bottom"/>
          </w:tcPr>
          <w:p>
            <w:pPr>
              <w:spacing w:after="0"/>
              <w:rPr>
                <w:sz w:val="1"/>
                <w:szCs w:val="1"/>
                <w:color w:val="auto"/>
              </w:rPr>
            </w:pPr>
          </w:p>
        </w:tc>
      </w:tr>
      <w:tr>
        <w:trPr>
          <w:trHeight w:val="275"/>
        </w:trPr>
        <w:tc>
          <w:tcPr>
            <w:tcW w:w="4560" w:type="dxa"/>
            <w:vAlign w:val="bottom"/>
            <w:gridSpan w:val="7"/>
          </w:tcPr>
          <w:p>
            <w:pPr>
              <w:spacing w:after="0"/>
              <w:rPr>
                <w:sz w:val="20"/>
                <w:szCs w:val="20"/>
                <w:color w:val="auto"/>
              </w:rPr>
            </w:pPr>
            <w:r>
              <w:rPr>
                <w:rFonts w:ascii="Arial" w:cs="Arial" w:eastAsia="Arial" w:hAnsi="Arial"/>
                <w:sz w:val="22"/>
                <w:szCs w:val="22"/>
                <w:color w:val="auto"/>
              </w:rPr>
              <w:t>a Nevada limited liability company</w:t>
            </w:r>
          </w:p>
        </w:tc>
        <w:tc>
          <w:tcPr>
            <w:tcW w:w="4580" w:type="dxa"/>
            <w:vAlign w:val="bottom"/>
            <w:gridSpan w:val="7"/>
          </w:tcPr>
          <w:p>
            <w:pPr>
              <w:ind w:left="100"/>
              <w:spacing w:after="0"/>
              <w:rPr>
                <w:sz w:val="20"/>
                <w:szCs w:val="20"/>
                <w:color w:val="auto"/>
              </w:rPr>
            </w:pPr>
            <w:r>
              <w:rPr>
                <w:rFonts w:ascii="Arial" w:cs="Arial" w:eastAsia="Arial" w:hAnsi="Arial"/>
                <w:sz w:val="22"/>
                <w:szCs w:val="22"/>
                <w:color w:val="auto"/>
              </w:rPr>
              <w:t>a Nevada limited liability company</w:t>
            </w:r>
          </w:p>
        </w:tc>
        <w:tc>
          <w:tcPr>
            <w:tcW w:w="0" w:type="dxa"/>
            <w:vAlign w:val="bottom"/>
          </w:tcPr>
          <w:p>
            <w:pPr>
              <w:spacing w:after="0"/>
              <w:rPr>
                <w:sz w:val="1"/>
                <w:szCs w:val="1"/>
                <w:color w:val="auto"/>
              </w:rPr>
            </w:pPr>
          </w:p>
        </w:tc>
      </w:tr>
      <w:tr>
        <w:trPr>
          <w:trHeight w:val="644"/>
        </w:trPr>
        <w:tc>
          <w:tcPr>
            <w:tcW w:w="500" w:type="dxa"/>
            <w:vAlign w:val="bottom"/>
          </w:tcPr>
          <w:p>
            <w:pPr>
              <w:spacing w:after="0"/>
              <w:rPr>
                <w:sz w:val="20"/>
                <w:szCs w:val="20"/>
                <w:color w:val="auto"/>
              </w:rPr>
            </w:pPr>
            <w:r>
              <w:rPr>
                <w:rFonts w:ascii="Arial" w:cs="Arial" w:eastAsia="Arial" w:hAnsi="Arial"/>
                <w:sz w:val="22"/>
                <w:szCs w:val="22"/>
                <w:color w:val="auto"/>
              </w:rPr>
              <w:t>By:</w:t>
            </w:r>
          </w:p>
        </w:tc>
        <w:tc>
          <w:tcPr>
            <w:tcW w:w="2240" w:type="dxa"/>
            <w:vAlign w:val="bottom"/>
            <w:gridSpan w:val="3"/>
          </w:tcPr>
          <w:p>
            <w:pPr>
              <w:ind w:left="200"/>
              <w:spacing w:after="0"/>
              <w:rPr>
                <w:sz w:val="20"/>
                <w:szCs w:val="20"/>
                <w:color w:val="auto"/>
              </w:rPr>
            </w:pPr>
            <w:r>
              <w:rPr>
                <w:rFonts w:ascii="Arial" w:cs="Arial" w:eastAsia="Arial" w:hAnsi="Arial"/>
                <w:sz w:val="22"/>
                <w:szCs w:val="22"/>
                <w:color w:val="auto"/>
                <w:w w:val="89"/>
              </w:rPr>
              <w:t>Wynn Las Vegas, LLC,</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22"/>
                <w:szCs w:val="22"/>
                <w:color w:val="auto"/>
              </w:rPr>
              <w:t>By:</w:t>
            </w:r>
          </w:p>
        </w:tc>
        <w:tc>
          <w:tcPr>
            <w:tcW w:w="2240" w:type="dxa"/>
            <w:vAlign w:val="bottom"/>
            <w:gridSpan w:val="3"/>
          </w:tcPr>
          <w:p>
            <w:pPr>
              <w:ind w:left="200"/>
              <w:spacing w:after="0"/>
              <w:rPr>
                <w:sz w:val="20"/>
                <w:szCs w:val="20"/>
                <w:color w:val="auto"/>
              </w:rPr>
            </w:pPr>
            <w:r>
              <w:rPr>
                <w:rFonts w:ascii="Arial" w:cs="Arial" w:eastAsia="Arial" w:hAnsi="Arial"/>
                <w:sz w:val="22"/>
                <w:szCs w:val="22"/>
                <w:color w:val="auto"/>
                <w:w w:val="89"/>
              </w:rPr>
              <w:t>Wynn Las Vegas, LLC,</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60" w:type="dxa"/>
            <w:vAlign w:val="bottom"/>
            <w:gridSpan w:val="6"/>
          </w:tcPr>
          <w:p>
            <w:pPr>
              <w:ind w:left="200"/>
              <w:spacing w:after="0" w:line="243" w:lineRule="exact"/>
              <w:rPr>
                <w:sz w:val="20"/>
                <w:szCs w:val="20"/>
                <w:color w:val="auto"/>
              </w:rPr>
            </w:pPr>
            <w:r>
              <w:rPr>
                <w:rFonts w:ascii="Arial" w:cs="Arial" w:eastAsia="Arial" w:hAnsi="Arial"/>
                <w:sz w:val="22"/>
                <w:szCs w:val="22"/>
                <w:color w:val="auto"/>
              </w:rPr>
              <w:t>a Nevada limited liability company,</w:t>
            </w:r>
          </w:p>
        </w:tc>
        <w:tc>
          <w:tcPr>
            <w:tcW w:w="600" w:type="dxa"/>
            <w:vAlign w:val="bottom"/>
          </w:tcPr>
          <w:p>
            <w:pPr>
              <w:spacing w:after="0"/>
              <w:rPr>
                <w:sz w:val="21"/>
                <w:szCs w:val="21"/>
                <w:color w:val="auto"/>
              </w:rPr>
            </w:pPr>
          </w:p>
        </w:tc>
        <w:tc>
          <w:tcPr>
            <w:tcW w:w="3980" w:type="dxa"/>
            <w:vAlign w:val="bottom"/>
            <w:gridSpan w:val="6"/>
          </w:tcPr>
          <w:p>
            <w:pPr>
              <w:ind w:left="200"/>
              <w:spacing w:after="0" w:line="243" w:lineRule="exact"/>
              <w:rPr>
                <w:sz w:val="20"/>
                <w:szCs w:val="20"/>
                <w:color w:val="auto"/>
              </w:rPr>
            </w:pPr>
            <w:r>
              <w:rPr>
                <w:rFonts w:ascii="Arial" w:cs="Arial" w:eastAsia="Arial" w:hAnsi="Arial"/>
                <w:sz w:val="22"/>
                <w:szCs w:val="22"/>
                <w:color w:val="auto"/>
              </w:rPr>
              <w:t>a Nevada limited liability company,</w:t>
            </w:r>
          </w:p>
        </w:tc>
        <w:tc>
          <w:tcPr>
            <w:tcW w:w="0" w:type="dxa"/>
            <w:vAlign w:val="bottom"/>
          </w:tcPr>
          <w:p>
            <w:pPr>
              <w:spacing w:after="0"/>
              <w:rPr>
                <w:sz w:val="1"/>
                <w:szCs w:val="1"/>
                <w:color w:val="auto"/>
              </w:rPr>
            </w:pPr>
          </w:p>
        </w:tc>
      </w:tr>
      <w:tr>
        <w:trPr>
          <w:trHeight w:val="275"/>
        </w:trPr>
        <w:tc>
          <w:tcPr>
            <w:tcW w:w="500" w:type="dxa"/>
            <w:vAlign w:val="bottom"/>
          </w:tcPr>
          <w:p>
            <w:pPr>
              <w:spacing w:after="0"/>
              <w:rPr>
                <w:sz w:val="23"/>
                <w:szCs w:val="23"/>
                <w:color w:val="auto"/>
              </w:rPr>
            </w:pPr>
          </w:p>
        </w:tc>
        <w:tc>
          <w:tcPr>
            <w:tcW w:w="1580" w:type="dxa"/>
            <w:vAlign w:val="bottom"/>
            <w:gridSpan w:val="2"/>
          </w:tcPr>
          <w:p>
            <w:pPr>
              <w:ind w:left="200"/>
              <w:spacing w:after="0"/>
              <w:rPr>
                <w:sz w:val="20"/>
                <w:szCs w:val="20"/>
                <w:color w:val="auto"/>
              </w:rPr>
            </w:pPr>
            <w:r>
              <w:rPr>
                <w:rFonts w:ascii="Arial" w:cs="Arial" w:eastAsia="Arial" w:hAnsi="Arial"/>
                <w:sz w:val="22"/>
                <w:szCs w:val="22"/>
                <w:color w:val="auto"/>
                <w:w w:val="87"/>
              </w:rPr>
              <w:t>its sole member</w:t>
            </w: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80" w:type="dxa"/>
            <w:vAlign w:val="bottom"/>
            <w:gridSpan w:val="2"/>
          </w:tcPr>
          <w:p>
            <w:pPr>
              <w:ind w:left="200"/>
              <w:spacing w:after="0"/>
              <w:rPr>
                <w:sz w:val="20"/>
                <w:szCs w:val="20"/>
                <w:color w:val="auto"/>
              </w:rPr>
            </w:pPr>
            <w:r>
              <w:rPr>
                <w:rFonts w:ascii="Arial" w:cs="Arial" w:eastAsia="Arial" w:hAnsi="Arial"/>
                <w:sz w:val="22"/>
                <w:szCs w:val="22"/>
                <w:color w:val="auto"/>
                <w:w w:val="87"/>
              </w:rPr>
              <w:t>its sole member</w:t>
            </w: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500" w:type="dxa"/>
            <w:vAlign w:val="bottom"/>
          </w:tcPr>
          <w:p>
            <w:pPr>
              <w:spacing w:after="0"/>
              <w:rPr>
                <w:sz w:val="24"/>
                <w:szCs w:val="24"/>
                <w:color w:val="auto"/>
              </w:rPr>
            </w:pPr>
          </w:p>
        </w:tc>
        <w:tc>
          <w:tcPr>
            <w:tcW w:w="700" w:type="dxa"/>
            <w:vAlign w:val="bottom"/>
          </w:tcPr>
          <w:p>
            <w:pPr>
              <w:ind w:left="200"/>
              <w:spacing w:after="0"/>
              <w:rPr>
                <w:sz w:val="20"/>
                <w:szCs w:val="20"/>
                <w:color w:val="auto"/>
              </w:rPr>
            </w:pPr>
            <w:r>
              <w:rPr>
                <w:rFonts w:ascii="Arial" w:cs="Arial" w:eastAsia="Arial" w:hAnsi="Arial"/>
                <w:sz w:val="22"/>
                <w:szCs w:val="22"/>
                <w:color w:val="auto"/>
              </w:rPr>
              <w:t>By:</w:t>
            </w:r>
          </w:p>
        </w:tc>
        <w:tc>
          <w:tcPr>
            <w:tcW w:w="3360" w:type="dxa"/>
            <w:vAlign w:val="bottom"/>
            <w:gridSpan w:val="5"/>
          </w:tcPr>
          <w:p>
            <w:pPr>
              <w:ind w:left="200"/>
              <w:spacing w:after="0"/>
              <w:rPr>
                <w:sz w:val="20"/>
                <w:szCs w:val="20"/>
                <w:color w:val="auto"/>
              </w:rPr>
            </w:pPr>
            <w:r>
              <w:rPr>
                <w:rFonts w:ascii="Arial" w:cs="Arial" w:eastAsia="Arial" w:hAnsi="Arial"/>
                <w:sz w:val="22"/>
                <w:szCs w:val="22"/>
                <w:color w:val="auto"/>
              </w:rPr>
              <w:t>Wynn Resorts Holdings, LLC,</w:t>
            </w:r>
          </w:p>
        </w:tc>
        <w:tc>
          <w:tcPr>
            <w:tcW w:w="600" w:type="dxa"/>
            <w:vAlign w:val="bottom"/>
          </w:tcPr>
          <w:p>
            <w:pPr>
              <w:spacing w:after="0"/>
              <w:rPr>
                <w:sz w:val="24"/>
                <w:szCs w:val="24"/>
                <w:color w:val="auto"/>
              </w:rPr>
            </w:pPr>
          </w:p>
        </w:tc>
        <w:tc>
          <w:tcPr>
            <w:tcW w:w="700" w:type="dxa"/>
            <w:vAlign w:val="bottom"/>
          </w:tcPr>
          <w:p>
            <w:pPr>
              <w:ind w:left="200"/>
              <w:spacing w:after="0"/>
              <w:rPr>
                <w:sz w:val="20"/>
                <w:szCs w:val="20"/>
                <w:color w:val="auto"/>
              </w:rPr>
            </w:pPr>
            <w:r>
              <w:rPr>
                <w:rFonts w:ascii="Arial" w:cs="Arial" w:eastAsia="Arial" w:hAnsi="Arial"/>
                <w:sz w:val="22"/>
                <w:szCs w:val="22"/>
                <w:color w:val="auto"/>
              </w:rPr>
              <w:t>By:</w:t>
            </w:r>
          </w:p>
        </w:tc>
        <w:tc>
          <w:tcPr>
            <w:tcW w:w="3280" w:type="dxa"/>
            <w:vAlign w:val="bottom"/>
            <w:gridSpan w:val="5"/>
          </w:tcPr>
          <w:p>
            <w:pPr>
              <w:ind w:left="200"/>
              <w:spacing w:after="0"/>
              <w:rPr>
                <w:sz w:val="20"/>
                <w:szCs w:val="20"/>
                <w:color w:val="auto"/>
              </w:rPr>
            </w:pPr>
            <w:r>
              <w:rPr>
                <w:rFonts w:ascii="Arial" w:cs="Arial" w:eastAsia="Arial" w:hAnsi="Arial"/>
                <w:sz w:val="22"/>
                <w:szCs w:val="22"/>
                <w:color w:val="auto"/>
              </w:rPr>
              <w:t>Wynn Resorts Holdings, LLC,</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360" w:type="dxa"/>
            <w:vAlign w:val="bottom"/>
            <w:gridSpan w:val="5"/>
          </w:tcPr>
          <w:p>
            <w:pPr>
              <w:ind w:left="200"/>
              <w:spacing w:after="0" w:line="243" w:lineRule="exact"/>
              <w:rPr>
                <w:sz w:val="20"/>
                <w:szCs w:val="20"/>
                <w:color w:val="auto"/>
              </w:rPr>
            </w:pPr>
            <w:r>
              <w:rPr>
                <w:rFonts w:ascii="Arial" w:cs="Arial" w:eastAsia="Arial" w:hAnsi="Arial"/>
                <w:sz w:val="22"/>
                <w:szCs w:val="22"/>
                <w:color w:val="auto"/>
                <w:w w:val="93"/>
              </w:rPr>
              <w:t>a Nevada limited liability company,</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80" w:type="dxa"/>
            <w:vAlign w:val="bottom"/>
            <w:gridSpan w:val="5"/>
          </w:tcPr>
          <w:p>
            <w:pPr>
              <w:ind w:left="200"/>
              <w:spacing w:after="0" w:line="243" w:lineRule="exact"/>
              <w:rPr>
                <w:sz w:val="20"/>
                <w:szCs w:val="20"/>
                <w:color w:val="auto"/>
              </w:rPr>
            </w:pPr>
            <w:r>
              <w:rPr>
                <w:rFonts w:ascii="Arial" w:cs="Arial" w:eastAsia="Arial" w:hAnsi="Arial"/>
                <w:sz w:val="22"/>
                <w:szCs w:val="22"/>
                <w:color w:val="auto"/>
                <w:w w:val="90"/>
              </w:rPr>
              <w:t>a Nevada limited liability company,</w:t>
            </w:r>
          </w:p>
        </w:tc>
        <w:tc>
          <w:tcPr>
            <w:tcW w:w="0" w:type="dxa"/>
            <w:vAlign w:val="bottom"/>
          </w:tcPr>
          <w:p>
            <w:pPr>
              <w:spacing w:after="0"/>
              <w:rPr>
                <w:sz w:val="1"/>
                <w:szCs w:val="1"/>
                <w:color w:val="auto"/>
              </w:rPr>
            </w:pPr>
          </w:p>
        </w:tc>
      </w:tr>
      <w:tr>
        <w:trPr>
          <w:trHeight w:val="275"/>
        </w:trPr>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360" w:type="dxa"/>
            <w:vAlign w:val="bottom"/>
            <w:gridSpan w:val="5"/>
          </w:tcPr>
          <w:p>
            <w:pPr>
              <w:ind w:left="200"/>
              <w:spacing w:after="0"/>
              <w:rPr>
                <w:sz w:val="20"/>
                <w:szCs w:val="20"/>
                <w:color w:val="auto"/>
              </w:rPr>
            </w:pPr>
            <w:r>
              <w:rPr>
                <w:rFonts w:ascii="Arial" w:cs="Arial" w:eastAsia="Arial" w:hAnsi="Arial"/>
                <w:sz w:val="22"/>
                <w:szCs w:val="22"/>
                <w:color w:val="auto"/>
              </w:rPr>
              <w:t>its sole member</w:t>
            </w: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80" w:type="dxa"/>
            <w:vAlign w:val="bottom"/>
            <w:gridSpan w:val="5"/>
          </w:tcPr>
          <w:p>
            <w:pPr>
              <w:ind w:left="200"/>
              <w:spacing w:after="0"/>
              <w:rPr>
                <w:sz w:val="20"/>
                <w:szCs w:val="20"/>
                <w:color w:val="auto"/>
              </w:rPr>
            </w:pPr>
            <w:r>
              <w:rPr>
                <w:rFonts w:ascii="Arial" w:cs="Arial" w:eastAsia="Arial" w:hAnsi="Arial"/>
                <w:sz w:val="22"/>
                <w:szCs w:val="22"/>
                <w:color w:val="auto"/>
              </w:rPr>
              <w:t>its sole member</w:t>
            </w:r>
          </w:p>
        </w:tc>
        <w:tc>
          <w:tcPr>
            <w:tcW w:w="0" w:type="dxa"/>
            <w:vAlign w:val="bottom"/>
          </w:tcPr>
          <w:p>
            <w:pPr>
              <w:spacing w:after="0"/>
              <w:rPr>
                <w:sz w:val="1"/>
                <w:szCs w:val="1"/>
                <w:color w:val="auto"/>
              </w:rPr>
            </w:pPr>
          </w:p>
        </w:tc>
      </w:tr>
      <w:tr>
        <w:trPr>
          <w:trHeight w:val="428"/>
        </w:trPr>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ind w:left="200"/>
              <w:spacing w:after="0"/>
              <w:rPr>
                <w:sz w:val="20"/>
                <w:szCs w:val="20"/>
                <w:color w:val="auto"/>
              </w:rPr>
            </w:pPr>
            <w:r>
              <w:rPr>
                <w:rFonts w:ascii="Arial" w:cs="Arial" w:eastAsia="Arial" w:hAnsi="Arial"/>
                <w:sz w:val="22"/>
                <w:szCs w:val="22"/>
                <w:color w:val="auto"/>
              </w:rPr>
              <w:t>By:</w:t>
            </w:r>
          </w:p>
        </w:tc>
        <w:tc>
          <w:tcPr>
            <w:tcW w:w="2480" w:type="dxa"/>
            <w:vAlign w:val="bottom"/>
            <w:gridSpan w:val="4"/>
          </w:tcPr>
          <w:p>
            <w:pPr>
              <w:ind w:left="20"/>
              <w:spacing w:after="0"/>
              <w:rPr>
                <w:sz w:val="20"/>
                <w:szCs w:val="20"/>
                <w:color w:val="auto"/>
              </w:rPr>
            </w:pPr>
            <w:r>
              <w:rPr>
                <w:rFonts w:ascii="Arial" w:cs="Arial" w:eastAsia="Arial" w:hAnsi="Arial"/>
                <w:sz w:val="22"/>
                <w:szCs w:val="22"/>
                <w:color w:val="auto"/>
              </w:rPr>
              <w:t>Wynn Resorts, Limited,</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ind w:left="200"/>
              <w:spacing w:after="0"/>
              <w:rPr>
                <w:sz w:val="20"/>
                <w:szCs w:val="20"/>
                <w:color w:val="auto"/>
              </w:rPr>
            </w:pPr>
            <w:r>
              <w:rPr>
                <w:rFonts w:ascii="Arial" w:cs="Arial" w:eastAsia="Arial" w:hAnsi="Arial"/>
                <w:sz w:val="22"/>
                <w:szCs w:val="22"/>
                <w:color w:val="auto"/>
              </w:rPr>
              <w:t>By:</w:t>
            </w:r>
          </w:p>
        </w:tc>
        <w:tc>
          <w:tcPr>
            <w:tcW w:w="2400" w:type="dxa"/>
            <w:vAlign w:val="bottom"/>
            <w:gridSpan w:val="4"/>
          </w:tcPr>
          <w:p>
            <w:pPr>
              <w:ind w:left="20"/>
              <w:spacing w:after="0"/>
              <w:rPr>
                <w:sz w:val="20"/>
                <w:szCs w:val="20"/>
                <w:color w:val="auto"/>
              </w:rPr>
            </w:pPr>
            <w:r>
              <w:rPr>
                <w:rFonts w:ascii="Arial" w:cs="Arial" w:eastAsia="Arial" w:hAnsi="Arial"/>
                <w:sz w:val="22"/>
                <w:szCs w:val="22"/>
                <w:color w:val="auto"/>
              </w:rPr>
              <w:t>Wynn Resorts, Limited,</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80" w:type="dxa"/>
            <w:vAlign w:val="bottom"/>
            <w:gridSpan w:val="4"/>
          </w:tcPr>
          <w:p>
            <w:pPr>
              <w:ind w:left="20"/>
              <w:spacing w:after="0" w:line="243" w:lineRule="exact"/>
              <w:rPr>
                <w:sz w:val="20"/>
                <w:szCs w:val="20"/>
                <w:color w:val="auto"/>
              </w:rPr>
            </w:pPr>
            <w:r>
              <w:rPr>
                <w:rFonts w:ascii="Arial" w:cs="Arial" w:eastAsia="Arial" w:hAnsi="Arial"/>
                <w:sz w:val="22"/>
                <w:szCs w:val="22"/>
                <w:color w:val="auto"/>
              </w:rPr>
              <w:t>a Nevada corporation,</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0" w:type="dxa"/>
            <w:vAlign w:val="bottom"/>
            <w:gridSpan w:val="4"/>
          </w:tcPr>
          <w:p>
            <w:pPr>
              <w:ind w:left="20"/>
              <w:spacing w:after="0" w:line="243" w:lineRule="exact"/>
              <w:rPr>
                <w:sz w:val="20"/>
                <w:szCs w:val="20"/>
                <w:color w:val="auto"/>
              </w:rPr>
            </w:pPr>
            <w:r>
              <w:rPr>
                <w:rFonts w:ascii="Arial" w:cs="Arial" w:eastAsia="Arial" w:hAnsi="Arial"/>
                <w:sz w:val="22"/>
                <w:szCs w:val="22"/>
                <w:color w:val="auto"/>
              </w:rPr>
              <w:t>a Nevada corporation,</w:t>
            </w:r>
          </w:p>
        </w:tc>
        <w:tc>
          <w:tcPr>
            <w:tcW w:w="0" w:type="dxa"/>
            <w:vAlign w:val="bottom"/>
          </w:tcPr>
          <w:p>
            <w:pPr>
              <w:spacing w:after="0"/>
              <w:rPr>
                <w:sz w:val="1"/>
                <w:szCs w:val="1"/>
                <w:color w:val="auto"/>
              </w:rPr>
            </w:pPr>
          </w:p>
        </w:tc>
      </w:tr>
      <w:tr>
        <w:trPr>
          <w:trHeight w:val="275"/>
        </w:trPr>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20" w:type="dxa"/>
            <w:vAlign w:val="bottom"/>
            <w:gridSpan w:val="3"/>
          </w:tcPr>
          <w:p>
            <w:pPr>
              <w:spacing w:after="0"/>
              <w:rPr>
                <w:sz w:val="20"/>
                <w:szCs w:val="20"/>
                <w:color w:val="auto"/>
              </w:rPr>
            </w:pPr>
            <w:r>
              <w:rPr>
                <w:rFonts w:ascii="Arial" w:cs="Arial" w:eastAsia="Arial" w:hAnsi="Arial"/>
                <w:sz w:val="22"/>
                <w:szCs w:val="22"/>
                <w:color w:val="auto"/>
              </w:rPr>
              <w:t>its sole member</w:t>
            </w: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40" w:type="dxa"/>
            <w:vAlign w:val="bottom"/>
            <w:gridSpan w:val="3"/>
          </w:tcPr>
          <w:p>
            <w:pPr>
              <w:spacing w:after="0"/>
              <w:rPr>
                <w:sz w:val="20"/>
                <w:szCs w:val="20"/>
                <w:color w:val="auto"/>
              </w:rPr>
            </w:pPr>
            <w:r>
              <w:rPr>
                <w:rFonts w:ascii="Arial" w:cs="Arial" w:eastAsia="Arial" w:hAnsi="Arial"/>
                <w:sz w:val="22"/>
                <w:szCs w:val="22"/>
                <w:color w:val="auto"/>
              </w:rPr>
              <w:t>its sole member</w:t>
            </w:r>
          </w:p>
        </w:tc>
        <w:tc>
          <w:tcPr>
            <w:tcW w:w="0" w:type="dxa"/>
            <w:vAlign w:val="bottom"/>
          </w:tcPr>
          <w:p>
            <w:pPr>
              <w:spacing w:after="0"/>
              <w:rPr>
                <w:sz w:val="1"/>
                <w:szCs w:val="1"/>
                <w:color w:val="auto"/>
              </w:rPr>
            </w:pPr>
          </w:p>
        </w:tc>
      </w:tr>
      <w:tr>
        <w:trPr>
          <w:trHeight w:val="428"/>
        </w:trPr>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22"/>
                <w:szCs w:val="22"/>
                <w:color w:val="auto"/>
              </w:rPr>
              <w:t>By:</w:t>
            </w:r>
          </w:p>
        </w:tc>
        <w:tc>
          <w:tcPr>
            <w:tcW w:w="60" w:type="dxa"/>
            <w:vAlign w:val="bottom"/>
          </w:tcPr>
          <w:p>
            <w:pPr>
              <w:spacing w:after="0"/>
              <w:rPr>
                <w:sz w:val="24"/>
                <w:szCs w:val="24"/>
                <w:color w:val="auto"/>
              </w:rPr>
            </w:pPr>
          </w:p>
        </w:tc>
        <w:tc>
          <w:tcPr>
            <w:tcW w:w="1760" w:type="dxa"/>
            <w:vAlign w:val="bottom"/>
            <w:gridSpan w:val="2"/>
          </w:tcPr>
          <w:p>
            <w:pPr>
              <w:ind w:left="660"/>
              <w:spacing w:after="0"/>
              <w:rPr>
                <w:sz w:val="20"/>
                <w:szCs w:val="20"/>
                <w:color w:val="auto"/>
              </w:rPr>
            </w:pPr>
            <w:r>
              <w:rPr>
                <w:rFonts w:ascii="Arial" w:cs="Arial" w:eastAsia="Arial" w:hAnsi="Arial"/>
                <w:sz w:val="22"/>
                <w:szCs w:val="22"/>
                <w:color w:val="auto"/>
              </w:rPr>
              <w:t>/s/</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22"/>
                <w:szCs w:val="22"/>
                <w:color w:val="auto"/>
              </w:rPr>
              <w:t>By:</w:t>
            </w:r>
          </w:p>
        </w:tc>
        <w:tc>
          <w:tcPr>
            <w:tcW w:w="80" w:type="dxa"/>
            <w:vAlign w:val="bottom"/>
          </w:tcPr>
          <w:p>
            <w:pPr>
              <w:spacing w:after="0"/>
              <w:rPr>
                <w:sz w:val="24"/>
                <w:szCs w:val="24"/>
                <w:color w:val="auto"/>
              </w:rPr>
            </w:pPr>
          </w:p>
        </w:tc>
        <w:tc>
          <w:tcPr>
            <w:tcW w:w="1660" w:type="dxa"/>
            <w:vAlign w:val="bottom"/>
            <w:gridSpan w:val="2"/>
          </w:tcPr>
          <w:p>
            <w:pPr>
              <w:ind w:left="660"/>
              <w:spacing w:after="0"/>
              <w:rPr>
                <w:sz w:val="20"/>
                <w:szCs w:val="20"/>
                <w:color w:val="auto"/>
              </w:rPr>
            </w:pPr>
            <w:r>
              <w:rPr>
                <w:rFonts w:ascii="Arial" w:cs="Arial" w:eastAsia="Arial" w:hAnsi="Arial"/>
                <w:sz w:val="22"/>
                <w:szCs w:val="22"/>
                <w:color w:val="auto"/>
              </w:rPr>
              <w:t>/s/</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60" w:type="dxa"/>
            <w:vAlign w:val="bottom"/>
            <w:gridSpan w:val="2"/>
          </w:tcPr>
          <w:p>
            <w:pPr>
              <w:spacing w:after="0" w:line="243" w:lineRule="exact"/>
              <w:rPr>
                <w:sz w:val="20"/>
                <w:szCs w:val="20"/>
                <w:color w:val="auto"/>
              </w:rPr>
            </w:pPr>
            <w:r>
              <w:rPr>
                <w:rFonts w:ascii="Arial" w:cs="Arial" w:eastAsia="Arial" w:hAnsi="Arial"/>
                <w:sz w:val="22"/>
                <w:szCs w:val="22"/>
                <w:color w:val="auto"/>
              </w:rPr>
              <w:t>Matt</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gridSpan w:val="2"/>
          </w:tcPr>
          <w:p>
            <w:pPr>
              <w:spacing w:after="0" w:line="243" w:lineRule="exact"/>
              <w:rPr>
                <w:sz w:val="20"/>
                <w:szCs w:val="20"/>
                <w:color w:val="auto"/>
              </w:rPr>
            </w:pPr>
            <w:r>
              <w:rPr>
                <w:rFonts w:ascii="Arial" w:cs="Arial" w:eastAsia="Arial" w:hAnsi="Arial"/>
                <w:sz w:val="22"/>
                <w:szCs w:val="22"/>
                <w:color w:val="auto"/>
              </w:rPr>
              <w:t>Matt Maddox</w:t>
            </w:r>
          </w:p>
        </w:tc>
        <w:tc>
          <w:tcPr>
            <w:tcW w:w="0" w:type="dxa"/>
            <w:vAlign w:val="bottom"/>
          </w:tcPr>
          <w:p>
            <w:pPr>
              <w:spacing w:after="0"/>
              <w:rPr>
                <w:sz w:val="1"/>
                <w:szCs w:val="1"/>
                <w:color w:val="auto"/>
              </w:rPr>
            </w:pPr>
          </w:p>
        </w:tc>
      </w:tr>
      <w:tr>
        <w:trPr>
          <w:trHeight w:val="272"/>
        </w:trPr>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vMerge w:val="restart"/>
          </w:tcPr>
          <w:p>
            <w:pPr>
              <w:ind w:left="20"/>
              <w:spacing w:after="0"/>
              <w:rPr>
                <w:sz w:val="20"/>
                <w:szCs w:val="20"/>
                <w:color w:val="auto"/>
              </w:rPr>
            </w:pPr>
            <w:r>
              <w:rPr>
                <w:rFonts w:ascii="Arial" w:cs="Arial" w:eastAsia="Arial" w:hAnsi="Arial"/>
                <w:sz w:val="22"/>
                <w:szCs w:val="22"/>
                <w:color w:val="auto"/>
                <w:w w:val="95"/>
              </w:rPr>
              <w:t>Name:</w:t>
            </w:r>
          </w:p>
        </w:tc>
        <w:tc>
          <w:tcPr>
            <w:tcW w:w="60" w:type="dxa"/>
            <w:vAlign w:val="bottom"/>
          </w:tcPr>
          <w:p>
            <w:pPr>
              <w:spacing w:after="0"/>
              <w:rPr>
                <w:sz w:val="23"/>
                <w:szCs w:val="23"/>
                <w:color w:val="auto"/>
              </w:rPr>
            </w:pPr>
          </w:p>
        </w:tc>
        <w:tc>
          <w:tcPr>
            <w:tcW w:w="1760" w:type="dxa"/>
            <w:vAlign w:val="bottom"/>
            <w:gridSpan w:val="2"/>
          </w:tcPr>
          <w:p>
            <w:pPr>
              <w:spacing w:after="0"/>
              <w:rPr>
                <w:sz w:val="20"/>
                <w:szCs w:val="20"/>
                <w:color w:val="auto"/>
              </w:rPr>
            </w:pPr>
            <w:r>
              <w:rPr>
                <w:rFonts w:ascii="Arial" w:cs="Arial" w:eastAsia="Arial" w:hAnsi="Arial"/>
                <w:sz w:val="22"/>
                <w:szCs w:val="22"/>
                <w:color w:val="auto"/>
              </w:rPr>
              <w:t>Maddox</w:t>
            </w: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vMerge w:val="restart"/>
          </w:tcPr>
          <w:p>
            <w:pPr>
              <w:ind w:left="20"/>
              <w:spacing w:after="0"/>
              <w:rPr>
                <w:sz w:val="20"/>
                <w:szCs w:val="20"/>
                <w:color w:val="auto"/>
              </w:rPr>
            </w:pPr>
            <w:r>
              <w:rPr>
                <w:rFonts w:ascii="Arial" w:cs="Arial" w:eastAsia="Arial" w:hAnsi="Arial"/>
                <w:sz w:val="22"/>
                <w:szCs w:val="22"/>
                <w:color w:val="auto"/>
                <w:w w:val="95"/>
              </w:rPr>
              <w:t>Name:</w:t>
            </w: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Borders>
              <w:top w:val="single" w:sz="8" w:color="auto"/>
            </w:tcBorders>
          </w:tcPr>
          <w:p>
            <w:pPr>
              <w:ind w:left="660"/>
              <w:spacing w:after="0" w:line="222" w:lineRule="exact"/>
              <w:rPr>
                <w:sz w:val="20"/>
                <w:szCs w:val="20"/>
                <w:color w:val="auto"/>
              </w:rPr>
            </w:pPr>
            <w:r>
              <w:rPr>
                <w:rFonts w:ascii="Arial" w:cs="Arial" w:eastAsia="Arial" w:hAnsi="Arial"/>
                <w:sz w:val="22"/>
                <w:szCs w:val="22"/>
                <w:color w:val="auto"/>
              </w:rPr>
              <w:t>Matt</w:t>
            </w: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Borders>
              <w:top w:val="single" w:sz="8" w:color="auto"/>
            </w:tcBorders>
          </w:tcPr>
          <w:p>
            <w:pPr>
              <w:ind w:left="660"/>
              <w:spacing w:after="0" w:line="222" w:lineRule="exact"/>
              <w:rPr>
                <w:sz w:val="20"/>
                <w:szCs w:val="20"/>
                <w:color w:val="auto"/>
              </w:rPr>
            </w:pPr>
            <w:r>
              <w:rPr>
                <w:rFonts w:ascii="Arial" w:cs="Arial" w:eastAsia="Arial" w:hAnsi="Arial"/>
                <w:sz w:val="22"/>
                <w:szCs w:val="22"/>
                <w:color w:val="auto"/>
              </w:rPr>
              <w:t>Matt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vMerge w:val="restart"/>
          </w:tcPr>
          <w:p>
            <w:pPr>
              <w:ind w:left="20"/>
              <w:spacing w:after="0"/>
              <w:rPr>
                <w:sz w:val="20"/>
                <w:szCs w:val="20"/>
                <w:color w:val="auto"/>
              </w:rPr>
            </w:pPr>
            <w:r>
              <w:rPr>
                <w:rFonts w:ascii="Arial" w:cs="Arial" w:eastAsia="Arial" w:hAnsi="Arial"/>
                <w:sz w:val="22"/>
                <w:szCs w:val="22"/>
                <w:color w:val="auto"/>
              </w:rPr>
              <w:t>Title:</w:t>
            </w:r>
          </w:p>
        </w:tc>
        <w:tc>
          <w:tcPr>
            <w:tcW w:w="60" w:type="dxa"/>
            <w:vAlign w:val="bottom"/>
          </w:tcPr>
          <w:p>
            <w:pPr>
              <w:spacing w:after="0"/>
              <w:rPr>
                <w:sz w:val="23"/>
                <w:szCs w:val="23"/>
                <w:color w:val="auto"/>
              </w:rPr>
            </w:pPr>
          </w:p>
        </w:tc>
        <w:tc>
          <w:tcPr>
            <w:tcW w:w="1760" w:type="dxa"/>
            <w:vAlign w:val="bottom"/>
            <w:gridSpan w:val="2"/>
          </w:tcPr>
          <w:p>
            <w:pPr>
              <w:spacing w:after="0"/>
              <w:rPr>
                <w:sz w:val="20"/>
                <w:szCs w:val="20"/>
                <w:color w:val="auto"/>
              </w:rPr>
            </w:pPr>
            <w:r>
              <w:rPr>
                <w:rFonts w:ascii="Arial" w:cs="Arial" w:eastAsia="Arial" w:hAnsi="Arial"/>
                <w:sz w:val="22"/>
                <w:szCs w:val="22"/>
                <w:color w:val="auto"/>
              </w:rPr>
              <w:t>Maddox</w:t>
            </w: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vMerge w:val="restart"/>
          </w:tcPr>
          <w:p>
            <w:pPr>
              <w:ind w:left="20"/>
              <w:spacing w:after="0"/>
              <w:rPr>
                <w:sz w:val="20"/>
                <w:szCs w:val="20"/>
                <w:color w:val="auto"/>
              </w:rPr>
            </w:pPr>
            <w:r>
              <w:rPr>
                <w:rFonts w:ascii="Arial" w:cs="Arial" w:eastAsia="Arial" w:hAnsi="Arial"/>
                <w:sz w:val="22"/>
                <w:szCs w:val="22"/>
                <w:color w:val="auto"/>
              </w:rPr>
              <w:t>Title:</w:t>
            </w:r>
          </w:p>
        </w:tc>
        <w:tc>
          <w:tcPr>
            <w:tcW w:w="80" w:type="dxa"/>
            <w:vAlign w:val="bottom"/>
          </w:tcPr>
          <w:p>
            <w:pPr>
              <w:spacing w:after="0"/>
              <w:rPr>
                <w:sz w:val="23"/>
                <w:szCs w:val="23"/>
                <w:color w:val="auto"/>
              </w:rPr>
            </w:pPr>
          </w:p>
        </w:tc>
        <w:tc>
          <w:tcPr>
            <w:tcW w:w="1660" w:type="dxa"/>
            <w:vAlign w:val="bottom"/>
            <w:gridSpan w:val="2"/>
          </w:tcPr>
          <w:p>
            <w:pPr>
              <w:spacing w:after="0"/>
              <w:rPr>
                <w:sz w:val="20"/>
                <w:szCs w:val="20"/>
                <w:color w:val="auto"/>
              </w:rPr>
            </w:pPr>
            <w:r>
              <w:rPr>
                <w:rFonts w:ascii="Arial" w:cs="Arial" w:eastAsia="Arial" w:hAnsi="Arial"/>
                <w:sz w:val="22"/>
                <w:szCs w:val="22"/>
                <w:color w:val="auto"/>
              </w:rPr>
              <w:t>Maddox</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Borders>
              <w:top w:val="single" w:sz="8" w:color="auto"/>
            </w:tcBorders>
          </w:tcPr>
          <w:p>
            <w:pPr>
              <w:ind w:left="660"/>
              <w:spacing w:after="0" w:line="222" w:lineRule="exact"/>
              <w:rPr>
                <w:sz w:val="20"/>
                <w:szCs w:val="20"/>
                <w:color w:val="auto"/>
              </w:rPr>
            </w:pPr>
            <w:r>
              <w:rPr>
                <w:rFonts w:ascii="Arial" w:cs="Arial" w:eastAsia="Arial" w:hAnsi="Arial"/>
                <w:sz w:val="22"/>
                <w:szCs w:val="22"/>
                <w:color w:val="auto"/>
                <w:w w:val="98"/>
              </w:rPr>
              <w:t>CFO</w:t>
            </w: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Borders>
              <w:top w:val="single" w:sz="8" w:color="auto"/>
            </w:tcBorders>
          </w:tcPr>
          <w:p>
            <w:pPr>
              <w:ind w:left="660"/>
              <w:spacing w:after="0" w:line="222" w:lineRule="exact"/>
              <w:rPr>
                <w:sz w:val="20"/>
                <w:szCs w:val="20"/>
                <w:color w:val="auto"/>
              </w:rPr>
            </w:pPr>
            <w:r>
              <w:rPr>
                <w:rFonts w:ascii="Arial" w:cs="Arial" w:eastAsia="Arial" w:hAnsi="Arial"/>
                <w:sz w:val="22"/>
                <w:szCs w:val="22"/>
                <w:color w:val="auto"/>
              </w:rPr>
              <w:t>CFO</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60" w:type="dxa"/>
            <w:vAlign w:val="bottom"/>
            <w:gridSpan w:val="2"/>
          </w:tcPr>
          <w:p>
            <w:pPr>
              <w:spacing w:after="0" w:line="243" w:lineRule="exact"/>
              <w:rPr>
                <w:sz w:val="20"/>
                <w:szCs w:val="20"/>
                <w:color w:val="auto"/>
              </w:rPr>
            </w:pPr>
            <w:r>
              <w:rPr>
                <w:rFonts w:ascii="Arial" w:cs="Arial" w:eastAsia="Arial" w:hAnsi="Arial"/>
                <w:sz w:val="22"/>
                <w:szCs w:val="22"/>
                <w:color w:val="auto"/>
              </w:rPr>
              <w:t>and</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gridSpan w:val="2"/>
          </w:tcPr>
          <w:p>
            <w:pPr>
              <w:spacing w:after="0" w:line="243" w:lineRule="exact"/>
              <w:rPr>
                <w:sz w:val="20"/>
                <w:szCs w:val="20"/>
                <w:color w:val="auto"/>
              </w:rPr>
            </w:pPr>
            <w:r>
              <w:rPr>
                <w:rFonts w:ascii="Arial" w:cs="Arial" w:eastAsia="Arial" w:hAnsi="Arial"/>
                <w:sz w:val="22"/>
                <w:szCs w:val="22"/>
                <w:color w:val="auto"/>
              </w:rPr>
              <w:t>and Treasurer</w:t>
            </w:r>
          </w:p>
        </w:tc>
        <w:tc>
          <w:tcPr>
            <w:tcW w:w="0" w:type="dxa"/>
            <w:vAlign w:val="bottom"/>
          </w:tcPr>
          <w:p>
            <w:pPr>
              <w:spacing w:after="0"/>
              <w:rPr>
                <w:sz w:val="1"/>
                <w:szCs w:val="1"/>
                <w:color w:val="auto"/>
              </w:rPr>
            </w:pPr>
          </w:p>
        </w:tc>
      </w:tr>
      <w:tr>
        <w:trPr>
          <w:trHeight w:val="272"/>
        </w:trPr>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Treasurer</w:t>
            </w:r>
          </w:p>
        </w:tc>
        <w:tc>
          <w:tcPr>
            <w:tcW w:w="6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[Signature Page to Sixth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265430</wp:posOffset>
            </wp:positionV>
            <wp:extent cx="601599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9900"/>
          </w:cols>
          <w:pgMar w:left="1440" w:top="743" w:right="559" w:bottom="1440" w:gutter="0" w:footer="0" w:header="0"/>
        </w:sectPr>
      </w:pPr>
    </w:p>
    <w:bookmarkStart w:id="252" w:name="page253"/>
    <w:bookmarkEnd w:id="252"/>
    <w:p>
      <w:pPr>
        <w:ind w:left="760"/>
        <w:spacing w:after="0"/>
        <w:rPr>
          <w:sz w:val="20"/>
          <w:szCs w:val="20"/>
          <w:color w:val="auto"/>
        </w:rPr>
      </w:pPr>
      <w:r>
        <w:rPr>
          <w:rFonts w:ascii="Arial" w:cs="Arial" w:eastAsia="Arial" w:hAnsi="Arial"/>
          <w:sz w:val="22"/>
          <w:szCs w:val="22"/>
          <w:color w:val="auto"/>
        </w:rPr>
        <w:t>KEVYN, LLC,</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9"/>
          <w:szCs w:val="19"/>
          <w:color w:val="auto"/>
        </w:rPr>
        <w:t>a Nevada limited liability company</w:t>
      </w:r>
    </w:p>
    <w:p>
      <w:pPr>
        <w:spacing w:after="0" w:line="20" w:lineRule="exact"/>
        <w:rPr>
          <w:sz w:val="20"/>
          <w:szCs w:val="20"/>
          <w:color w:val="auto"/>
        </w:rPr>
      </w:pPr>
      <w:r>
        <w:rPr>
          <w:sz w:val="20"/>
          <w:szCs w:val="20"/>
          <w:color w:val="auto"/>
        </w:rPr>
        <w:br w:type="column"/>
      </w:r>
    </w:p>
    <w:p>
      <w:pPr>
        <w:ind w:right="1020"/>
        <w:spacing w:after="0" w:line="251" w:lineRule="auto"/>
        <w:rPr>
          <w:sz w:val="20"/>
          <w:szCs w:val="20"/>
          <w:color w:val="auto"/>
        </w:rPr>
      </w:pPr>
      <w:r>
        <w:rPr>
          <w:rFonts w:ascii="Arial" w:cs="Arial" w:eastAsia="Arial" w:hAnsi="Arial"/>
          <w:sz w:val="22"/>
          <w:szCs w:val="22"/>
          <w:color w:val="auto"/>
        </w:rPr>
        <w:t>WYNN LAS VEGAS CAPITAL CORP., a Nevada corporation</w:t>
      </w:r>
    </w:p>
    <w:p>
      <w:pPr>
        <w:spacing w:after="0" w:line="200" w:lineRule="exact"/>
        <w:rPr>
          <w:sz w:val="20"/>
          <w:szCs w:val="20"/>
          <w:color w:val="auto"/>
        </w:rPr>
      </w:pPr>
    </w:p>
    <w:p>
      <w:pPr>
        <w:sectPr>
          <w:pgSz w:w="11900" w:h="16838" w:orient="portrait"/>
          <w:cols w:equalWidth="0" w:num="2">
            <w:col w:w="4620" w:space="720"/>
            <w:col w:w="4580"/>
          </w:cols>
          <w:pgMar w:left="1440" w:top="510" w:right="539" w:bottom="1440" w:gutter="0" w:footer="0" w:header="0"/>
        </w:sectPr>
      </w:pPr>
    </w:p>
    <w:p>
      <w:pPr>
        <w:spacing w:after="0" w:line="189" w:lineRule="exact"/>
        <w:rPr>
          <w:sz w:val="20"/>
          <w:szCs w:val="20"/>
          <w:color w:val="auto"/>
        </w:rPr>
      </w:pPr>
    </w:p>
    <w:p>
      <w:pPr>
        <w:ind w:left="7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Wynn Las Vegas, LLC,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/s/ Matt</w:t>
      </w:r>
    </w:p>
    <w:p>
      <w:pPr>
        <w:spacing w:after="0" w:line="36" w:lineRule="exact"/>
        <w:rPr>
          <w:sz w:val="20"/>
          <w:szCs w:val="20"/>
          <w:color w:val="auto"/>
        </w:rPr>
      </w:pPr>
    </w:p>
    <w:p>
      <w:pPr>
        <w:sectPr>
          <w:pgSz w:w="11900" w:h="16838" w:orient="portrait"/>
          <w:cols w:equalWidth="0" w:num="4">
            <w:col w:w="1060" w:space="400"/>
            <w:col w:w="3160" w:space="720"/>
            <w:col w:w="1220" w:space="720"/>
            <w:col w:w="2640"/>
          </w:cols>
          <w:pgMar w:left="1440" w:top="510" w:right="539" w:bottom="1440" w:gutter="0" w:footer="0" w:header="0"/>
          <w:type w:val="continuous"/>
        </w:sectPr>
      </w:pPr>
    </w:p>
    <w:tbl>
      <w:tblPr>
        <w:tblLayout w:type="fixed"/>
        <w:tblInd w:w="760" w:type="dxa"/>
        <w:tblCellMar>
          <w:top w:w="0" w:type="dxa"/>
          <w:left w:w="0" w:type="dxa"/>
          <w:bottom w:w="0" w:type="dxa"/>
          <w:right w:w="0" w:type="dxa"/>
        </w:tblCellMar>
      </w:tblPr>
      <w:tr>
        <w:trPr>
          <w:trHeight w:val="260"/>
        </w:trPr>
        <w:tc>
          <w:tcPr>
            <w:tcW w:w="500" w:type="dxa"/>
            <w:vAlign w:val="bottom"/>
          </w:tcPr>
          <w:p>
            <w:pPr>
              <w:spacing w:after="0"/>
              <w:rPr>
                <w:sz w:val="22"/>
                <w:szCs w:val="22"/>
                <w:color w:val="auto"/>
              </w:rPr>
            </w:pPr>
          </w:p>
        </w:tc>
        <w:tc>
          <w:tcPr>
            <w:tcW w:w="4600" w:type="dxa"/>
            <w:vAlign w:val="bottom"/>
            <w:gridSpan w:val="9"/>
            <w:vMerge w:val="restart"/>
          </w:tcPr>
          <w:p>
            <w:pPr>
              <w:ind w:left="200"/>
              <w:spacing w:after="0"/>
              <w:rPr>
                <w:sz w:val="20"/>
                <w:szCs w:val="20"/>
                <w:color w:val="auto"/>
              </w:rPr>
            </w:pPr>
            <w:r>
              <w:rPr>
                <w:rFonts w:ascii="Arial" w:cs="Arial" w:eastAsia="Arial" w:hAnsi="Arial"/>
                <w:sz w:val="22"/>
                <w:szCs w:val="22"/>
                <w:color w:val="auto"/>
              </w:rPr>
              <w:t>a Nevada limited liability company,</w:t>
            </w:r>
          </w:p>
        </w:tc>
        <w:tc>
          <w:tcPr>
            <w:tcW w:w="760" w:type="dxa"/>
            <w:vAlign w:val="bottom"/>
            <w:vMerge w:val="restart"/>
          </w:tcPr>
          <w:p>
            <w:pPr>
              <w:ind w:left="140"/>
              <w:spacing w:after="0"/>
              <w:rPr>
                <w:sz w:val="20"/>
                <w:szCs w:val="20"/>
                <w:color w:val="auto"/>
              </w:rPr>
            </w:pPr>
            <w:r>
              <w:rPr>
                <w:rFonts w:ascii="Arial" w:cs="Arial" w:eastAsia="Arial" w:hAnsi="Arial"/>
                <w:sz w:val="22"/>
                <w:szCs w:val="22"/>
                <w:color w:val="auto"/>
                <w:w w:val="92"/>
              </w:rPr>
              <w:t>Name:</w:t>
            </w:r>
          </w:p>
        </w:tc>
        <w:tc>
          <w:tcPr>
            <w:tcW w:w="8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Maddox</w:t>
            </w:r>
          </w:p>
        </w:tc>
        <w:tc>
          <w:tcPr>
            <w:tcW w:w="4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600" w:type="dxa"/>
            <w:vAlign w:val="bottom"/>
            <w:gridSpan w:val="9"/>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60" w:type="dxa"/>
            <w:vAlign w:val="bottom"/>
            <w:gridSpan w:val="2"/>
          </w:tcPr>
          <w:p>
            <w:pPr>
              <w:ind w:left="660"/>
              <w:spacing w:after="0" w:line="222" w:lineRule="exact"/>
              <w:rPr>
                <w:sz w:val="20"/>
                <w:szCs w:val="20"/>
                <w:color w:val="auto"/>
              </w:rPr>
            </w:pPr>
            <w:r>
              <w:rPr>
                <w:rFonts w:ascii="Arial" w:cs="Arial" w:eastAsia="Arial" w:hAnsi="Arial"/>
                <w:sz w:val="22"/>
                <w:szCs w:val="22"/>
                <w:color w:val="auto"/>
              </w:rPr>
              <w:t>Matt</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500" w:type="dxa"/>
            <w:vAlign w:val="bottom"/>
          </w:tcPr>
          <w:p>
            <w:pPr>
              <w:spacing w:after="0"/>
              <w:rPr>
                <w:sz w:val="23"/>
                <w:szCs w:val="23"/>
                <w:color w:val="auto"/>
              </w:rPr>
            </w:pPr>
          </w:p>
        </w:tc>
        <w:tc>
          <w:tcPr>
            <w:tcW w:w="2920" w:type="dxa"/>
            <w:vAlign w:val="bottom"/>
            <w:gridSpan w:val="7"/>
            <w:vMerge w:val="restart"/>
          </w:tcPr>
          <w:p>
            <w:pPr>
              <w:ind w:left="200"/>
              <w:spacing w:after="0"/>
              <w:rPr>
                <w:sz w:val="20"/>
                <w:szCs w:val="20"/>
                <w:color w:val="auto"/>
              </w:rPr>
            </w:pPr>
            <w:r>
              <w:rPr>
                <w:rFonts w:ascii="Arial" w:cs="Arial" w:eastAsia="Arial" w:hAnsi="Arial"/>
                <w:sz w:val="22"/>
                <w:szCs w:val="22"/>
                <w:color w:val="auto"/>
              </w:rPr>
              <w:t>its sole member</w:t>
            </w: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60" w:type="dxa"/>
            <w:vAlign w:val="bottom"/>
            <w:vMerge w:val="restart"/>
          </w:tcPr>
          <w:p>
            <w:pPr>
              <w:ind w:left="140"/>
              <w:spacing w:after="0"/>
              <w:rPr>
                <w:sz w:val="20"/>
                <w:szCs w:val="20"/>
                <w:color w:val="auto"/>
              </w:rPr>
            </w:pPr>
            <w:r>
              <w:rPr>
                <w:rFonts w:ascii="Arial" w:cs="Arial" w:eastAsia="Arial" w:hAnsi="Arial"/>
                <w:sz w:val="22"/>
                <w:szCs w:val="22"/>
                <w:color w:val="auto"/>
              </w:rPr>
              <w:t>Title:</w:t>
            </w:r>
          </w:p>
        </w:tc>
        <w:tc>
          <w:tcPr>
            <w:tcW w:w="8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Maddox</w:t>
            </w:r>
          </w:p>
        </w:tc>
        <w:tc>
          <w:tcPr>
            <w:tcW w:w="4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920" w:type="dxa"/>
            <w:vAlign w:val="bottom"/>
            <w:gridSpan w:val="7"/>
            <w:vMerge w:val="continue"/>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260" w:type="dxa"/>
            <w:vAlign w:val="bottom"/>
            <w:gridSpan w:val="2"/>
          </w:tcPr>
          <w:p>
            <w:pPr>
              <w:ind w:left="660"/>
              <w:spacing w:after="0" w:line="222" w:lineRule="exact"/>
              <w:rPr>
                <w:sz w:val="20"/>
                <w:szCs w:val="20"/>
                <w:color w:val="auto"/>
              </w:rPr>
            </w:pPr>
            <w:r>
              <w:rPr>
                <w:rFonts w:ascii="Arial" w:cs="Arial" w:eastAsia="Arial" w:hAnsi="Arial"/>
                <w:sz w:val="22"/>
                <w:szCs w:val="22"/>
                <w:color w:val="auto"/>
              </w:rPr>
              <w:t>CFO</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9"/>
              </w:rPr>
              <w:t>and Treasurer</w:t>
            </w:r>
          </w:p>
        </w:tc>
        <w:tc>
          <w:tcPr>
            <w:tcW w:w="180" w:type="dxa"/>
            <w:vAlign w:val="bottom"/>
            <w:tcBorders>
              <w:bottom w:val="single" w:sz="8" w:color="auto"/>
            </w:tcBorders>
          </w:tcPr>
          <w:p>
            <w:pPr>
              <w:spacing w:after="0"/>
              <w:rPr>
                <w:sz w:val="23"/>
                <w:szCs w:val="23"/>
                <w:color w:val="auto"/>
              </w:rPr>
            </w:pPr>
          </w:p>
        </w:tc>
        <w:tc>
          <w:tcPr>
            <w:tcW w:w="1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4"/>
        </w:trPr>
        <w:tc>
          <w:tcPr>
            <w:tcW w:w="50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22"/>
                <w:szCs w:val="22"/>
                <w:color w:val="auto"/>
              </w:rPr>
              <w:t>By:</w:t>
            </w:r>
          </w:p>
        </w:tc>
        <w:tc>
          <w:tcPr>
            <w:tcW w:w="3920" w:type="dxa"/>
            <w:vAlign w:val="bottom"/>
            <w:gridSpan w:val="8"/>
          </w:tcPr>
          <w:p>
            <w:pPr>
              <w:ind w:left="220"/>
              <w:spacing w:after="0"/>
              <w:rPr>
                <w:sz w:val="20"/>
                <w:szCs w:val="20"/>
                <w:color w:val="auto"/>
              </w:rPr>
            </w:pPr>
            <w:r>
              <w:rPr>
                <w:rFonts w:ascii="Arial" w:cs="Arial" w:eastAsia="Arial" w:hAnsi="Arial"/>
                <w:sz w:val="22"/>
                <w:szCs w:val="22"/>
                <w:color w:val="auto"/>
              </w:rPr>
              <w:t>Wynn Resorts Holdings, LLC,</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920" w:type="dxa"/>
            <w:vAlign w:val="bottom"/>
            <w:gridSpan w:val="8"/>
          </w:tcPr>
          <w:p>
            <w:pPr>
              <w:ind w:left="220"/>
              <w:spacing w:after="0" w:line="243" w:lineRule="exact"/>
              <w:rPr>
                <w:sz w:val="20"/>
                <w:szCs w:val="20"/>
                <w:color w:val="auto"/>
              </w:rPr>
            </w:pPr>
            <w:r>
              <w:rPr>
                <w:rFonts w:ascii="Arial" w:cs="Arial" w:eastAsia="Arial" w:hAnsi="Arial"/>
                <w:sz w:val="22"/>
                <w:szCs w:val="22"/>
                <w:color w:val="auto"/>
              </w:rPr>
              <w:t>a Nevada limited liability company,</w:t>
            </w: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40" w:type="dxa"/>
            <w:vAlign w:val="bottom"/>
            <w:gridSpan w:val="6"/>
          </w:tcPr>
          <w:p>
            <w:pPr>
              <w:ind w:left="220"/>
              <w:spacing w:after="0"/>
              <w:rPr>
                <w:sz w:val="20"/>
                <w:szCs w:val="20"/>
                <w:color w:val="auto"/>
              </w:rPr>
            </w:pPr>
            <w:r>
              <w:rPr>
                <w:rFonts w:ascii="Arial" w:cs="Arial" w:eastAsia="Arial" w:hAnsi="Arial"/>
                <w:sz w:val="22"/>
                <w:szCs w:val="22"/>
                <w:color w:val="auto"/>
              </w:rPr>
              <w:t>its sole member</w:t>
            </w: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c>
          <w:tcPr>
            <w:tcW w:w="3120" w:type="dxa"/>
            <w:vAlign w:val="bottom"/>
            <w:gridSpan w:val="6"/>
          </w:tcPr>
          <w:p>
            <w:pPr>
              <w:ind w:left="120"/>
              <w:spacing w:after="0"/>
              <w:rPr>
                <w:sz w:val="20"/>
                <w:szCs w:val="20"/>
                <w:color w:val="auto"/>
              </w:rPr>
            </w:pPr>
            <w:r>
              <w:rPr>
                <w:rFonts w:ascii="Arial" w:cs="Arial" w:eastAsia="Arial" w:hAnsi="Arial"/>
                <w:sz w:val="22"/>
                <w:szCs w:val="22"/>
                <w:color w:val="auto"/>
              </w:rPr>
              <w:t>Wynn Resorts, Limited,</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20" w:type="dxa"/>
            <w:vAlign w:val="bottom"/>
            <w:gridSpan w:val="6"/>
          </w:tcPr>
          <w:p>
            <w:pPr>
              <w:ind w:left="120"/>
              <w:spacing w:after="0" w:line="243" w:lineRule="exact"/>
              <w:rPr>
                <w:sz w:val="20"/>
                <w:szCs w:val="20"/>
                <w:color w:val="auto"/>
              </w:rPr>
            </w:pPr>
            <w:r>
              <w:rPr>
                <w:rFonts w:ascii="Arial" w:cs="Arial" w:eastAsia="Arial" w:hAnsi="Arial"/>
                <w:sz w:val="22"/>
                <w:szCs w:val="22"/>
                <w:color w:val="auto"/>
              </w:rPr>
              <w:t>a Nevada corporation,</w:t>
            </w: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120" w:type="dxa"/>
            <w:vAlign w:val="bottom"/>
            <w:gridSpan w:val="6"/>
          </w:tcPr>
          <w:p>
            <w:pPr>
              <w:ind w:left="760"/>
              <w:spacing w:after="0"/>
              <w:rPr>
                <w:sz w:val="20"/>
                <w:szCs w:val="20"/>
                <w:color w:val="auto"/>
              </w:rPr>
            </w:pPr>
            <w:r>
              <w:rPr>
                <w:rFonts w:ascii="Arial" w:cs="Arial" w:eastAsia="Arial" w:hAnsi="Arial"/>
                <w:sz w:val="22"/>
                <w:szCs w:val="22"/>
                <w:color w:val="auto"/>
              </w:rPr>
              <w:t>its sole member</w:t>
            </w: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4"/>
          </w:tcPr>
          <w:p>
            <w:pPr>
              <w:ind w:left="120"/>
              <w:spacing w:after="0"/>
              <w:rPr>
                <w:sz w:val="20"/>
                <w:szCs w:val="20"/>
                <w:color w:val="auto"/>
              </w:rPr>
            </w:pPr>
            <w:r>
              <w:rPr>
                <w:rFonts w:ascii="Arial" w:cs="Arial" w:eastAsia="Arial" w:hAnsi="Arial"/>
                <w:sz w:val="22"/>
                <w:szCs w:val="22"/>
                <w:color w:val="auto"/>
              </w:rPr>
              <w:t>By:</w:t>
            </w:r>
          </w:p>
        </w:tc>
        <w:tc>
          <w:tcPr>
            <w:tcW w:w="1680" w:type="dxa"/>
            <w:vAlign w:val="bottom"/>
            <w:gridSpan w:val="2"/>
          </w:tcPr>
          <w:p>
            <w:pPr>
              <w:ind w:left="40"/>
              <w:spacing w:after="0"/>
              <w:rPr>
                <w:sz w:val="20"/>
                <w:szCs w:val="20"/>
                <w:color w:val="auto"/>
              </w:rPr>
            </w:pPr>
            <w:r>
              <w:rPr>
                <w:rFonts w:ascii="Arial" w:cs="Arial" w:eastAsia="Arial" w:hAnsi="Arial"/>
                <w:sz w:val="22"/>
                <w:szCs w:val="22"/>
                <w:color w:val="auto"/>
              </w:rPr>
              <w:t>/s/</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gridSpan w:val="3"/>
          </w:tcPr>
          <w:p>
            <w:pPr>
              <w:spacing w:after="0" w:line="243" w:lineRule="exact"/>
              <w:rPr>
                <w:sz w:val="20"/>
                <w:szCs w:val="20"/>
                <w:color w:val="auto"/>
              </w:rPr>
            </w:pPr>
            <w:r>
              <w:rPr>
                <w:rFonts w:ascii="Arial" w:cs="Arial" w:eastAsia="Arial" w:hAnsi="Arial"/>
                <w:sz w:val="22"/>
                <w:szCs w:val="22"/>
                <w:color w:val="auto"/>
              </w:rPr>
              <w:t>Matt</w:t>
            </w: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Arial" w:cs="Arial" w:eastAsia="Arial" w:hAnsi="Arial"/>
                <w:sz w:val="22"/>
                <w:szCs w:val="22"/>
                <w:color w:val="auto"/>
              </w:rPr>
              <w:t>Maddox</w:t>
            </w: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2"/>
          </w:tcPr>
          <w:p>
            <w:pPr>
              <w:ind w:left="120"/>
              <w:spacing w:after="0" w:line="222" w:lineRule="exact"/>
              <w:rPr>
                <w:sz w:val="20"/>
                <w:szCs w:val="20"/>
                <w:color w:val="auto"/>
              </w:rPr>
            </w:pPr>
            <w:r>
              <w:rPr>
                <w:rFonts w:ascii="Arial" w:cs="Arial" w:eastAsia="Arial" w:hAnsi="Arial"/>
                <w:sz w:val="22"/>
                <w:szCs w:val="22"/>
                <w:color w:val="auto"/>
              </w:rPr>
              <w:t>Name:</w:t>
            </w:r>
          </w:p>
        </w:tc>
        <w:tc>
          <w:tcPr>
            <w:tcW w:w="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40"/>
              <w:spacing w:after="0" w:line="222" w:lineRule="exact"/>
              <w:rPr>
                <w:sz w:val="20"/>
                <w:szCs w:val="20"/>
                <w:color w:val="auto"/>
              </w:rPr>
            </w:pPr>
            <w:r>
              <w:rPr>
                <w:rFonts w:ascii="Arial" w:cs="Arial" w:eastAsia="Arial" w:hAnsi="Arial"/>
                <w:sz w:val="22"/>
                <w:szCs w:val="22"/>
                <w:color w:val="auto"/>
                <w:w w:val="93"/>
              </w:rPr>
              <w:t>Matt</w:t>
            </w: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Arial" w:cs="Arial" w:eastAsia="Arial" w:hAnsi="Arial"/>
                <w:sz w:val="22"/>
                <w:szCs w:val="22"/>
                <w:color w:val="auto"/>
              </w:rPr>
              <w:t>Maddox</w:t>
            </w: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2"/>
          </w:tcPr>
          <w:p>
            <w:pPr>
              <w:ind w:left="120"/>
              <w:spacing w:after="0" w:line="222" w:lineRule="exact"/>
              <w:rPr>
                <w:sz w:val="20"/>
                <w:szCs w:val="20"/>
                <w:color w:val="auto"/>
              </w:rPr>
            </w:pPr>
            <w:r>
              <w:rPr>
                <w:rFonts w:ascii="Arial" w:cs="Arial" w:eastAsia="Arial" w:hAnsi="Arial"/>
                <w:sz w:val="22"/>
                <w:szCs w:val="22"/>
                <w:color w:val="auto"/>
              </w:rPr>
              <w:t>Title:</w:t>
            </w:r>
          </w:p>
        </w:tc>
        <w:tc>
          <w:tcPr>
            <w:tcW w:w="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40"/>
              <w:spacing w:after="0" w:line="222" w:lineRule="exact"/>
              <w:rPr>
                <w:sz w:val="20"/>
                <w:szCs w:val="20"/>
                <w:color w:val="auto"/>
              </w:rPr>
            </w:pPr>
            <w:r>
              <w:rPr>
                <w:rFonts w:ascii="Arial" w:cs="Arial" w:eastAsia="Arial" w:hAnsi="Arial"/>
                <w:sz w:val="22"/>
                <w:szCs w:val="22"/>
                <w:color w:val="auto"/>
                <w:w w:val="86"/>
              </w:rPr>
              <w:t>CFO</w:t>
            </w: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gridSpan w:val="3"/>
          </w:tcPr>
          <w:p>
            <w:pPr>
              <w:spacing w:after="0" w:line="243" w:lineRule="exact"/>
              <w:rPr>
                <w:sz w:val="20"/>
                <w:szCs w:val="20"/>
                <w:color w:val="auto"/>
              </w:rPr>
            </w:pPr>
            <w:r>
              <w:rPr>
                <w:rFonts w:ascii="Arial" w:cs="Arial" w:eastAsia="Arial" w:hAnsi="Arial"/>
                <w:sz w:val="22"/>
                <w:szCs w:val="22"/>
                <w:color w:val="auto"/>
              </w:rPr>
              <w:t>and</w:t>
            </w: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8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Treasurer</w:t>
            </w:r>
          </w:p>
        </w:tc>
        <w:tc>
          <w:tcPr>
            <w:tcW w:w="1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8"/>
        </w:trPr>
        <w:tc>
          <w:tcPr>
            <w:tcW w:w="3420" w:type="dxa"/>
            <w:vAlign w:val="bottom"/>
            <w:gridSpan w:val="8"/>
          </w:tcPr>
          <w:p>
            <w:pPr>
              <w:spacing w:after="0"/>
              <w:rPr>
                <w:sz w:val="20"/>
                <w:szCs w:val="20"/>
                <w:color w:val="auto"/>
              </w:rPr>
            </w:pPr>
            <w:r>
              <w:rPr>
                <w:rFonts w:ascii="Arial" w:cs="Arial" w:eastAsia="Arial" w:hAnsi="Arial"/>
                <w:sz w:val="22"/>
                <w:szCs w:val="22"/>
                <w:color w:val="auto"/>
                <w:w w:val="94"/>
              </w:rPr>
              <w:t>WYNN RESORTS HOLDINGS, LLC,</w:t>
            </w:r>
          </w:p>
        </w:tc>
        <w:tc>
          <w:tcPr>
            <w:tcW w:w="460" w:type="dxa"/>
            <w:vAlign w:val="bottom"/>
          </w:tcPr>
          <w:p>
            <w:pPr>
              <w:spacing w:after="0"/>
              <w:rPr>
                <w:sz w:val="24"/>
                <w:szCs w:val="24"/>
                <w:color w:val="auto"/>
              </w:rPr>
            </w:pPr>
          </w:p>
        </w:tc>
        <w:tc>
          <w:tcPr>
            <w:tcW w:w="5280" w:type="dxa"/>
            <w:vAlign w:val="bottom"/>
            <w:gridSpan w:val="7"/>
          </w:tcPr>
          <w:p>
            <w:pPr>
              <w:ind w:left="780"/>
              <w:spacing w:after="0"/>
              <w:rPr>
                <w:sz w:val="20"/>
                <w:szCs w:val="20"/>
                <w:color w:val="auto"/>
              </w:rPr>
            </w:pPr>
            <w:r>
              <w:rPr>
                <w:rFonts w:ascii="Arial" w:cs="Arial" w:eastAsia="Arial" w:hAnsi="Arial"/>
                <w:sz w:val="22"/>
                <w:szCs w:val="22"/>
                <w:color w:val="auto"/>
              </w:rPr>
              <w:t>WYNN COMPLETION GUARANTOR, LLC,</w:t>
            </w:r>
          </w:p>
        </w:tc>
        <w:tc>
          <w:tcPr>
            <w:tcW w:w="0" w:type="dxa"/>
            <w:vAlign w:val="bottom"/>
          </w:tcPr>
          <w:p>
            <w:pPr>
              <w:spacing w:after="0"/>
              <w:rPr>
                <w:sz w:val="1"/>
                <w:szCs w:val="1"/>
                <w:color w:val="auto"/>
              </w:rPr>
            </w:pPr>
          </w:p>
        </w:tc>
      </w:tr>
      <w:tr>
        <w:trPr>
          <w:trHeight w:val="275"/>
        </w:trPr>
        <w:tc>
          <w:tcPr>
            <w:tcW w:w="3420" w:type="dxa"/>
            <w:vAlign w:val="bottom"/>
            <w:gridSpan w:val="8"/>
          </w:tcPr>
          <w:p>
            <w:pPr>
              <w:spacing w:after="0"/>
              <w:rPr>
                <w:sz w:val="20"/>
                <w:szCs w:val="20"/>
                <w:color w:val="auto"/>
              </w:rPr>
            </w:pPr>
            <w:r>
              <w:rPr>
                <w:rFonts w:ascii="Arial" w:cs="Arial" w:eastAsia="Arial" w:hAnsi="Arial"/>
                <w:sz w:val="22"/>
                <w:szCs w:val="22"/>
                <w:color w:val="auto"/>
              </w:rPr>
              <w:t>a Nevada limited liability company</w:t>
            </w:r>
          </w:p>
        </w:tc>
        <w:tc>
          <w:tcPr>
            <w:tcW w:w="460" w:type="dxa"/>
            <w:vAlign w:val="bottom"/>
          </w:tcPr>
          <w:p>
            <w:pPr>
              <w:spacing w:after="0"/>
              <w:rPr>
                <w:sz w:val="23"/>
                <w:szCs w:val="23"/>
                <w:color w:val="auto"/>
              </w:rPr>
            </w:pPr>
          </w:p>
        </w:tc>
        <w:tc>
          <w:tcPr>
            <w:tcW w:w="5280" w:type="dxa"/>
            <w:vAlign w:val="bottom"/>
            <w:gridSpan w:val="7"/>
          </w:tcPr>
          <w:p>
            <w:pPr>
              <w:ind w:left="780"/>
              <w:spacing w:after="0"/>
              <w:rPr>
                <w:sz w:val="20"/>
                <w:szCs w:val="20"/>
                <w:color w:val="auto"/>
              </w:rPr>
            </w:pPr>
            <w:r>
              <w:rPr>
                <w:rFonts w:ascii="Arial" w:cs="Arial" w:eastAsia="Arial" w:hAnsi="Arial"/>
                <w:sz w:val="22"/>
                <w:szCs w:val="22"/>
                <w:color w:val="auto"/>
              </w:rPr>
              <w:t>a Nevada limited liability company</w:t>
            </w:r>
          </w:p>
        </w:tc>
        <w:tc>
          <w:tcPr>
            <w:tcW w:w="0" w:type="dxa"/>
            <w:vAlign w:val="bottom"/>
          </w:tcPr>
          <w:p>
            <w:pPr>
              <w:spacing w:after="0"/>
              <w:rPr>
                <w:sz w:val="1"/>
                <w:szCs w:val="1"/>
                <w:color w:val="auto"/>
              </w:rPr>
            </w:pPr>
          </w:p>
        </w:tc>
      </w:tr>
      <w:tr>
        <w:trPr>
          <w:trHeight w:val="644"/>
        </w:trPr>
        <w:tc>
          <w:tcPr>
            <w:tcW w:w="500" w:type="dxa"/>
            <w:vAlign w:val="bottom"/>
          </w:tcPr>
          <w:p>
            <w:pPr>
              <w:spacing w:after="0"/>
              <w:rPr>
                <w:sz w:val="20"/>
                <w:szCs w:val="20"/>
                <w:color w:val="auto"/>
              </w:rPr>
            </w:pPr>
            <w:r>
              <w:rPr>
                <w:rFonts w:ascii="Arial" w:cs="Arial" w:eastAsia="Arial" w:hAnsi="Arial"/>
                <w:sz w:val="22"/>
                <w:szCs w:val="22"/>
                <w:color w:val="auto"/>
              </w:rPr>
              <w:t>By:</w:t>
            </w:r>
          </w:p>
        </w:tc>
        <w:tc>
          <w:tcPr>
            <w:tcW w:w="2920" w:type="dxa"/>
            <w:vAlign w:val="bottom"/>
            <w:gridSpan w:val="7"/>
          </w:tcPr>
          <w:p>
            <w:pPr>
              <w:ind w:left="200"/>
              <w:spacing w:after="0"/>
              <w:rPr>
                <w:sz w:val="20"/>
                <w:szCs w:val="20"/>
                <w:color w:val="auto"/>
              </w:rPr>
            </w:pPr>
            <w:r>
              <w:rPr>
                <w:rFonts w:ascii="Arial" w:cs="Arial" w:eastAsia="Arial" w:hAnsi="Arial"/>
                <w:sz w:val="22"/>
                <w:szCs w:val="22"/>
                <w:color w:val="auto"/>
              </w:rPr>
              <w:t>Wynn Resorts Limited,</w:t>
            </w:r>
          </w:p>
        </w:tc>
        <w:tc>
          <w:tcPr>
            <w:tcW w:w="460" w:type="dxa"/>
            <w:vAlign w:val="bottom"/>
          </w:tcPr>
          <w:p>
            <w:pPr>
              <w:spacing w:after="0"/>
              <w:rPr>
                <w:sz w:val="24"/>
                <w:szCs w:val="24"/>
                <w:color w:val="auto"/>
              </w:rPr>
            </w:pPr>
          </w:p>
        </w:tc>
        <w:tc>
          <w:tcPr>
            <w:tcW w:w="1220" w:type="dxa"/>
            <w:vAlign w:val="bottom"/>
          </w:tcPr>
          <w:p>
            <w:pPr>
              <w:ind w:left="780"/>
              <w:spacing w:after="0"/>
              <w:rPr>
                <w:sz w:val="20"/>
                <w:szCs w:val="20"/>
                <w:color w:val="auto"/>
              </w:rPr>
            </w:pPr>
            <w:r>
              <w:rPr>
                <w:rFonts w:ascii="Arial" w:cs="Arial" w:eastAsia="Arial" w:hAnsi="Arial"/>
                <w:sz w:val="22"/>
                <w:szCs w:val="22"/>
                <w:color w:val="auto"/>
              </w:rPr>
              <w:t>By:</w:t>
            </w:r>
          </w:p>
        </w:tc>
        <w:tc>
          <w:tcPr>
            <w:tcW w:w="4060" w:type="dxa"/>
            <w:vAlign w:val="bottom"/>
            <w:gridSpan w:val="6"/>
          </w:tcPr>
          <w:p>
            <w:pPr>
              <w:ind w:left="260"/>
              <w:spacing w:after="0"/>
              <w:rPr>
                <w:sz w:val="20"/>
                <w:szCs w:val="20"/>
                <w:color w:val="auto"/>
              </w:rPr>
            </w:pPr>
            <w:r>
              <w:rPr>
                <w:rFonts w:ascii="Arial" w:cs="Arial" w:eastAsia="Arial" w:hAnsi="Arial"/>
                <w:sz w:val="22"/>
                <w:szCs w:val="22"/>
                <w:color w:val="auto"/>
              </w:rPr>
              <w:t>Wynn Las Vegas, LLC,</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2920" w:type="dxa"/>
            <w:vAlign w:val="bottom"/>
            <w:gridSpan w:val="7"/>
          </w:tcPr>
          <w:p>
            <w:pPr>
              <w:ind w:left="200"/>
              <w:spacing w:after="0" w:line="243" w:lineRule="exact"/>
              <w:rPr>
                <w:sz w:val="20"/>
                <w:szCs w:val="20"/>
                <w:color w:val="auto"/>
              </w:rPr>
            </w:pPr>
            <w:r>
              <w:rPr>
                <w:rFonts w:ascii="Arial" w:cs="Arial" w:eastAsia="Arial" w:hAnsi="Arial"/>
                <w:sz w:val="22"/>
                <w:szCs w:val="22"/>
                <w:color w:val="auto"/>
              </w:rPr>
              <w:t>a Nevada Corporation</w:t>
            </w: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60" w:type="dxa"/>
            <w:vAlign w:val="bottom"/>
            <w:gridSpan w:val="6"/>
          </w:tcPr>
          <w:p>
            <w:pPr>
              <w:ind w:left="260"/>
              <w:spacing w:after="0" w:line="243" w:lineRule="exact"/>
              <w:rPr>
                <w:sz w:val="20"/>
                <w:szCs w:val="20"/>
                <w:color w:val="auto"/>
              </w:rPr>
            </w:pPr>
            <w:r>
              <w:rPr>
                <w:rFonts w:ascii="Arial" w:cs="Arial" w:eastAsia="Arial" w:hAnsi="Arial"/>
                <w:sz w:val="22"/>
                <w:szCs w:val="22"/>
                <w:color w:val="auto"/>
              </w:rPr>
              <w:t>a Nevada limited liability company,</w:t>
            </w:r>
          </w:p>
        </w:tc>
        <w:tc>
          <w:tcPr>
            <w:tcW w:w="0" w:type="dxa"/>
            <w:vAlign w:val="bottom"/>
          </w:tcPr>
          <w:p>
            <w:pPr>
              <w:spacing w:after="0"/>
              <w:rPr>
                <w:sz w:val="1"/>
                <w:szCs w:val="1"/>
                <w:color w:val="auto"/>
              </w:rPr>
            </w:pPr>
          </w:p>
        </w:tc>
      </w:tr>
      <w:tr>
        <w:trPr>
          <w:trHeight w:val="275"/>
        </w:trPr>
        <w:tc>
          <w:tcPr>
            <w:tcW w:w="500" w:type="dxa"/>
            <w:vAlign w:val="bottom"/>
          </w:tcPr>
          <w:p>
            <w:pPr>
              <w:spacing w:after="0"/>
              <w:rPr>
                <w:sz w:val="23"/>
                <w:szCs w:val="23"/>
                <w:color w:val="auto"/>
              </w:rPr>
            </w:pPr>
          </w:p>
        </w:tc>
        <w:tc>
          <w:tcPr>
            <w:tcW w:w="2920" w:type="dxa"/>
            <w:vAlign w:val="bottom"/>
            <w:gridSpan w:val="7"/>
          </w:tcPr>
          <w:p>
            <w:pPr>
              <w:ind w:left="200"/>
              <w:spacing w:after="0"/>
              <w:rPr>
                <w:sz w:val="20"/>
                <w:szCs w:val="20"/>
                <w:color w:val="auto"/>
              </w:rPr>
            </w:pPr>
            <w:r>
              <w:rPr>
                <w:rFonts w:ascii="Arial" w:cs="Arial" w:eastAsia="Arial" w:hAnsi="Arial"/>
                <w:sz w:val="22"/>
                <w:szCs w:val="22"/>
                <w:color w:val="auto"/>
              </w:rPr>
              <w:t>its sole member</w:t>
            </w: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20" w:type="dxa"/>
            <w:vAlign w:val="bottom"/>
            <w:gridSpan w:val="3"/>
          </w:tcPr>
          <w:p>
            <w:pPr>
              <w:ind w:left="260"/>
              <w:spacing w:after="0"/>
              <w:rPr>
                <w:sz w:val="20"/>
                <w:szCs w:val="20"/>
                <w:color w:val="auto"/>
              </w:rPr>
            </w:pPr>
            <w:r>
              <w:rPr>
                <w:rFonts w:ascii="Arial" w:cs="Arial" w:eastAsia="Arial" w:hAnsi="Arial"/>
                <w:sz w:val="22"/>
                <w:szCs w:val="22"/>
                <w:color w:val="auto"/>
                <w:w w:val="92"/>
              </w:rPr>
              <w:t>its control manager</w:t>
            </w: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50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22"/>
                <w:szCs w:val="22"/>
                <w:color w:val="auto"/>
              </w:rPr>
              <w:t>By:</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4"/>
          </w:tcPr>
          <w:p>
            <w:pPr>
              <w:ind w:left="640"/>
              <w:spacing w:after="0"/>
              <w:rPr>
                <w:sz w:val="20"/>
                <w:szCs w:val="20"/>
                <w:color w:val="auto"/>
              </w:rPr>
            </w:pPr>
            <w:r>
              <w:rPr>
                <w:rFonts w:ascii="Arial" w:cs="Arial" w:eastAsia="Arial" w:hAnsi="Arial"/>
                <w:sz w:val="22"/>
                <w:szCs w:val="22"/>
                <w:color w:val="auto"/>
              </w:rPr>
              <w:t>/s/ Matt</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ind w:left="260"/>
              <w:spacing w:after="0"/>
              <w:rPr>
                <w:sz w:val="20"/>
                <w:szCs w:val="20"/>
                <w:color w:val="auto"/>
              </w:rPr>
            </w:pPr>
            <w:r>
              <w:rPr>
                <w:rFonts w:ascii="Arial" w:cs="Arial" w:eastAsia="Arial" w:hAnsi="Arial"/>
                <w:sz w:val="22"/>
                <w:szCs w:val="22"/>
                <w:color w:val="auto"/>
              </w:rPr>
              <w:t>By:</w:t>
            </w:r>
          </w:p>
        </w:tc>
        <w:tc>
          <w:tcPr>
            <w:tcW w:w="3300" w:type="dxa"/>
            <w:vAlign w:val="bottom"/>
            <w:gridSpan w:val="5"/>
          </w:tcPr>
          <w:p>
            <w:pPr>
              <w:ind w:left="220"/>
              <w:spacing w:after="0"/>
              <w:rPr>
                <w:sz w:val="20"/>
                <w:szCs w:val="20"/>
                <w:color w:val="auto"/>
              </w:rPr>
            </w:pPr>
            <w:r>
              <w:rPr>
                <w:rFonts w:ascii="Arial" w:cs="Arial" w:eastAsia="Arial" w:hAnsi="Arial"/>
                <w:sz w:val="22"/>
                <w:szCs w:val="22"/>
                <w:color w:val="auto"/>
              </w:rPr>
              <w:t>Wynn Resorts Holdings, LLC,</w:t>
            </w:r>
          </w:p>
        </w:tc>
        <w:tc>
          <w:tcPr>
            <w:tcW w:w="0" w:type="dxa"/>
            <w:vAlign w:val="bottom"/>
          </w:tcPr>
          <w:p>
            <w:pPr>
              <w:spacing w:after="0"/>
              <w:rPr>
                <w:sz w:val="1"/>
                <w:szCs w:val="1"/>
                <w:color w:val="auto"/>
              </w:rPr>
            </w:pPr>
          </w:p>
        </w:tc>
      </w:tr>
      <w:tr>
        <w:trPr>
          <w:trHeight w:val="272"/>
        </w:trPr>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vMerge w:val="restart"/>
          </w:tcPr>
          <w:p>
            <w:pPr>
              <w:ind w:left="160"/>
              <w:spacing w:after="0"/>
              <w:rPr>
                <w:sz w:val="20"/>
                <w:szCs w:val="20"/>
                <w:color w:val="auto"/>
              </w:rPr>
            </w:pPr>
            <w:r>
              <w:rPr>
                <w:rFonts w:ascii="Arial" w:cs="Arial" w:eastAsia="Arial" w:hAnsi="Arial"/>
                <w:sz w:val="22"/>
                <w:szCs w:val="22"/>
                <w:color w:val="auto"/>
                <w:w w:val="89"/>
              </w:rPr>
              <w:t>Name:</w:t>
            </w:r>
          </w:p>
        </w:tc>
        <w:tc>
          <w:tcPr>
            <w:tcW w:w="1480" w:type="dxa"/>
            <w:vAlign w:val="bottom"/>
            <w:gridSpan w:val="5"/>
          </w:tcPr>
          <w:p>
            <w:pPr>
              <w:ind w:left="40"/>
              <w:spacing w:after="0"/>
              <w:rPr>
                <w:sz w:val="20"/>
                <w:szCs w:val="20"/>
                <w:color w:val="auto"/>
              </w:rPr>
            </w:pPr>
            <w:r>
              <w:rPr>
                <w:rFonts w:ascii="Arial" w:cs="Arial" w:eastAsia="Arial" w:hAnsi="Arial"/>
                <w:sz w:val="22"/>
                <w:szCs w:val="22"/>
                <w:color w:val="auto"/>
              </w:rPr>
              <w:t>Maddox</w:t>
            </w: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300" w:type="dxa"/>
            <w:vAlign w:val="bottom"/>
            <w:gridSpan w:val="5"/>
            <w:vMerge w:val="restart"/>
          </w:tcPr>
          <w:p>
            <w:pPr>
              <w:ind w:left="220"/>
              <w:spacing w:after="0"/>
              <w:rPr>
                <w:sz w:val="20"/>
                <w:szCs w:val="20"/>
                <w:color w:val="auto"/>
              </w:rPr>
            </w:pPr>
            <w:r>
              <w:rPr>
                <w:rFonts w:ascii="Arial" w:cs="Arial" w:eastAsia="Arial" w:hAnsi="Arial"/>
                <w:sz w:val="22"/>
                <w:szCs w:val="22"/>
                <w:color w:val="auto"/>
                <w:w w:val="90"/>
              </w:rPr>
              <w:t>a Nevada limited liability company,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Borders>
              <w:top w:val="single" w:sz="8" w:color="auto"/>
            </w:tcBorders>
            <w:gridSpan w:val="3"/>
          </w:tcPr>
          <w:p>
            <w:pPr>
              <w:ind w:left="640"/>
              <w:spacing w:after="0" w:line="222" w:lineRule="exact"/>
              <w:rPr>
                <w:sz w:val="20"/>
                <w:szCs w:val="20"/>
                <w:color w:val="auto"/>
              </w:rPr>
            </w:pPr>
            <w:r>
              <w:rPr>
                <w:rFonts w:ascii="Arial" w:cs="Arial" w:eastAsia="Arial" w:hAnsi="Arial"/>
                <w:sz w:val="22"/>
                <w:szCs w:val="22"/>
                <w:color w:val="auto"/>
              </w:rPr>
              <w:t>Matt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vMerge w:val="restart"/>
          </w:tcPr>
          <w:p>
            <w:pPr>
              <w:ind w:left="160"/>
              <w:spacing w:after="0"/>
              <w:rPr>
                <w:sz w:val="20"/>
                <w:szCs w:val="20"/>
                <w:color w:val="auto"/>
              </w:rPr>
            </w:pPr>
            <w:r>
              <w:rPr>
                <w:rFonts w:ascii="Arial" w:cs="Arial" w:eastAsia="Arial" w:hAnsi="Arial"/>
                <w:sz w:val="22"/>
                <w:szCs w:val="22"/>
                <w:color w:val="auto"/>
              </w:rPr>
              <w:t>Title:</w:t>
            </w:r>
          </w:p>
        </w:tc>
        <w:tc>
          <w:tcPr>
            <w:tcW w:w="1480" w:type="dxa"/>
            <w:vAlign w:val="bottom"/>
            <w:gridSpan w:val="5"/>
          </w:tcPr>
          <w:p>
            <w:pPr>
              <w:ind w:left="40"/>
              <w:spacing w:after="0"/>
              <w:rPr>
                <w:sz w:val="20"/>
                <w:szCs w:val="20"/>
                <w:color w:val="auto"/>
              </w:rPr>
            </w:pPr>
            <w:r>
              <w:rPr>
                <w:rFonts w:ascii="Arial" w:cs="Arial" w:eastAsia="Arial" w:hAnsi="Arial"/>
                <w:sz w:val="22"/>
                <w:szCs w:val="22"/>
                <w:color w:val="auto"/>
              </w:rPr>
              <w:t>Maddox</w:t>
            </w: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300" w:type="dxa"/>
            <w:vAlign w:val="bottom"/>
            <w:gridSpan w:val="5"/>
            <w:vMerge w:val="restart"/>
          </w:tcPr>
          <w:p>
            <w:pPr>
              <w:ind w:left="220"/>
              <w:spacing w:after="0"/>
              <w:rPr>
                <w:sz w:val="20"/>
                <w:szCs w:val="20"/>
                <w:color w:val="auto"/>
              </w:rPr>
            </w:pPr>
            <w:r>
              <w:rPr>
                <w:rFonts w:ascii="Arial" w:cs="Arial" w:eastAsia="Arial" w:hAnsi="Arial"/>
                <w:sz w:val="22"/>
                <w:szCs w:val="22"/>
                <w:color w:val="auto"/>
              </w:rPr>
              <w:t>its sole member</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Borders>
              <w:top w:val="single" w:sz="8" w:color="auto"/>
            </w:tcBorders>
            <w:gridSpan w:val="3"/>
          </w:tcPr>
          <w:p>
            <w:pPr>
              <w:ind w:left="640"/>
              <w:spacing w:after="0" w:line="222" w:lineRule="exact"/>
              <w:rPr>
                <w:sz w:val="20"/>
                <w:szCs w:val="20"/>
                <w:color w:val="auto"/>
              </w:rPr>
            </w:pPr>
            <w:r>
              <w:rPr>
                <w:rFonts w:ascii="Arial" w:cs="Arial" w:eastAsia="Arial" w:hAnsi="Arial"/>
                <w:sz w:val="22"/>
                <w:szCs w:val="22"/>
                <w:color w:val="auto"/>
              </w:rPr>
              <w:t>CFO</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80" w:type="dxa"/>
            <w:vAlign w:val="bottom"/>
            <w:gridSpan w:val="5"/>
          </w:tcPr>
          <w:p>
            <w:pPr>
              <w:ind w:left="40"/>
              <w:spacing w:after="0"/>
              <w:rPr>
                <w:sz w:val="20"/>
                <w:szCs w:val="20"/>
                <w:color w:val="auto"/>
              </w:rPr>
            </w:pPr>
            <w:r>
              <w:rPr>
                <w:rFonts w:ascii="Arial" w:cs="Arial" w:eastAsia="Arial" w:hAnsi="Arial"/>
                <w:sz w:val="22"/>
                <w:szCs w:val="22"/>
                <w:color w:val="auto"/>
              </w:rPr>
              <w:t>and Treasurer</w:t>
            </w: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8"/>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22"/>
                <w:szCs w:val="22"/>
                <w:color w:val="auto"/>
              </w:rPr>
              <w:t>By:</w:t>
            </w:r>
          </w:p>
        </w:tc>
        <w:tc>
          <w:tcPr>
            <w:tcW w:w="2440" w:type="dxa"/>
            <w:vAlign w:val="bottom"/>
            <w:gridSpan w:val="4"/>
          </w:tcPr>
          <w:p>
            <w:pPr>
              <w:ind w:left="60"/>
              <w:spacing w:after="0"/>
              <w:rPr>
                <w:sz w:val="20"/>
                <w:szCs w:val="20"/>
                <w:color w:val="auto"/>
              </w:rPr>
            </w:pPr>
            <w:r>
              <w:rPr>
                <w:rFonts w:ascii="Arial" w:cs="Arial" w:eastAsia="Arial" w:hAnsi="Arial"/>
                <w:sz w:val="22"/>
                <w:szCs w:val="22"/>
                <w:color w:val="auto"/>
              </w:rPr>
              <w:t>Wynn Resorts, Limited,</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40" w:type="dxa"/>
            <w:vAlign w:val="bottom"/>
            <w:gridSpan w:val="4"/>
          </w:tcPr>
          <w:p>
            <w:pPr>
              <w:ind w:left="60"/>
              <w:spacing w:after="0" w:line="243" w:lineRule="exact"/>
              <w:rPr>
                <w:sz w:val="20"/>
                <w:szCs w:val="20"/>
                <w:color w:val="auto"/>
              </w:rPr>
            </w:pPr>
            <w:r>
              <w:rPr>
                <w:rFonts w:ascii="Arial" w:cs="Arial" w:eastAsia="Arial" w:hAnsi="Arial"/>
                <w:sz w:val="22"/>
                <w:szCs w:val="22"/>
                <w:color w:val="auto"/>
              </w:rPr>
              <w:t>a Nevada corporation,</w:t>
            </w:r>
          </w:p>
        </w:tc>
        <w:tc>
          <w:tcPr>
            <w:tcW w:w="0" w:type="dxa"/>
            <w:vAlign w:val="bottom"/>
          </w:tcPr>
          <w:p>
            <w:pPr>
              <w:spacing w:after="0"/>
              <w:rPr>
                <w:sz w:val="1"/>
                <w:szCs w:val="1"/>
                <w:color w:val="auto"/>
              </w:rPr>
            </w:pPr>
          </w:p>
        </w:tc>
      </w:tr>
      <w:tr>
        <w:trPr>
          <w:trHeight w:val="275"/>
        </w:trPr>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gridSpan w:val="2"/>
          </w:tcPr>
          <w:p>
            <w:pPr>
              <w:ind w:left="120"/>
              <w:spacing w:after="0"/>
              <w:rPr>
                <w:sz w:val="20"/>
                <w:szCs w:val="20"/>
                <w:color w:val="auto"/>
              </w:rPr>
            </w:pPr>
            <w:r>
              <w:rPr>
                <w:rFonts w:ascii="Arial" w:cs="Arial" w:eastAsia="Arial" w:hAnsi="Arial"/>
                <w:sz w:val="22"/>
                <w:szCs w:val="22"/>
                <w:color w:val="auto"/>
              </w:rPr>
              <w:t>its sole member</w:t>
            </w:r>
          </w:p>
        </w:tc>
        <w:tc>
          <w:tcPr>
            <w:tcW w:w="0" w:type="dxa"/>
            <w:vAlign w:val="bottom"/>
          </w:tcPr>
          <w:p>
            <w:pPr>
              <w:spacing w:after="0"/>
              <w:rPr>
                <w:sz w:val="1"/>
                <w:szCs w:val="1"/>
                <w:color w:val="auto"/>
              </w:rPr>
            </w:pPr>
          </w:p>
        </w:tc>
      </w:tr>
      <w:tr>
        <w:trPr>
          <w:trHeight w:val="455"/>
        </w:trPr>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ind w:left="500"/>
              <w:spacing w:after="0"/>
              <w:rPr>
                <w:sz w:val="20"/>
                <w:szCs w:val="20"/>
                <w:color w:val="auto"/>
              </w:rPr>
            </w:pPr>
            <w:r>
              <w:rPr>
                <w:rFonts w:ascii="Arial" w:cs="Arial" w:eastAsia="Arial" w:hAnsi="Arial"/>
                <w:sz w:val="22"/>
                <w:szCs w:val="22"/>
                <w:color w:val="auto"/>
              </w:rPr>
              <w:t>By:</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ind w:left="460"/>
              <w:spacing w:after="0"/>
              <w:rPr>
                <w:sz w:val="20"/>
                <w:szCs w:val="20"/>
                <w:color w:val="auto"/>
              </w:rPr>
            </w:pPr>
            <w:r>
              <w:rPr>
                <w:rFonts w:ascii="Arial" w:cs="Arial" w:eastAsia="Arial" w:hAnsi="Arial"/>
                <w:sz w:val="22"/>
                <w:szCs w:val="22"/>
                <w:color w:val="auto"/>
              </w:rPr>
              <w:t>/s/ Matt</w:t>
            </w:r>
          </w:p>
        </w:tc>
        <w:tc>
          <w:tcPr>
            <w:tcW w:w="0" w:type="dxa"/>
            <w:vAlign w:val="bottom"/>
          </w:tcPr>
          <w:p>
            <w:pPr>
              <w:spacing w:after="0"/>
              <w:rPr>
                <w:sz w:val="1"/>
                <w:szCs w:val="1"/>
                <w:color w:val="auto"/>
              </w:rPr>
            </w:pPr>
          </w:p>
        </w:tc>
      </w:tr>
      <w:tr>
        <w:trPr>
          <w:trHeight w:val="272"/>
        </w:trPr>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60" w:type="dxa"/>
            <w:vAlign w:val="bottom"/>
            <w:gridSpan w:val="2"/>
            <w:vMerge w:val="restart"/>
          </w:tcPr>
          <w:p>
            <w:pPr>
              <w:ind w:left="500"/>
              <w:spacing w:after="0"/>
              <w:rPr>
                <w:sz w:val="20"/>
                <w:szCs w:val="20"/>
                <w:color w:val="auto"/>
              </w:rPr>
            </w:pPr>
            <w:r>
              <w:rPr>
                <w:rFonts w:ascii="Arial" w:cs="Arial" w:eastAsia="Arial" w:hAnsi="Arial"/>
                <w:sz w:val="22"/>
                <w:szCs w:val="22"/>
                <w:color w:val="auto"/>
              </w:rPr>
              <w:t>Name:</w:t>
            </w:r>
          </w:p>
        </w:tc>
        <w:tc>
          <w:tcPr>
            <w:tcW w:w="2040" w:type="dxa"/>
            <w:vAlign w:val="bottom"/>
            <w:gridSpan w:val="3"/>
          </w:tcPr>
          <w:p>
            <w:pPr>
              <w:spacing w:after="0"/>
              <w:rPr>
                <w:sz w:val="20"/>
                <w:szCs w:val="20"/>
                <w:color w:val="auto"/>
              </w:rPr>
            </w:pPr>
            <w:r>
              <w:rPr>
                <w:rFonts w:ascii="Arial" w:cs="Arial" w:eastAsia="Arial" w:hAnsi="Arial"/>
                <w:sz w:val="22"/>
                <w:szCs w:val="22"/>
                <w:color w:val="auto"/>
              </w:rPr>
              <w:t>Maddox</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ind w:left="460"/>
              <w:spacing w:after="0" w:line="222" w:lineRule="exact"/>
              <w:rPr>
                <w:sz w:val="20"/>
                <w:szCs w:val="20"/>
                <w:color w:val="auto"/>
              </w:rPr>
            </w:pPr>
            <w:r>
              <w:rPr>
                <w:rFonts w:ascii="Arial" w:cs="Arial" w:eastAsia="Arial" w:hAnsi="Arial"/>
                <w:sz w:val="22"/>
                <w:szCs w:val="22"/>
                <w:color w:val="auto"/>
              </w:rPr>
              <w:t>Matt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60" w:type="dxa"/>
            <w:vAlign w:val="bottom"/>
            <w:gridSpan w:val="2"/>
            <w:vMerge w:val="restart"/>
          </w:tcPr>
          <w:p>
            <w:pPr>
              <w:ind w:left="500"/>
              <w:spacing w:after="0"/>
              <w:rPr>
                <w:sz w:val="20"/>
                <w:szCs w:val="20"/>
                <w:color w:val="auto"/>
              </w:rPr>
            </w:pPr>
            <w:r>
              <w:rPr>
                <w:rFonts w:ascii="Arial" w:cs="Arial" w:eastAsia="Arial" w:hAnsi="Arial"/>
                <w:sz w:val="22"/>
                <w:szCs w:val="22"/>
                <w:color w:val="auto"/>
              </w:rPr>
              <w:t>Title:</w:t>
            </w:r>
          </w:p>
        </w:tc>
        <w:tc>
          <w:tcPr>
            <w:tcW w:w="2040" w:type="dxa"/>
            <w:vAlign w:val="bottom"/>
            <w:gridSpan w:val="3"/>
          </w:tcPr>
          <w:p>
            <w:pPr>
              <w:spacing w:after="0"/>
              <w:rPr>
                <w:sz w:val="20"/>
                <w:szCs w:val="20"/>
                <w:color w:val="auto"/>
              </w:rPr>
            </w:pPr>
            <w:r>
              <w:rPr>
                <w:rFonts w:ascii="Arial" w:cs="Arial" w:eastAsia="Arial" w:hAnsi="Arial"/>
                <w:sz w:val="22"/>
                <w:szCs w:val="22"/>
                <w:color w:val="auto"/>
              </w:rPr>
              <w:t>Maddox</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ind w:left="460"/>
              <w:spacing w:after="0" w:line="222" w:lineRule="exact"/>
              <w:rPr>
                <w:sz w:val="20"/>
                <w:szCs w:val="20"/>
                <w:color w:val="auto"/>
              </w:rPr>
            </w:pPr>
            <w:r>
              <w:rPr>
                <w:rFonts w:ascii="Arial" w:cs="Arial" w:eastAsia="Arial" w:hAnsi="Arial"/>
                <w:sz w:val="22"/>
                <w:szCs w:val="22"/>
                <w:color w:val="auto"/>
              </w:rPr>
              <w:t>CFO and</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Treasurer</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[Signature Page to Sixth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265430</wp:posOffset>
            </wp:positionV>
            <wp:extent cx="601599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ectPr>
          <w:pgSz w:w="11900" w:h="16838" w:orient="portrait"/>
          <w:cols w:equalWidth="0" w:num="1">
            <w:col w:w="9920"/>
          </w:cols>
          <w:pgMar w:left="1440" w:top="510" w:right="539" w:bottom="1440" w:gutter="0" w:footer="0" w:header="0"/>
          <w:type w:val="continuous"/>
        </w:sectPr>
      </w:pPr>
    </w:p>
    <w:bookmarkStart w:id="253" w:name="page254"/>
    <w:bookmarkEnd w:id="253"/>
    <w:p>
      <w:pPr>
        <w:ind w:left="760"/>
        <w:spacing w:after="0"/>
        <w:rPr>
          <w:sz w:val="20"/>
          <w:szCs w:val="20"/>
          <w:color w:val="auto"/>
        </w:rPr>
      </w:pPr>
      <w:r>
        <w:rPr>
          <w:rFonts w:ascii="Arial" w:cs="Arial" w:eastAsia="Arial" w:hAnsi="Arial"/>
          <w:sz w:val="22"/>
          <w:szCs w:val="22"/>
          <w:color w:val="auto"/>
        </w:rPr>
        <w:t>DEUTSCHE BANK TRUST COMPANY AMERICAS</w:t>
      </w:r>
    </w:p>
    <w:p>
      <w:pPr>
        <w:spacing w:after="0" w:line="223"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1980" w:type="dxa"/>
            <w:vAlign w:val="bottom"/>
          </w:tcPr>
          <w:p>
            <w:pPr>
              <w:ind w:left="660"/>
              <w:spacing w:after="0"/>
              <w:rPr>
                <w:sz w:val="20"/>
                <w:szCs w:val="20"/>
                <w:color w:val="auto"/>
              </w:rPr>
            </w:pPr>
            <w:r>
              <w:rPr>
                <w:rFonts w:ascii="Arial" w:cs="Arial" w:eastAsia="Arial" w:hAnsi="Arial"/>
                <w:sz w:val="22"/>
                <w:szCs w:val="22"/>
                <w:color w:val="auto"/>
                <w:w w:val="96"/>
              </w:rPr>
              <w:t>/s/ Marguerite</w:t>
            </w:r>
          </w:p>
        </w:tc>
        <w:tc>
          <w:tcPr>
            <w:tcW w:w="0" w:type="dxa"/>
            <w:vAlign w:val="bottom"/>
          </w:tcPr>
          <w:p>
            <w:pPr>
              <w:spacing w:after="0"/>
              <w:rPr>
                <w:sz w:val="1"/>
                <w:szCs w:val="1"/>
                <w:color w:val="auto"/>
              </w:rPr>
            </w:pPr>
          </w:p>
        </w:tc>
      </w:tr>
      <w:tr>
        <w:trPr>
          <w:trHeight w:val="272"/>
        </w:trPr>
        <w:tc>
          <w:tcPr>
            <w:tcW w:w="7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1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Sutton</w:t>
            </w:r>
          </w:p>
        </w:tc>
        <w:tc>
          <w:tcPr>
            <w:tcW w:w="0" w:type="dxa"/>
            <w:vAlign w:val="bottom"/>
          </w:tcPr>
          <w:p>
            <w:pPr>
              <w:spacing w:after="0"/>
              <w:rPr>
                <w:sz w:val="1"/>
                <w:szCs w:val="1"/>
                <w:color w:val="auto"/>
              </w:rPr>
            </w:pPr>
          </w:p>
        </w:tc>
      </w:tr>
      <w:tr>
        <w:trPr>
          <w:trHeight w:val="222"/>
        </w:trPr>
        <w:tc>
          <w:tcPr>
            <w:tcW w:w="760" w:type="dxa"/>
            <w:vAlign w:val="bottom"/>
            <w:vMerge w:val="continue"/>
          </w:tcPr>
          <w:p>
            <w:pPr>
              <w:spacing w:after="0"/>
              <w:rPr>
                <w:sz w:val="19"/>
                <w:szCs w:val="19"/>
                <w:color w:val="auto"/>
              </w:rPr>
            </w:pPr>
          </w:p>
        </w:tc>
        <w:tc>
          <w:tcPr>
            <w:tcW w:w="1980" w:type="dxa"/>
            <w:vAlign w:val="bottom"/>
          </w:tcPr>
          <w:p>
            <w:pPr>
              <w:ind w:left="660"/>
              <w:spacing w:after="0" w:line="222" w:lineRule="exact"/>
              <w:rPr>
                <w:sz w:val="20"/>
                <w:szCs w:val="20"/>
                <w:color w:val="auto"/>
              </w:rPr>
            </w:pPr>
            <w:r>
              <w:rPr>
                <w:rFonts w:ascii="Arial" w:cs="Arial" w:eastAsia="Arial" w:hAnsi="Arial"/>
                <w:sz w:val="22"/>
                <w:szCs w:val="22"/>
                <w:color w:val="auto"/>
              </w:rPr>
              <w:t>Marguerite</w:t>
            </w:r>
          </w:p>
        </w:tc>
        <w:tc>
          <w:tcPr>
            <w:tcW w:w="0" w:type="dxa"/>
            <w:vAlign w:val="bottom"/>
          </w:tcPr>
          <w:p>
            <w:pPr>
              <w:spacing w:after="0"/>
              <w:rPr>
                <w:sz w:val="1"/>
                <w:szCs w:val="1"/>
                <w:color w:val="auto"/>
              </w:rPr>
            </w:pPr>
          </w:p>
        </w:tc>
      </w:tr>
      <w:tr>
        <w:trPr>
          <w:trHeight w:val="272"/>
        </w:trPr>
        <w:tc>
          <w:tcPr>
            <w:tcW w:w="76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1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Sutton</w:t>
            </w:r>
          </w:p>
        </w:tc>
        <w:tc>
          <w:tcPr>
            <w:tcW w:w="0" w:type="dxa"/>
            <w:vAlign w:val="bottom"/>
          </w:tcPr>
          <w:p>
            <w:pPr>
              <w:spacing w:after="0"/>
              <w:rPr>
                <w:sz w:val="1"/>
                <w:szCs w:val="1"/>
                <w:color w:val="auto"/>
              </w:rPr>
            </w:pPr>
          </w:p>
        </w:tc>
      </w:tr>
      <w:tr>
        <w:trPr>
          <w:trHeight w:val="250"/>
        </w:trPr>
        <w:tc>
          <w:tcPr>
            <w:tcW w:w="760" w:type="dxa"/>
            <w:vAlign w:val="bottom"/>
            <w:vMerge w:val="continue"/>
          </w:tcPr>
          <w:p>
            <w:pPr>
              <w:spacing w:after="0"/>
              <w:rPr>
                <w:sz w:val="21"/>
                <w:szCs w:val="21"/>
                <w:color w:val="auto"/>
              </w:rPr>
            </w:pPr>
          </w:p>
        </w:tc>
        <w:tc>
          <w:tcPr>
            <w:tcW w:w="1980" w:type="dxa"/>
            <w:vAlign w:val="bottom"/>
            <w:tcBorders>
              <w:bottom w:val="single" w:sz="8" w:color="auto"/>
            </w:tcBorders>
          </w:tcPr>
          <w:p>
            <w:pPr>
              <w:ind w:left="660"/>
              <w:spacing w:after="0" w:line="243" w:lineRule="exact"/>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46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1980" w:type="dxa"/>
            <w:vAlign w:val="bottom"/>
          </w:tcPr>
          <w:p>
            <w:pPr>
              <w:ind w:left="660"/>
              <w:spacing w:after="0"/>
              <w:rPr>
                <w:sz w:val="20"/>
                <w:szCs w:val="20"/>
                <w:color w:val="auto"/>
              </w:rPr>
            </w:pPr>
            <w:r>
              <w:rPr>
                <w:rFonts w:ascii="Arial" w:cs="Arial" w:eastAsia="Arial" w:hAnsi="Arial"/>
                <w:sz w:val="22"/>
                <w:szCs w:val="22"/>
                <w:color w:val="auto"/>
              </w:rPr>
              <w:t>/s/ Mary Kay</w:t>
            </w:r>
          </w:p>
        </w:tc>
        <w:tc>
          <w:tcPr>
            <w:tcW w:w="0" w:type="dxa"/>
            <w:vAlign w:val="bottom"/>
          </w:tcPr>
          <w:p>
            <w:pPr>
              <w:spacing w:after="0"/>
              <w:rPr>
                <w:sz w:val="1"/>
                <w:szCs w:val="1"/>
                <w:color w:val="auto"/>
              </w:rPr>
            </w:pPr>
          </w:p>
        </w:tc>
      </w:tr>
      <w:tr>
        <w:trPr>
          <w:trHeight w:val="272"/>
        </w:trPr>
        <w:tc>
          <w:tcPr>
            <w:tcW w:w="7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1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Coyle</w:t>
            </w:r>
          </w:p>
        </w:tc>
        <w:tc>
          <w:tcPr>
            <w:tcW w:w="0" w:type="dxa"/>
            <w:vAlign w:val="bottom"/>
          </w:tcPr>
          <w:p>
            <w:pPr>
              <w:spacing w:after="0"/>
              <w:rPr>
                <w:sz w:val="1"/>
                <w:szCs w:val="1"/>
                <w:color w:val="auto"/>
              </w:rPr>
            </w:pPr>
          </w:p>
        </w:tc>
      </w:tr>
      <w:tr>
        <w:trPr>
          <w:trHeight w:val="222"/>
        </w:trPr>
        <w:tc>
          <w:tcPr>
            <w:tcW w:w="760" w:type="dxa"/>
            <w:vAlign w:val="bottom"/>
            <w:vMerge w:val="continue"/>
          </w:tcPr>
          <w:p>
            <w:pPr>
              <w:spacing w:after="0"/>
              <w:rPr>
                <w:sz w:val="19"/>
                <w:szCs w:val="19"/>
                <w:color w:val="auto"/>
              </w:rPr>
            </w:pPr>
          </w:p>
        </w:tc>
        <w:tc>
          <w:tcPr>
            <w:tcW w:w="1980" w:type="dxa"/>
            <w:vAlign w:val="bottom"/>
          </w:tcPr>
          <w:p>
            <w:pPr>
              <w:ind w:left="660"/>
              <w:spacing w:after="0" w:line="222" w:lineRule="exact"/>
              <w:rPr>
                <w:sz w:val="20"/>
                <w:szCs w:val="20"/>
                <w:color w:val="auto"/>
              </w:rPr>
            </w:pPr>
            <w:r>
              <w:rPr>
                <w:rFonts w:ascii="Arial" w:cs="Arial" w:eastAsia="Arial" w:hAnsi="Arial"/>
                <w:sz w:val="22"/>
                <w:szCs w:val="22"/>
                <w:color w:val="auto"/>
              </w:rPr>
              <w:t>Mary Kay</w:t>
            </w:r>
          </w:p>
        </w:tc>
        <w:tc>
          <w:tcPr>
            <w:tcW w:w="0" w:type="dxa"/>
            <w:vAlign w:val="bottom"/>
          </w:tcPr>
          <w:p>
            <w:pPr>
              <w:spacing w:after="0"/>
              <w:rPr>
                <w:sz w:val="1"/>
                <w:szCs w:val="1"/>
                <w:color w:val="auto"/>
              </w:rPr>
            </w:pPr>
          </w:p>
        </w:tc>
      </w:tr>
      <w:tr>
        <w:trPr>
          <w:trHeight w:val="272"/>
        </w:trPr>
        <w:tc>
          <w:tcPr>
            <w:tcW w:w="76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1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Coyle</w:t>
            </w:r>
          </w:p>
        </w:tc>
        <w:tc>
          <w:tcPr>
            <w:tcW w:w="0" w:type="dxa"/>
            <w:vAlign w:val="bottom"/>
          </w:tcPr>
          <w:p>
            <w:pPr>
              <w:spacing w:after="0"/>
              <w:rPr>
                <w:sz w:val="1"/>
                <w:szCs w:val="1"/>
                <w:color w:val="auto"/>
              </w:rPr>
            </w:pPr>
          </w:p>
        </w:tc>
      </w:tr>
      <w:tr>
        <w:trPr>
          <w:trHeight w:val="222"/>
        </w:trPr>
        <w:tc>
          <w:tcPr>
            <w:tcW w:w="760" w:type="dxa"/>
            <w:vAlign w:val="bottom"/>
            <w:vMerge w:val="continue"/>
          </w:tcPr>
          <w:p>
            <w:pPr>
              <w:spacing w:after="0"/>
              <w:rPr>
                <w:sz w:val="19"/>
                <w:szCs w:val="19"/>
                <w:color w:val="auto"/>
              </w:rPr>
            </w:pPr>
          </w:p>
        </w:tc>
        <w:tc>
          <w:tcPr>
            <w:tcW w:w="1980" w:type="dxa"/>
            <w:vAlign w:val="bottom"/>
          </w:tcPr>
          <w:p>
            <w:pPr>
              <w:ind w:left="660"/>
              <w:spacing w:after="0" w:line="222" w:lineRule="exact"/>
              <w:rPr>
                <w:sz w:val="20"/>
                <w:szCs w:val="20"/>
                <w:color w:val="auto"/>
              </w:rPr>
            </w:pPr>
            <w:r>
              <w:rPr>
                <w:rFonts w:ascii="Arial" w:cs="Arial" w:eastAsia="Arial" w:hAnsi="Arial"/>
                <w:sz w:val="22"/>
                <w:szCs w:val="22"/>
                <w:color w:val="auto"/>
              </w:rPr>
              <w:t>Managing</w:t>
            </w:r>
          </w:p>
        </w:tc>
        <w:tc>
          <w:tcPr>
            <w:tcW w:w="0" w:type="dxa"/>
            <w:vAlign w:val="bottom"/>
          </w:tcPr>
          <w:p>
            <w:pPr>
              <w:spacing w:after="0"/>
              <w:rPr>
                <w:sz w:val="1"/>
                <w:szCs w:val="1"/>
                <w:color w:val="auto"/>
              </w:rPr>
            </w:pPr>
          </w:p>
        </w:tc>
      </w:tr>
      <w:tr>
        <w:trPr>
          <w:trHeight w:val="272"/>
        </w:trPr>
        <w:tc>
          <w:tcPr>
            <w:tcW w:w="760" w:type="dxa"/>
            <w:vAlign w:val="bottom"/>
          </w:tcPr>
          <w:p>
            <w:pPr>
              <w:spacing w:after="0"/>
              <w:rPr>
                <w:sz w:val="23"/>
                <w:szCs w:val="23"/>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639"/>
        <w:spacing w:after="0"/>
        <w:rPr>
          <w:sz w:val="20"/>
          <w:szCs w:val="20"/>
          <w:color w:val="auto"/>
        </w:rPr>
      </w:pPr>
      <w:r>
        <w:rPr>
          <w:rFonts w:ascii="Arial" w:cs="Arial" w:eastAsia="Arial" w:hAnsi="Arial"/>
          <w:sz w:val="22"/>
          <w:szCs w:val="22"/>
          <w:color w:val="auto"/>
        </w:rPr>
        <w:t>[Signature Page to Sixth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227965</wp:posOffset>
            </wp:positionV>
            <wp:extent cx="6033135"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3135" cy="21590"/>
                    </a:xfrm>
                    <a:prstGeom prst="rect">
                      <a:avLst/>
                    </a:prstGeom>
                    <a:noFill/>
                  </pic:spPr>
                </pic:pic>
              </a:graphicData>
            </a:graphic>
          </wp:anchor>
        </w:drawing>
      </w:r>
    </w:p>
    <w:sectPr>
      <w:pgSz w:w="11900" w:h="16838" w:orient="portrait"/>
      <w:cols w:equalWidth="0" w:num="1">
        <w:col w:w="9019"/>
      </w:cols>
      <w:pgMar w:left="1440" w:top="5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F856867"/>
    <w:multiLevelType w:val="hybridMultilevel"/>
    <w:lvl w:ilvl="0">
      <w:lvlJc w:val="left"/>
      <w:lvlText w:val="o"/>
      <w:numFmt w:val="bullet"/>
      <w:start w:val="1"/>
    </w:lvl>
  </w:abstractNum>
  <w:abstractNum w:abstractNumId="1">
    <w:nsid w:val="11B1CC33"/>
    <w:multiLevelType w:val="hybridMultilevel"/>
    <w:lvl w:ilvl="0">
      <w:lvlJc w:val="left"/>
      <w:lvlText w:val="(%1)"/>
      <w:numFmt w:val="lowerLetter"/>
      <w:start w:val="4"/>
    </w:lvl>
  </w:abstractNum>
  <w:abstractNum w:abstractNumId="2">
    <w:nsid w:val="2E22FBB7"/>
    <w:multiLevelType w:val="hybridMultilevel"/>
    <w:lvl w:ilvl="0">
      <w:lvlJc w:val="left"/>
      <w:lvlText w:val="(%1)"/>
      <w:numFmt w:val="decimal"/>
      <w:start w:val="1"/>
    </w:lvl>
  </w:abstractNum>
  <w:abstractNum w:abstractNumId="3">
    <w:nsid w:val="29934699"/>
    <w:multiLevelType w:val="hybridMultilevel"/>
    <w:lvl w:ilvl="0">
      <w:lvlJc w:val="left"/>
      <w:lvlText w:val="(%1)"/>
      <w:numFmt w:val="decimal"/>
      <w:start w:val="1"/>
    </w:lvl>
  </w:abstractNum>
  <w:abstractNum w:abstractNumId="4">
    <w:nsid w:val="77485850"/>
    <w:multiLevelType w:val="hybridMultilevel"/>
    <w:lvl w:ilvl="0">
      <w:lvlJc w:val="left"/>
      <w:lvlText w:val="(%1)"/>
      <w:numFmt w:val="decimal"/>
      <w:start w:val="1"/>
    </w:lvl>
  </w:abstractNum>
  <w:abstractNum w:abstractNumId="5">
    <w:nsid w:val="744939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
    <w:nsid w:val="4FA0D2E3"/>
    <w:multiLevelType w:val="hybridMultilevel"/>
    <w:lvl w:ilvl="0">
      <w:lvlJc w:val="left"/>
      <w:lvlText w:val="(%1)"/>
      <w:numFmt w:val="decimal"/>
      <w:start w:val="5"/>
    </w:lvl>
  </w:abstractNum>
  <w:abstractNum w:abstractNumId="7">
    <w:nsid w:val="6B1D2C14"/>
    <w:multiLevelType w:val="hybridMultilevel"/>
    <w:lvl w:ilvl="0">
      <w:lvlJc w:val="left"/>
      <w:lvlText w:val="(%1)"/>
      <w:numFmt w:val="decimal"/>
      <w:start w:val="1"/>
    </w:lvl>
  </w:abstractNum>
  <w:abstractNum w:abstractNumId="8">
    <w:nsid w:val="68B867D3"/>
    <w:multiLevelType w:val="hybridMultilevel"/>
    <w:lvl w:ilvl="0">
      <w:lvlJc w:val="left"/>
      <w:lvlText w:val="(%1)"/>
      <w:numFmt w:val="decimal"/>
      <w:start w:val="1"/>
    </w:lvl>
  </w:abstractNum>
  <w:abstractNum w:abstractNumId="9">
    <w:nsid w:val="3F7F5DD9"/>
    <w:multiLevelType w:val="hybridMultilevel"/>
    <w:lvl w:ilvl="0">
      <w:lvlJc w:val="left"/>
      <w:lvlText w:val="(%1)"/>
      <w:numFmt w:val="decimal"/>
      <w:start w:val="1"/>
    </w:lvl>
  </w:abstractNum>
  <w:abstractNum w:abstractNumId="10">
    <w:nsid w:val="2AE05A3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
    <w:nsid w:val="32794FF7"/>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
    </w:lvl>
  </w:abstractNum>
  <w:abstractNum w:abstractNumId="12">
    <w:nsid w:val="5454945E"/>
    <w:multiLevelType w:val="hybridMultilevel"/>
    <w:lvl w:ilvl="0">
      <w:lvlJc w:val="left"/>
      <w:lvlText w:val="(%1)"/>
      <w:numFmt w:val="decimal"/>
      <w:start w:val="7"/>
    </w:lvl>
  </w:abstractNum>
  <w:abstractNum w:abstractNumId="13">
    <w:nsid w:val="4DEFDFA0"/>
    <w:multiLevelType w:val="hybridMultilevel"/>
    <w:lvl w:ilvl="0">
      <w:lvlJc w:val="left"/>
      <w:lvlText w:val="(%1)"/>
      <w:numFmt w:val="decimal"/>
      <w:start w:val="1"/>
    </w:lvl>
  </w:abstractNum>
  <w:abstractNum w:abstractNumId="14">
    <w:nsid w:val="2123D5F2"/>
    <w:multiLevelType w:val="hybridMultilevel"/>
    <w:lvl w:ilvl="0">
      <w:lvlJc w:val="left"/>
      <w:lvlText w:val="(%1)"/>
      <w:numFmt w:val="decimal"/>
      <w:start w:val="1"/>
    </w:lvl>
  </w:abstractNum>
  <w:abstractNum w:abstractNumId="15">
    <w:nsid w:val="135B8110"/>
    <w:multiLevelType w:val="hybridMultilevel"/>
    <w:lvl w:ilvl="0">
      <w:lvlJc w:val="left"/>
      <w:lvlText w:val="(%1)"/>
      <w:numFmt w:val="decimal"/>
      <w:start w:val="1"/>
    </w:lvl>
  </w:abstractNum>
  <w:abstractNum w:abstractNumId="16">
    <w:nsid w:val="94927A8"/>
    <w:multiLevelType w:val="hybridMultilevel"/>
    <w:lvl w:ilvl="0">
      <w:lvlJc w:val="left"/>
      <w:lvlText w:val="(%1)"/>
      <w:numFmt w:val="decimal"/>
      <w:start w:val="3"/>
    </w:lvl>
  </w:abstractNum>
  <w:abstractNum w:abstractNumId="17">
    <w:nsid w:val="DCDF8F6"/>
    <w:multiLevelType w:val="hybridMultilevel"/>
    <w:lvl w:ilvl="0">
      <w:lvlJc w:val="left"/>
      <w:lvlText w:val="(%1)"/>
      <w:numFmt w:val="decimal"/>
      <w:start w:val="1"/>
    </w:lvl>
  </w:abstractNum>
  <w:abstractNum w:abstractNumId="18">
    <w:nsid w:val="52D7B105"/>
    <w:multiLevelType w:val="hybridMultilevel"/>
    <w:lvl w:ilvl="0">
      <w:lvlJc w:val="left"/>
      <w:lvlText w:val="(%1)"/>
      <w:numFmt w:val="decimal"/>
      <w:start w:val="1"/>
    </w:lvl>
  </w:abstractNum>
  <w:abstractNum w:abstractNumId="19">
    <w:nsid w:val="2E8A6394"/>
    <w:multiLevelType w:val="hybridMultilevel"/>
    <w:lvl w:ilvl="0">
      <w:lvlJc w:val="left"/>
      <w:lvlText w:val="(%1)"/>
      <w:numFmt w:val="decimal"/>
      <w:start w:val="1"/>
    </w:lvl>
  </w:abstractNum>
  <w:abstractNum w:abstractNumId="20">
    <w:nsid w:val="24E60401"/>
    <w:multiLevelType w:val="hybridMultilevel"/>
    <w:lvl w:ilvl="0">
      <w:lvlJc w:val="left"/>
      <w:lvlText w:val="(%1)"/>
      <w:numFmt w:val="decimal"/>
      <w:start w:val="1"/>
    </w:lvl>
  </w:abstractNum>
  <w:abstractNum w:abstractNumId="21">
    <w:nsid w:val="2A6AD9BE"/>
    <w:multiLevelType w:val="hybridMultilevel"/>
    <w:lvl w:ilvl="0">
      <w:lvlJc w:val="left"/>
      <w:lvlText w:val="(%1)"/>
      <w:numFmt w:val="decimal"/>
      <w:start w:val="1"/>
    </w:lvl>
  </w:abstractNum>
  <w:abstractNum w:abstractNumId="22">
    <w:nsid w:val="BAAC1B4"/>
    <w:multiLevelType w:val="hybridMultilevel"/>
    <w:lvl w:ilvl="0">
      <w:lvlJc w:val="left"/>
      <w:lvlText w:val="(%1)"/>
      <w:numFmt w:val="decimal"/>
      <w:start w:val="1"/>
    </w:lvl>
  </w:abstractNum>
  <w:abstractNum w:abstractNumId="23">
    <w:nsid w:val="36B2ACBC"/>
    <w:multiLevelType w:val="hybridMultilevel"/>
    <w:lvl w:ilvl="0">
      <w:lvlJc w:val="left"/>
      <w:lvlText w:val="(%1)"/>
      <w:numFmt w:val="decimal"/>
      <w:start w:val="2"/>
    </w:lvl>
  </w:abstractNum>
  <w:abstractNum w:abstractNumId="24">
    <w:nsid w:val="779D8544"/>
    <w:multiLevelType w:val="hybridMultilevel"/>
    <w:lvl w:ilvl="0">
      <w:lvlJc w:val="left"/>
      <w:lvlText w:val="(%1)"/>
      <w:numFmt w:val="decimal"/>
      <w:start w:val="1"/>
    </w:lvl>
  </w:abstractNum>
  <w:abstractNum w:abstractNumId="25">
    <w:nsid w:val="4AB26E78"/>
    <w:multiLevelType w:val="hybridMultilevel"/>
    <w:lvl w:ilvl="0">
      <w:lvlJc w:val="left"/>
      <w:lvlText w:val="(%1)"/>
      <w:numFmt w:val="decimal"/>
      <w:start w:val="1"/>
    </w:lvl>
  </w:abstractNum>
  <w:abstractNum w:abstractNumId="26">
    <w:nsid w:val="21FAA2FA"/>
    <w:multiLevelType w:val="hybridMultilevel"/>
    <w:lvl w:ilvl="0">
      <w:lvlJc w:val="left"/>
      <w:lvlText w:val="(%1)"/>
      <w:numFmt w:val="decimal"/>
      <w:start w:val="1"/>
    </w:lvl>
  </w:abstractNum>
  <w:abstractNum w:abstractNumId="27">
    <w:nsid w:val="5451CF49"/>
    <w:multiLevelType w:val="hybridMultilevel"/>
    <w:lvl w:ilvl="0">
      <w:lvlJc w:val="left"/>
      <w:lvlText w:val="(%1)"/>
      <w:numFmt w:val="decimal"/>
      <w:start w:val="3"/>
    </w:lvl>
  </w:abstractNum>
  <w:abstractNum w:abstractNumId="28">
    <w:nsid w:val="6181EF69"/>
    <w:multiLevelType w:val="hybridMultilevel"/>
    <w:lvl w:ilvl="0">
      <w:lvlJc w:val="left"/>
      <w:lvlText w:val="(%1)"/>
      <w:numFmt w:val="decimal"/>
      <w:start w:val="1"/>
    </w:lvl>
  </w:abstractNum>
  <w:abstractNum w:abstractNumId="29">
    <w:nsid w:val="3E6400E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0">
    <w:nsid w:val="14217E23"/>
    <w:multiLevelType w:val="hybridMultilevel"/>
    <w:lvl w:ilvl="0">
      <w:lvlJc w:val="left"/>
      <w:lvlText w:val="(%1)"/>
      <w:numFmt w:val="decimal"/>
      <w:start w:val="1"/>
    </w:lvl>
  </w:abstractNum>
  <w:abstractNum w:abstractNumId="31">
    <w:nsid w:val="710757D0"/>
    <w:multiLevelType w:val="hybridMultilevel"/>
    <w:lvl w:ilvl="0">
      <w:lvlJc w:val="left"/>
      <w:lvlText w:val="(%1)"/>
      <w:numFmt w:val="decimal"/>
      <w:start w:val="1"/>
    </w:lvl>
  </w:abstractNum>
  <w:abstractNum w:abstractNumId="32">
    <w:nsid w:val="5015CD1A"/>
    <w:multiLevelType w:val="hybridMultilevel"/>
    <w:lvl w:ilvl="0">
      <w:lvlJc w:val="left"/>
      <w:lvlText w:val="(%1)"/>
      <w:numFmt w:val="decimal"/>
      <w:start w:val="1"/>
    </w:lvl>
  </w:abstractNum>
  <w:abstractNum w:abstractNumId="33">
    <w:nsid w:val="424479DA"/>
    <w:multiLevelType w:val="hybridMultilevel"/>
    <w:lvl w:ilvl="0">
      <w:lvlJc w:val="left"/>
      <w:lvlText w:val="(%1)"/>
      <w:numFmt w:val="decimal"/>
      <w:start w:val="1"/>
    </w:lvl>
  </w:abstractNum>
  <w:abstractNum w:abstractNumId="34">
    <w:nsid w:val="1A9A9E69"/>
    <w:multiLevelType w:val="hybridMultilevel"/>
    <w:lvl w:ilvl="0">
      <w:lvlJc w:val="left"/>
      <w:lvlText w:val="(%1)"/>
      <w:numFmt w:val="decimal"/>
      <w:start w:val="1"/>
    </w:lvl>
  </w:abstractNum>
  <w:abstractNum w:abstractNumId="35">
    <w:nsid w:val="475E256A"/>
    <w:multiLevelType w:val="hybridMultilevel"/>
    <w:lvl w:ilvl="0">
      <w:lvlJc w:val="left"/>
      <w:lvlText w:val="(%1)"/>
      <w:numFmt w:val="decimal"/>
      <w:start w:val="1"/>
    </w:lvl>
  </w:abstractNum>
  <w:abstractNum w:abstractNumId="36">
    <w:nsid w:val="368DB37E"/>
    <w:multiLevelType w:val="hybridMultilevel"/>
    <w:lvl w:ilvl="0">
      <w:lvlJc w:val="left"/>
      <w:lvlText w:val="(%1)"/>
      <w:numFmt w:val="decimal"/>
      <w:start w:val="1"/>
    </w:lvl>
  </w:abstractNum>
  <w:abstractNum w:abstractNumId="37">
    <w:nsid w:val="6A3B714C"/>
    <w:multiLevelType w:val="hybridMultilevel"/>
    <w:lvl w:ilvl="0">
      <w:lvlJc w:val="left"/>
      <w:lvlText w:val="(%1)"/>
      <w:numFmt w:val="decimal"/>
      <w:start w:val="1"/>
    </w:lvl>
  </w:abstractNum>
  <w:abstractNum w:abstractNumId="38">
    <w:nsid w:val="327B517E"/>
    <w:multiLevelType w:val="hybridMultilevel"/>
    <w:lvl w:ilvl="0">
      <w:lvlJc w:val="left"/>
      <w:lvlText w:val="(%1)"/>
      <w:numFmt w:val="decimal"/>
      <w:start w:val="2"/>
    </w:lvl>
  </w:abstractNum>
  <w:abstractNum w:abstractNumId="39">
    <w:nsid w:val="1F461B51"/>
    <w:multiLevelType w:val="hybridMultilevel"/>
    <w:lvl w:ilvl="0">
      <w:lvlJc w:val="left"/>
      <w:lvlText w:val="(%1)"/>
      <w:numFmt w:val="decimal"/>
      <w:start w:val="1"/>
    </w:lvl>
  </w:abstractNum>
  <w:abstractNum w:abstractNumId="40">
    <w:nsid w:val="29BACF25"/>
    <w:multiLevelType w:val="hybridMultilevel"/>
    <w:lvl w:ilvl="0">
      <w:lvlJc w:val="left"/>
      <w:lvlText w:val="(%1)"/>
      <w:numFmt w:val="decimal"/>
      <w:start w:val="2"/>
    </w:lvl>
  </w:abstractNum>
  <w:abstractNum w:abstractNumId="41">
    <w:nsid w:val="5D5BABB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2">
    <w:nsid w:val="51BF6B4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3">
    <w:nsid w:val="7E0F6384"/>
    <w:multiLevelType w:val="hybridMultilevel"/>
    <w:lvl w:ilvl="0">
      <w:lvlJc w:val="left"/>
      <w:lvlText w:val="(%1)"/>
      <w:numFmt w:val="decimal"/>
      <w:start w:val="1"/>
    </w:lvl>
    <w:lvl w:ilvl="1">
      <w:lvlJc w:val="left"/>
      <w:lvlText w:val="(%2)"/>
      <w:numFmt w:val="lowerLetter"/>
      <w:start w:val="1"/>
    </w:lvl>
  </w:abstractNum>
  <w:abstractNum w:abstractNumId="44">
    <w:nsid w:val="2B4B8B53"/>
    <w:multiLevelType w:val="hybridMultilevel"/>
    <w:lvl w:ilvl="0">
      <w:lvlJc w:val="left"/>
      <w:lvlText w:val="(%1)"/>
      <w:numFmt w:val="decimal"/>
      <w:start w:val="6"/>
    </w:lvl>
  </w:abstractNum>
  <w:abstractNum w:abstractNumId="45">
    <w:nsid w:val="72E341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6">
    <w:nsid w:val="116AE494"/>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47">
    <w:nsid w:val="3494B2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8">
    <w:nsid w:val="B13A31"/>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1"/>
    </w:lvl>
  </w:abstractNum>
  <w:abstractNum w:abstractNumId="49">
    <w:nsid w:val="64429599"/>
    <w:multiLevelType w:val="hybridMultilevel"/>
    <w:lvl w:ilvl="0">
      <w:lvlJc w:val="left"/>
      <w:lvlText w:val="(%1)"/>
      <w:numFmt w:val="decimal"/>
      <w:start w:val="21"/>
    </w:lvl>
    <w:lvl w:ilvl="1">
      <w:lvlJc w:val="left"/>
      <w:lvlText w:val="(%2)"/>
      <w:numFmt w:val="lowerLetter"/>
      <w:start w:val="1"/>
    </w:lvl>
  </w:abstractNum>
  <w:abstractNum w:abstractNumId="50">
    <w:nsid w:val="631F1690"/>
    <w:multiLevelType w:val="hybridMultilevel"/>
    <w:lvl w:ilvl="0">
      <w:lvlJc w:val="left"/>
      <w:lvlText w:val="(%1)"/>
      <w:numFmt w:val="decimal"/>
      <w:start w:val="30"/>
    </w:lvl>
  </w:abstractNum>
  <w:abstractNum w:abstractNumId="51">
    <w:nsid w:val="25973E32"/>
    <w:multiLevelType w:val="hybridMultilevel"/>
    <w:lvl w:ilvl="0">
      <w:lvlJc w:val="left"/>
      <w:lvlText w:val="(%1)"/>
      <w:numFmt w:val="decimal"/>
      <w:start w:val="1"/>
    </w:lvl>
  </w:abstractNum>
  <w:abstractNum w:abstractNumId="52">
    <w:nsid w:val="EAD6F57"/>
    <w:multiLevelType w:val="hybridMultilevel"/>
    <w:lvl w:ilvl="0">
      <w:lvlJc w:val="left"/>
      <w:lvlText w:val="(%1)"/>
      <w:numFmt w:val="decimal"/>
      <w:start w:val="1"/>
    </w:lvl>
  </w:abstractNum>
  <w:abstractNum w:abstractNumId="53">
    <w:nsid w:val="6EC9D844"/>
    <w:multiLevelType w:val="hybridMultilevel"/>
    <w:lvl w:ilvl="0">
      <w:lvlJc w:val="left"/>
      <w:lvlText w:val="(%1)"/>
      <w:numFmt w:val="decimal"/>
      <w:start w:val="3"/>
    </w:lvl>
  </w:abstractNum>
  <w:abstractNum w:abstractNumId="54">
    <w:nsid w:val="5C49EAEE"/>
    <w:multiLevelType w:val="hybridMultilevel"/>
    <w:lvl w:ilvl="0">
      <w:lvlJc w:val="left"/>
      <w:lvlText w:val="(%1)"/>
      <w:numFmt w:val="decimal"/>
      <w:start w:val="1"/>
    </w:lvl>
  </w:abstractNum>
  <w:abstractNum w:abstractNumId="55">
    <w:nsid w:val="64AF49B"/>
    <w:multiLevelType w:val="hybridMultilevel"/>
    <w:lvl w:ilvl="0">
      <w:lvlJc w:val="left"/>
      <w:lvlText w:val="(%1)"/>
      <w:numFmt w:val="decimal"/>
      <w:start w:val="1"/>
    </w:lvl>
  </w:abstractNum>
  <w:abstractNum w:abstractNumId="56">
    <w:nsid w:val="397C46BC"/>
    <w:multiLevelType w:val="hybridMultilevel"/>
    <w:lvl w:ilvl="0">
      <w:lvlJc w:val="left"/>
      <w:lvlText w:val="(%1)"/>
      <w:numFmt w:val="decimal"/>
      <w:start w:val="1"/>
    </w:lvl>
  </w:abstractNum>
  <w:abstractNum w:abstractNumId="57">
    <w:nsid w:val="7E448DE9"/>
    <w:multiLevelType w:val="hybridMultilevel"/>
    <w:lvl w:ilvl="0">
      <w:lvlJc w:val="left"/>
      <w:lvlText w:val="(%1)"/>
      <w:numFmt w:val="decimal"/>
      <w:start w:val="1"/>
    </w:lvl>
  </w:abstractNum>
  <w:abstractNum w:abstractNumId="58">
    <w:nsid w:val="5A9CC3E5"/>
    <w:multiLevelType w:val="hybridMultilevel"/>
    <w:lvl w:ilvl="0">
      <w:lvlJc w:val="left"/>
      <w:lvlText w:val="(%1)"/>
      <w:numFmt w:val="decimal"/>
      <w:start w:val="1"/>
    </w:lvl>
  </w:abstractNum>
  <w:abstractNum w:abstractNumId="59">
    <w:nsid w:val="1AFE3625"/>
    <w:multiLevelType w:val="hybridMultilevel"/>
    <w:lvl w:ilvl="0">
      <w:lvlJc w:val="left"/>
      <w:lvlText w:val="(%1)"/>
      <w:numFmt w:val="decimal"/>
      <w:start w:val="1"/>
    </w:lvl>
  </w:abstractNum>
  <w:abstractNum w:abstractNumId="60">
    <w:nsid w:val="3CA88ECF"/>
    <w:multiLevelType w:val="hybridMultilevel"/>
    <w:lvl w:ilvl="0">
      <w:lvlJc w:val="left"/>
      <w:lvlText w:val="(%1)"/>
      <w:numFmt w:val="decimal"/>
      <w:start w:val="1"/>
    </w:lvl>
  </w:abstractNum>
  <w:abstractNum w:abstractNumId="61">
    <w:nsid w:val="6EBE4208"/>
    <w:multiLevelType w:val="hybridMultilevel"/>
    <w:lvl w:ilvl="0">
      <w:lvlJc w:val="left"/>
      <w:lvlText w:val="(%1)"/>
      <w:numFmt w:val="decimal"/>
      <w:start w:val="1"/>
    </w:lvl>
  </w:abstractNum>
  <w:abstractNum w:abstractNumId="62">
    <w:nsid w:val="C058DF5"/>
    <w:multiLevelType w:val="hybridMultilevel"/>
    <w:lvl w:ilvl="0">
      <w:lvlJc w:val="left"/>
      <w:lvlText w:val="(%1)"/>
      <w:numFmt w:val="decimal"/>
      <w:start w:val="2"/>
    </w:lvl>
  </w:abstractNum>
  <w:abstractNum w:abstractNumId="63">
    <w:nsid w:val="CBE5BE9"/>
    <w:multiLevelType w:val="hybridMultilevel"/>
    <w:lvl w:ilvl="0">
      <w:lvlJc w:val="left"/>
      <w:lvlText w:val="(%1)"/>
      <w:numFmt w:val="lowerLetter"/>
      <w:start w:val="1"/>
    </w:lvl>
  </w:abstractNum>
  <w:abstractNum w:abstractNumId="64">
    <w:nsid w:val="3102BBE2"/>
    <w:multiLevelType w:val="hybridMultilevel"/>
    <w:lvl w:ilvl="0">
      <w:lvlJc w:val="left"/>
      <w:lvlText w:val="(%1)"/>
      <w:numFmt w:val="lowerLetter"/>
      <w:start w:val="2"/>
    </w:lvl>
    <w:lvl w:ilvl="1">
      <w:lvlJc w:val="left"/>
      <w:lvlText w:val="(%2)"/>
      <w:numFmt w:val="decimal"/>
      <w:start w:val="1"/>
    </w:lvl>
  </w:abstractNum>
  <w:abstractNum w:abstractNumId="65">
    <w:nsid w:val="26A02C5E"/>
    <w:multiLevelType w:val="hybridMultilevel"/>
    <w:lvl w:ilvl="0">
      <w:lvlJc w:val="left"/>
      <w:lvlText w:val="(%1)"/>
      <w:numFmt w:val="lowerLetter"/>
      <w:start w:val="4"/>
    </w:lvl>
  </w:abstractNum>
  <w:abstractNum w:abstractNumId="66">
    <w:nsid w:val="541C8153"/>
    <w:multiLevelType w:val="hybridMultilevel"/>
    <w:lvl w:ilvl="0">
      <w:lvlJc w:val="left"/>
      <w:lvlText w:val="(%1)"/>
      <w:numFmt w:val="lowerLetter"/>
      <w:start w:val="1"/>
    </w:lvl>
    <w:lvl w:ilvl="1">
      <w:lvlJc w:val="left"/>
      <w:lvlText w:val="(%2)"/>
      <w:numFmt w:val="decimal"/>
      <w:start w:val="1"/>
    </w:lvl>
  </w:abstractNum>
  <w:abstractNum w:abstractNumId="67">
    <w:nsid w:val="67906F60"/>
    <w:multiLevelType w:val="hybridMultilevel"/>
    <w:lvl w:ilvl="0">
      <w:lvlJc w:val="left"/>
      <w:lvlText w:val="(%1)"/>
      <w:numFmt w:val="decimal"/>
      <w:start w:val="3"/>
    </w:lvl>
  </w:abstractNum>
  <w:abstractNum w:abstractNumId="68">
    <w:nsid w:val="10DB9DAA"/>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69">
    <w:nsid w:val="697D2D2"/>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70">
    <w:nsid w:val="6D68AB2"/>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2"/>
    </w:lvl>
  </w:abstractNum>
  <w:abstractNum w:abstractNumId="71">
    <w:nsid w:val="3A966CD0"/>
    <w:multiLevelType w:val="hybridMultilevel"/>
    <w:lvl w:ilvl="0">
      <w:lvlJc w:val="left"/>
      <w:lvlText w:val="(%1)"/>
      <w:numFmt w:val="decimal"/>
      <w:start w:val="3"/>
    </w:lvl>
    <w:lvl w:ilvl="1">
      <w:lvlJc w:val="left"/>
      <w:lvlText w:val="(%2)"/>
      <w:numFmt w:val="upperLetter"/>
      <w:start w:val="1"/>
    </w:lvl>
    <w:lvl w:ilvl="2">
      <w:lvlJc w:val="left"/>
      <w:lvlText w:val="(%3)"/>
      <w:numFmt w:val="upperLetter"/>
      <w:start w:val="2"/>
    </w:lvl>
  </w:abstractNum>
  <w:abstractNum w:abstractNumId="72">
    <w:nsid w:val="63F37E85"/>
    <w:multiLevelType w:val="hybridMultilevel"/>
    <w:lvl w:ilvl="0">
      <w:lvlJc w:val="left"/>
      <w:lvlText w:val="%1"/>
      <w:numFmt w:val="decimal"/>
      <w:start w:val="1"/>
    </w:lvl>
    <w:lvl w:ilvl="1">
      <w:lvlJc w:val="left"/>
      <w:lvlText w:val="(%2)"/>
      <w:numFmt w:val="upperLetter"/>
      <w:start w:val="3"/>
    </w:lvl>
    <w:lvl w:ilvl="2">
      <w:lvlJc w:val="left"/>
      <w:lvlText w:val="%3"/>
      <w:numFmt w:val="upperLetter"/>
      <w:start w:val="1"/>
    </w:lvl>
    <w:lvl w:ilvl="3">
      <w:lvlJc w:val="left"/>
      <w:lvlText w:val="%4"/>
      <w:numFmt w:val="upperLetter"/>
      <w:start w:val="1"/>
    </w:lvl>
    <w:lvl w:ilvl="4">
      <w:lvlJc w:val="left"/>
      <w:lvlText w:val="%5"/>
      <w:numFmt w:val="upperLetter"/>
      <w:start w:val="1"/>
    </w:lvl>
    <w:lvl w:ilvl="5">
      <w:lvlJc w:val="left"/>
      <w:lvlText w:val="%6"/>
      <w:numFmt w:val="lowerRoman"/>
      <w:start w:val="1"/>
    </w:lvl>
    <w:lvl w:ilvl="6">
      <w:lvlJc w:val="left"/>
      <w:lvlText w:val="%7"/>
      <w:numFmt w:val="lowerRoman"/>
      <w:start w:val="1"/>
    </w:lvl>
  </w:abstractNum>
  <w:abstractNum w:abstractNumId="73">
    <w:nsid w:val="5895F5FA"/>
    <w:multiLevelType w:val="hybridMultilevel"/>
    <w:lvl w:ilvl="0">
      <w:lvlJc w:val="left"/>
      <w:lvlText w:val="(%1)"/>
      <w:numFmt w:val="decimal"/>
      <w:start w:val="4"/>
    </w:lvl>
    <w:lvl w:ilvl="1">
      <w:lvlJc w:val="left"/>
      <w:lvlText w:val="%2"/>
      <w:numFmt w:val="upperLetter"/>
      <w:start w:val="1"/>
    </w:lvl>
    <w:lvl w:ilvl="2">
      <w:lvlJc w:val="left"/>
      <w:lvlText w:val="(%3)"/>
      <w:numFmt w:val="upperLetter"/>
      <w:start w:val="3"/>
    </w:lvl>
    <w:lvl w:ilvl="3">
      <w:lvlJc w:val="left"/>
      <w:lvlText w:val="(%4)"/>
      <w:numFmt w:val="upperLetter"/>
      <w:start w:val="1"/>
    </w:lvl>
    <w:lvl w:ilvl="4">
      <w:lvlJc w:val="left"/>
      <w:lvlText w:val="(%5)"/>
      <w:numFmt w:val="upperLetter"/>
      <w:start w:val="3"/>
    </w:lvl>
    <w:lvl w:ilvl="5">
      <w:lvlJc w:val="left"/>
      <w:lvlText w:val="(%6)"/>
      <w:numFmt w:val="lowerRoman"/>
      <w:start w:val="1"/>
    </w:lvl>
    <w:lvl w:ilvl="6">
      <w:lvlJc w:val="left"/>
      <w:lvlText w:val="(%7)"/>
      <w:numFmt w:val="lowerRoman"/>
      <w:start w:val="2"/>
    </w:lvl>
  </w:abstractNum>
  <w:abstractNum w:abstractNumId="74">
    <w:nsid w:val="38A5D054"/>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2"/>
    </w:lvl>
    <w:lvl w:ilvl="3">
      <w:lvlJc w:val="left"/>
      <w:lvlText w:val="(%4)"/>
      <w:numFmt w:val="upperLetter"/>
      <w:start w:val="1"/>
    </w:lvl>
    <w:lvl w:ilvl="4">
      <w:lvlJc w:val="left"/>
      <w:lvlText w:val="(%5)"/>
      <w:numFmt w:val="upperLetter"/>
      <w:start w:val="4"/>
    </w:lvl>
    <w:lvl w:ilvl="5">
      <w:lvlJc w:val="left"/>
      <w:lvlText w:val="(%6)"/>
      <w:numFmt w:val="upperLetter"/>
      <w:start w:val="2"/>
    </w:lvl>
  </w:abstractNum>
  <w:abstractNum w:abstractNumId="75">
    <w:nsid w:val="F3F09D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upperLetter"/>
      <w:start w:val="5"/>
    </w:lvl>
    <w:lvl w:ilvl="4">
      <w:lvlJc w:val="left"/>
      <w:lvlText w:val="(%5)"/>
      <w:numFmt w:val="upperLetter"/>
      <w:start w:val="6"/>
    </w:lvl>
    <w:lvl w:ilvl="5">
      <w:lvlJc w:val="left"/>
      <w:lvlText w:val="%6"/>
      <w:numFmt w:val="upperLetter"/>
      <w:start w:val="1"/>
    </w:lvl>
  </w:abstractNum>
  <w:abstractNum w:abstractNumId="76">
    <w:nsid w:val="4B793735"/>
    <w:multiLevelType w:val="hybridMultilevel"/>
    <w:lvl w:ilvl="0">
      <w:lvlJc w:val="left"/>
      <w:lvlText w:val="(%1)"/>
      <w:numFmt w:val="decimal"/>
      <w:start w:val="2"/>
    </w:lvl>
    <w:lvl w:ilvl="1">
      <w:lvlJc w:val="left"/>
      <w:lvlText w:val="(%2)"/>
      <w:numFmt w:val="upperLetter"/>
      <w:start w:val="3"/>
    </w:lvl>
    <w:lvl w:ilvl="2">
      <w:lvlJc w:val="left"/>
      <w:lvlText w:val="(%3)"/>
      <w:numFmt w:val="upperLetter"/>
      <w:start w:val="1"/>
    </w:lvl>
    <w:lvl w:ilvl="3">
      <w:lvlJc w:val="left"/>
      <w:lvlText w:val="(%4)"/>
      <w:numFmt w:val="upperLetter"/>
      <w:start w:val="3"/>
    </w:lvl>
    <w:lvl w:ilvl="4">
      <w:lvlJc w:val="left"/>
      <w:lvlText w:val="(%5)"/>
      <w:numFmt w:val="lowerRoman"/>
      <w:start w:val="1"/>
    </w:lvl>
  </w:abstractNum>
  <w:abstractNum w:abstractNumId="77">
    <w:nsid w:val="4A10B4E8"/>
    <w:multiLevelType w:val="hybridMultilevel"/>
    <w:lvl w:ilvl="0">
      <w:lvlJc w:val="left"/>
      <w:lvlText w:val="(%1)"/>
      <w:numFmt w:val="lowerRoman"/>
      <w:start w:val="2"/>
    </w:lvl>
  </w:abstractNum>
  <w:abstractNum w:abstractNumId="78">
    <w:nsid w:val="43D3BCD4"/>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abstractNum>
  <w:abstractNum w:abstractNumId="79">
    <w:nsid w:val="4C2A7166"/>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80">
    <w:nsid w:val="2E534A82"/>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81">
    <w:nsid w:val="26F2D364"/>
    <w:multiLevelType w:val="hybridMultilevel"/>
    <w:lvl w:ilvl="0">
      <w:lvlJc w:val="left"/>
      <w:lvlText w:val="%1"/>
      <w:numFmt w:val="upperLetter"/>
      <w:start w:val="1"/>
    </w:lvl>
    <w:lvl w:ilvl="1">
      <w:lvlJc w:val="left"/>
      <w:lvlText w:val="(%2)"/>
      <w:numFmt w:val="upperLetter"/>
      <w:start w:val="5"/>
    </w:lvl>
    <w:lvl w:ilvl="2">
      <w:lvlJc w:val="left"/>
      <w:lvlText w:val="%3"/>
      <w:numFmt w:val="upperLetter"/>
      <w:start w:val="1"/>
    </w:lvl>
  </w:abstractNum>
  <w:abstractNum w:abstractNumId="82">
    <w:nsid w:val="71C1AF98"/>
    <w:multiLevelType w:val="hybridMultilevel"/>
    <w:lvl w:ilvl="0">
      <w:lvlJc w:val="left"/>
      <w:lvlText w:val="(%1)"/>
      <w:numFmt w:val="upperLetter"/>
      <w:start w:val="6"/>
    </w:lvl>
    <w:lvl w:ilvl="1">
      <w:lvlJc w:val="left"/>
      <w:lvlText w:val="%2"/>
      <w:numFmt w:val="upperLetter"/>
      <w:start w:val="1"/>
    </w:lvl>
    <w:lvl w:ilvl="2">
      <w:lvlJc w:val="left"/>
      <w:lvlText w:val="(%3)"/>
      <w:numFmt w:val="upperLetter"/>
      <w:start w:val="7"/>
    </w:lvl>
  </w:abstractNum>
  <w:abstractNum w:abstractNumId="83">
    <w:nsid w:val="3D00B9D9"/>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3"/>
    </w:lvl>
  </w:abstractNum>
  <w:abstractNum w:abstractNumId="84">
    <w:nsid w:val="15BCABA8"/>
    <w:multiLevelType w:val="hybridMultilevel"/>
    <w:lvl w:ilvl="0">
      <w:lvlJc w:val="left"/>
      <w:lvlText w:val="(%1)"/>
      <w:numFmt w:val="upperLetter"/>
      <w:start w:val="4"/>
    </w:lvl>
    <w:lvl w:ilvl="1">
      <w:lvlJc w:val="left"/>
      <w:lvlText w:val="(%2)"/>
      <w:numFmt w:val="lowerRoman"/>
      <w:start w:val="1"/>
    </w:lvl>
  </w:abstractNum>
  <w:abstractNum w:abstractNumId="85">
    <w:nsid w:val="4E0B9A87"/>
    <w:multiLevelType w:val="hybridMultilevel"/>
    <w:lvl w:ilvl="0">
      <w:lvlJc w:val="left"/>
      <w:lvlText w:val="(%1)"/>
      <w:numFmt w:val="decimal"/>
      <w:start w:val="3"/>
    </w:lvl>
  </w:abstractNum>
  <w:abstractNum w:abstractNumId="86">
    <w:nsid w:val="434BAE75"/>
    <w:multiLevelType w:val="hybridMultilevel"/>
    <w:lvl w:ilvl="0">
      <w:lvlJc w:val="left"/>
      <w:lvlText w:val="(%1)"/>
      <w:numFmt w:val="lowerLetter"/>
      <w:start w:val="5"/>
    </w:lvl>
  </w:abstractNum>
  <w:abstractNum w:abstractNumId="87">
    <w:nsid w:val="4F38F26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upperLetter"/>
      <w:start w:val="1"/>
    </w:lvl>
    <w:lvl w:ilvl="4">
      <w:lvlJc w:val="left"/>
      <w:lvlText w:val="(%5)"/>
      <w:numFmt w:val="upperLetter"/>
      <w:start w:val="1"/>
    </w:lvl>
    <w:lvl w:ilvl="5">
      <w:lvlJc w:val="left"/>
      <w:lvlText w:val="%6"/>
      <w:numFmt w:val="lowerLetter"/>
      <w:start w:val="1"/>
    </w:lvl>
    <w:lvl w:ilvl="6">
      <w:lvlJc w:val="left"/>
      <w:lvlText w:val="%7"/>
      <w:numFmt w:val="lowerLetter"/>
      <w:start w:val="1"/>
    </w:lvl>
  </w:abstractNum>
  <w:abstractNum w:abstractNumId="88">
    <w:nsid w:val="4C50287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upperLetter"/>
      <w:start w:val="2"/>
    </w:lvl>
    <w:lvl w:ilvl="4">
      <w:lvlJc w:val="left"/>
      <w:lvlText w:val="(%5)"/>
      <w:numFmt w:val="upperLetter"/>
      <w:start w:val="3"/>
    </w:lvl>
    <w:lvl w:ilvl="5">
      <w:lvlJc w:val="left"/>
      <w:lvlText w:val="%6"/>
      <w:numFmt w:val="lowerLetter"/>
      <w:start w:val="1"/>
    </w:lvl>
    <w:lvl w:ilvl="6">
      <w:lvlJc w:val="left"/>
      <w:lvlText w:val="%7"/>
      <w:numFmt w:val="lowerLetter"/>
      <w:start w:val="1"/>
    </w:lvl>
  </w:abstractNum>
  <w:abstractNum w:abstractNumId="89">
    <w:nsid w:val="1DE8725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4"/>
    </w:lvl>
    <w:lvl w:ilvl="3">
      <w:lvlJc w:val="left"/>
      <w:lvlText w:val="%4"/>
      <w:numFmt w:val="upperLetter"/>
      <w:start w:val="1"/>
    </w:lvl>
    <w:lvl w:ilvl="4">
      <w:lvlJc w:val="left"/>
      <w:lvlText w:val="%5"/>
      <w:numFmt w:val="upperLetter"/>
      <w:start w:val="1"/>
    </w:lvl>
    <w:lvl w:ilvl="5">
      <w:lvlJc w:val="left"/>
      <w:lvlText w:val="(%6)"/>
      <w:numFmt w:val="lowerLetter"/>
      <w:start w:val="9"/>
    </w:lvl>
    <w:lvl w:ilvl="6">
      <w:lvlJc w:val="left"/>
      <w:lvlText w:val="%7"/>
      <w:numFmt w:val="lowerLetter"/>
      <w:start w:val="1"/>
    </w:lvl>
  </w:abstractNum>
  <w:abstractNum w:abstractNumId="90">
    <w:nsid w:val="6A37288A"/>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lvl w:ilvl="3">
      <w:lvlJc w:val="left"/>
      <w:lvlText w:val="%4"/>
      <w:numFmt w:val="upperLetter"/>
      <w:start w:val="1"/>
    </w:lvl>
    <w:lvl w:ilvl="4">
      <w:lvlJc w:val="left"/>
      <w:lvlText w:val="%5"/>
      <w:numFmt w:val="upperLetter"/>
      <w:start w:val="1"/>
    </w:lvl>
    <w:lvl w:ilvl="5">
      <w:lvlJc w:val="left"/>
      <w:lvlText w:val="%6"/>
      <w:numFmt w:val="lowerLetter"/>
      <w:start w:val="1"/>
    </w:lvl>
    <w:lvl w:ilvl="6">
      <w:lvlJc w:val="left"/>
      <w:lvlText w:val="(%7)"/>
      <w:numFmt w:val="lowerLetter"/>
      <w:start w:val="35"/>
    </w:lvl>
  </w:abstractNum>
  <w:abstractNum w:abstractNumId="91">
    <w:nsid w:val="8F8B73F"/>
    <w:multiLevelType w:val="hybridMultilevel"/>
    <w:lvl w:ilvl="0">
      <w:lvlJc w:val="left"/>
      <w:lvlText w:val="%1"/>
      <w:numFmt w:val="lowerLetter"/>
      <w:start w:val="1"/>
    </w:lvl>
    <w:lvl w:ilvl="1">
      <w:lvlJc w:val="left"/>
      <w:lvlText w:val="(%2)"/>
      <w:numFmt w:val="decimal"/>
      <w:start w:val="3"/>
    </w:lvl>
  </w:abstractNum>
  <w:abstractNum w:abstractNumId="92">
    <w:nsid w:val="CA6B462"/>
    <w:multiLevelType w:val="hybridMultilevel"/>
    <w:lvl w:ilvl="0">
      <w:lvlJc w:val="left"/>
      <w:lvlText w:val="(%1)"/>
      <w:numFmt w:val="lowerLetter"/>
      <w:start w:val="6"/>
    </w:lvl>
    <w:lvl w:ilvl="1">
      <w:lvlJc w:val="left"/>
      <w:lvlText w:val="(%2)"/>
      <w:numFmt w:val="decimal"/>
      <w:start w:val="1"/>
    </w:lvl>
  </w:abstractNum>
  <w:abstractNum w:abstractNumId="93">
    <w:nsid w:val="763CB680"/>
    <w:multiLevelType w:val="hybridMultilevel"/>
    <w:lvl w:ilvl="0">
      <w:lvlJc w:val="left"/>
      <w:lvlText w:val="(%1)"/>
      <w:numFmt w:val="lowerLetter"/>
      <w:start w:val="7"/>
    </w:lvl>
    <w:lvl w:ilvl="1">
      <w:lvlJc w:val="left"/>
      <w:lvlText w:val="(%2)"/>
      <w:numFmt w:val="decimal"/>
      <w:start w:val="1"/>
    </w:lvl>
    <w:lvl w:ilvl="2">
      <w:lvlJc w:val="left"/>
      <w:lvlText w:val="(%3)"/>
      <w:numFmt w:val="upperLetter"/>
      <w:start w:val="1"/>
    </w:lvl>
  </w:abstractNum>
  <w:abstractNum w:abstractNumId="94">
    <w:nsid w:val="15B71329"/>
    <w:multiLevelType w:val="hybridMultilevel"/>
    <w:lvl w:ilvl="0">
      <w:lvlJc w:val="left"/>
      <w:lvlText w:val="(%1)"/>
      <w:numFmt w:val="decimal"/>
      <w:start w:val="1"/>
    </w:lvl>
    <w:lvl w:ilvl="1">
      <w:lvlJc w:val="left"/>
      <w:lvlText w:val="(%2)"/>
      <w:numFmt w:val="upperLetter"/>
      <w:start w:val="2"/>
    </w:lvl>
  </w:abstractNum>
  <w:abstractNum w:abstractNumId="95">
    <w:nsid w:val="3DA97044"/>
    <w:multiLevelType w:val="hybridMultilevel"/>
    <w:lvl w:ilvl="0">
      <w:lvlJc w:val="left"/>
      <w:lvlText w:val="(%1)"/>
      <w:numFmt w:val="decimal"/>
      <w:start w:val="2"/>
    </w:lvl>
  </w:abstractNum>
  <w:abstractNum w:abstractNumId="96">
    <w:nsid w:val="1CDCE2DE"/>
    <w:multiLevelType w:val="hybridMultilevel"/>
    <w:lvl w:ilvl="0">
      <w:lvlJc w:val="left"/>
      <w:lvlText w:val="(%1)"/>
      <w:numFmt w:val="decimal"/>
      <w:start w:val="3"/>
    </w:lvl>
  </w:abstractNum>
  <w:abstractNum w:abstractNumId="97">
    <w:nsid w:val="69D3947C"/>
    <w:multiLevelType w:val="hybridMultilevel"/>
    <w:lvl w:ilvl="0">
      <w:lvlJc w:val="left"/>
      <w:lvlText w:val="(%1)"/>
      <w:numFmt w:val="lowerLetter"/>
      <w:start w:val="8"/>
    </w:lvl>
  </w:abstractNum>
  <w:abstractNum w:abstractNumId="98">
    <w:nsid w:val="2539DFA5"/>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99">
    <w:nsid w:val="2DB88089"/>
    <w:multiLevelType w:val="hybridMultilevel"/>
    <w:lvl w:ilvl="0">
      <w:lvlJc w:val="left"/>
      <w:lvlText w:val="(%1)"/>
      <w:numFmt w:val="upperLetter"/>
      <w:start w:val="3"/>
    </w:lvl>
  </w:abstractNum>
  <w:abstractNum w:abstractNumId="100">
    <w:nsid w:val="706B674E"/>
    <w:multiLevelType w:val="hybridMultilevel"/>
    <w:lvl w:ilvl="0">
      <w:lvlJc w:val="left"/>
      <w:lvlText w:val="(%1)"/>
      <w:numFmt w:val="decimal"/>
      <w:start w:val="6"/>
    </w:lvl>
  </w:abstractNum>
  <w:abstractNum w:abstractNumId="101">
    <w:nsid w:val="2C106A57"/>
    <w:multiLevelType w:val="hybridMultilevel"/>
    <w:lvl w:ilvl="0">
      <w:lvlJc w:val="left"/>
      <w:lvlText w:val="(%1)"/>
      <w:numFmt w:val="lowerLetter"/>
      <w:start w:val="1"/>
    </w:lvl>
  </w:abstractNum>
  <w:abstractNum w:abstractNumId="102">
    <w:nsid w:val="684EED59"/>
    <w:multiLevelType w:val="hybridMultilevel"/>
    <w:lvl w:ilvl="0">
      <w:lvlJc w:val="left"/>
      <w:lvlText w:val="(%1)"/>
      <w:numFmt w:val="lowerLetter"/>
      <w:start w:val="1"/>
    </w:lvl>
  </w:abstractNum>
  <w:abstractNum w:abstractNumId="103">
    <w:nsid w:val="545EE5D3"/>
    <w:multiLevelType w:val="hybridMultilevel"/>
    <w:lvl w:ilvl="0">
      <w:lvlJc w:val="left"/>
      <w:lvlText w:val="(%1)"/>
      <w:numFmt w:val="lowerLetter"/>
      <w:start w:val="1"/>
    </w:lvl>
  </w:abstractNum>
  <w:abstractNum w:abstractNumId="104">
    <w:nsid w:val="4A66051"/>
    <w:multiLevelType w:val="hybridMultilevel"/>
    <w:lvl w:ilvl="0">
      <w:lvlJc w:val="left"/>
      <w:lvlText w:val="(%1)"/>
      <w:numFmt w:val="lowerLetter"/>
      <w:start w:val="2"/>
    </w:lvl>
  </w:abstractNum>
  <w:abstractNum w:abstractNumId="105">
    <w:nsid w:val="20F4BDAD"/>
    <w:multiLevelType w:val="hybridMultilevel"/>
    <w:lvl w:ilvl="0">
      <w:lvlJc w:val="left"/>
      <w:lvlText w:val="(%1)"/>
      <w:numFmt w:val="lowerLetter"/>
      <w:start w:val="1"/>
    </w:lvl>
  </w:abstractNum>
  <w:abstractNum w:abstractNumId="106">
    <w:nsid w:val="639DEFAC"/>
    <w:multiLevelType w:val="hybridMultilevel"/>
    <w:lvl w:ilvl="0">
      <w:lvlJc w:val="left"/>
      <w:lvlText w:val="(%1)"/>
      <w:numFmt w:val="lowerLetter"/>
      <w:start w:val="8"/>
    </w:lvl>
  </w:abstractNum>
  <w:abstractNum w:abstractNumId="107">
    <w:nsid w:val="501F9786"/>
    <w:multiLevelType w:val="hybridMultilevel"/>
    <w:lvl w:ilvl="0">
      <w:lvlJc w:val="left"/>
      <w:lvlText w:val="(%1)"/>
      <w:numFmt w:val="lowerLetter"/>
      <w:start w:val="1"/>
    </w:lvl>
    <w:lvl w:ilvl="1">
      <w:lvlJc w:val="left"/>
      <w:lvlText w:val="(%2)"/>
      <w:numFmt w:val="decimal"/>
      <w:start w:val="1"/>
    </w:lvl>
  </w:abstractNum>
  <w:abstractNum w:abstractNumId="108">
    <w:nsid w:val="6B057295"/>
    <w:multiLevelType w:val="hybridMultilevel"/>
    <w:lvl w:ilvl="0">
      <w:lvlJc w:val="left"/>
      <w:lvlText w:val="(%1)"/>
      <w:numFmt w:val="lowerLetter"/>
      <w:start w:val="4"/>
    </w:lvl>
  </w:abstractNum>
  <w:abstractNum w:abstractNumId="109">
    <w:nsid w:val="2771AC8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10">
    <w:nsid w:val="1C4A08EC"/>
    <w:multiLevelType w:val="hybridMultilevel"/>
    <w:lvl w:ilvl="0">
      <w:lvlJc w:val="left"/>
      <w:lvlText w:val="(%1)"/>
      <w:numFmt w:val="lowerLetter"/>
      <w:start w:val="1"/>
    </w:lvl>
  </w:abstractNum>
  <w:abstractNum w:abstractNumId="111">
    <w:nsid w:val="1958BD17"/>
    <w:multiLevelType w:val="hybridMultilevel"/>
    <w:lvl w:ilvl="0">
      <w:lvlJc w:val="left"/>
      <w:lvlText w:val="(%1)"/>
      <w:numFmt w:val="lowerLetter"/>
      <w:start w:val="1"/>
    </w:lvl>
  </w:abstractNum>
  <w:abstractNum w:abstractNumId="112">
    <w:nsid w:val="4E647FE4"/>
    <w:multiLevelType w:val="hybridMultilevel"/>
    <w:lvl w:ilvl="0">
      <w:lvlJc w:val="left"/>
      <w:lvlText w:val="(%1)"/>
      <w:numFmt w:val="lowerLetter"/>
      <w:start w:val="7"/>
    </w:lvl>
  </w:abstractNum>
  <w:abstractNum w:abstractNumId="113">
    <w:nsid w:val="E0BB885"/>
    <w:multiLevelType w:val="hybridMultilevel"/>
    <w:lvl w:ilvl="0">
      <w:lvlJc w:val="left"/>
      <w:lvlText w:val="(%1)"/>
      <w:numFmt w:val="lowerLetter"/>
      <w:start w:val="1"/>
    </w:lvl>
    <w:lvl w:ilvl="1">
      <w:lvlJc w:val="left"/>
      <w:lvlText w:val="(%2)"/>
      <w:numFmt w:val="decimal"/>
      <w:start w:val="1"/>
    </w:lvl>
  </w:abstractNum>
  <w:abstractNum w:abstractNumId="114">
    <w:nsid w:val="565976F1"/>
    <w:multiLevelType w:val="hybridMultilevel"/>
    <w:lvl w:ilvl="0">
      <w:lvlJc w:val="left"/>
      <w:lvlText w:val="(%1)"/>
      <w:numFmt w:val="lowerLetter"/>
      <w:start w:val="2"/>
    </w:lvl>
  </w:abstractNum>
  <w:abstractNum w:abstractNumId="115">
    <w:nsid w:val="64212B8C"/>
    <w:multiLevelType w:val="hybridMultilevel"/>
    <w:lvl w:ilvl="0">
      <w:lvlJc w:val="left"/>
      <w:lvlText w:val="(%1)"/>
      <w:numFmt w:val="lowerLetter"/>
      <w:start w:val="1"/>
    </w:lvl>
  </w:abstractNum>
  <w:abstractNum w:abstractNumId="116">
    <w:nsid w:val="5C17530C"/>
    <w:multiLevelType w:val="hybridMultilevel"/>
    <w:lvl w:ilvl="0">
      <w:lvlJc w:val="left"/>
      <w:lvlText w:val="(%1)"/>
      <w:numFmt w:val="lowerLetter"/>
      <w:start w:val="2"/>
    </w:lvl>
  </w:abstractNum>
  <w:abstractNum w:abstractNumId="117">
    <w:nsid w:val="19A52566"/>
    <w:multiLevelType w:val="hybridMultilevel"/>
    <w:lvl w:ilvl="0">
      <w:lvlJc w:val="left"/>
      <w:lvlText w:val="(%1)"/>
      <w:numFmt w:val="lowerLetter"/>
      <w:start w:val="1"/>
    </w:lvl>
    <w:lvl w:ilvl="1">
      <w:lvlJc w:val="left"/>
      <w:lvlText w:val="(%2)"/>
      <w:numFmt w:val="decimal"/>
      <w:start w:val="1"/>
    </w:lvl>
  </w:abstractNum>
  <w:abstractNum w:abstractNumId="118">
    <w:nsid w:val="335A1DF1"/>
    <w:multiLevelType w:val="hybridMultilevel"/>
    <w:lvl w:ilvl="0">
      <w:lvlJc w:val="left"/>
      <w:lvlText w:val="(%1)"/>
      <w:numFmt w:val="decimal"/>
      <w:start w:val="1"/>
    </w:lvl>
  </w:abstractNum>
  <w:abstractNum w:abstractNumId="119">
    <w:nsid w:val="28677B7C"/>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4"/>
    </w:lvl>
  </w:abstractNum>
  <w:abstractNum w:abstractNumId="120">
    <w:nsid w:val="378D97C0"/>
    <w:multiLevelType w:val="hybridMultilevel"/>
    <w:lvl w:ilvl="0">
      <w:lvlJc w:val="left"/>
      <w:lvlText w:val="(%1)"/>
      <w:numFmt w:val="lowerLetter"/>
      <w:start w:val="2"/>
    </w:lvl>
    <w:lvl w:ilvl="1">
      <w:lvlJc w:val="left"/>
      <w:lvlText w:val="%2"/>
      <w:numFmt w:val="upperLetter"/>
      <w:start w:val="1"/>
    </w:lvl>
    <w:lvl w:ilvl="2">
      <w:lvlJc w:val="left"/>
      <w:lvlText w:val="%3"/>
      <w:numFmt w:val="upperLetter"/>
      <w:start w:val="1"/>
    </w:lvl>
  </w:abstractNum>
  <w:abstractNum w:abstractNumId="121">
    <w:nsid w:val="1D91467C"/>
    <w:multiLevelType w:val="hybridMultilevel"/>
    <w:lvl w:ilvl="0">
      <w:lvlJc w:val="left"/>
      <w:lvlText w:val="(%1)"/>
      <w:numFmt w:val="decimal"/>
      <w:start w:val="1"/>
    </w:lvl>
  </w:abstractNum>
  <w:abstractNum w:abstractNumId="122">
    <w:nsid w:val="316032BB"/>
    <w:multiLevelType w:val="hybridMultilevel"/>
    <w:lvl w:ilvl="0">
      <w:lvlJc w:val="left"/>
      <w:lvlText w:val="(%1)"/>
      <w:numFmt w:val="decimal"/>
      <w:start w:val="7"/>
    </w:lvl>
  </w:abstractNum>
  <w:abstractNum w:abstractNumId="123">
    <w:nsid w:val="44344C22"/>
    <w:multiLevelType w:val="hybridMultilevel"/>
    <w:lvl w:ilvl="0">
      <w:lvlJc w:val="left"/>
      <w:lvlText w:val="(%1)"/>
      <w:numFmt w:val="lowerLetter"/>
      <w:start w:val="3"/>
    </w:lvl>
  </w:abstractNum>
  <w:abstractNum w:abstractNumId="124">
    <w:nsid w:val="13CDFCFC"/>
    <w:multiLevelType w:val="hybridMultilevel"/>
    <w:lvl w:ilvl="0">
      <w:lvlJc w:val="left"/>
      <w:lvlText w:val="(%1)"/>
      <w:numFmt w:val="lowerLetter"/>
      <w:start w:val="1"/>
    </w:lvl>
    <w:lvl w:ilvl="1">
      <w:lvlJc w:val="left"/>
      <w:lvlText w:val="(%2)"/>
      <w:numFmt w:val="decimal"/>
      <w:start w:val="1"/>
    </w:lvl>
  </w:abstractNum>
  <w:abstractNum w:abstractNumId="125">
    <w:nsid w:val="471745E4"/>
    <w:multiLevelType w:val="hybridMultilevel"/>
    <w:lvl w:ilvl="0">
      <w:lvlJc w:val="left"/>
      <w:lvlText w:val="(%1)"/>
      <w:numFmt w:val="decimal"/>
      <w:start w:val="1"/>
    </w:lvl>
  </w:abstractNum>
  <w:abstractNum w:abstractNumId="126">
    <w:nsid w:val="1DDBC66"/>
    <w:multiLevelType w:val="hybridMultilevel"/>
    <w:lvl w:ilvl="0">
      <w:lvlJc w:val="left"/>
      <w:lvlText w:val="(%1)"/>
      <w:numFmt w:val="lowerLetter"/>
      <w:start w:val="1"/>
    </w:lvl>
  </w:abstractNum>
  <w:abstractNum w:abstractNumId="127">
    <w:nsid w:val="30AADFDA"/>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28">
    <w:nsid w:val="30EADA61"/>
    <w:multiLevelType w:val="hybridMultilevel"/>
    <w:lvl w:ilvl="0">
      <w:lvlJc w:val="left"/>
      <w:lvlText w:val="%1"/>
      <w:numFmt w:val="decimal"/>
      <w:start w:val="1"/>
    </w:lvl>
    <w:lvl w:ilvl="1">
      <w:lvlJc w:val="left"/>
      <w:lvlText w:val="(%2)"/>
      <w:numFmt w:val="upperLetter"/>
      <w:start w:val="2"/>
    </w:lvl>
  </w:abstractNum>
  <w:abstractNum w:abstractNumId="129">
    <w:nsid w:val="27179C0B"/>
    <w:multiLevelType w:val="hybridMultilevel"/>
    <w:lvl w:ilvl="0">
      <w:lvlJc w:val="left"/>
      <w:lvlText w:val="(%1)"/>
      <w:numFmt w:val="decimal"/>
      <w:start w:val="5"/>
    </w:lvl>
    <w:lvl w:ilvl="1">
      <w:lvlJc w:val="left"/>
      <w:lvlText w:val="%2"/>
      <w:numFmt w:val="upperLetter"/>
      <w:start w:val="1"/>
    </w:lvl>
  </w:abstractNum>
  <w:abstractNum w:abstractNumId="130">
    <w:nsid w:val="5E636063"/>
    <w:multiLevelType w:val="hybridMultilevel"/>
    <w:lvl w:ilvl="0">
      <w:lvlJc w:val="left"/>
      <w:lvlText w:val="%1"/>
      <w:numFmt w:val="lowerLetter"/>
      <w:start w:val="1"/>
    </w:lvl>
    <w:lvl w:ilvl="1">
      <w:lvlJc w:val="left"/>
      <w:lvlText w:val="(%2)"/>
      <w:numFmt w:val="decimal"/>
      <w:start w:val="13"/>
    </w:lvl>
  </w:abstractNum>
  <w:abstractNum w:abstractNumId="131">
    <w:nsid w:val="215641AF"/>
    <w:multiLevelType w:val="hybridMultilevel"/>
    <w:lvl w:ilvl="0">
      <w:lvlJc w:val="left"/>
      <w:lvlText w:val="(%1)"/>
      <w:numFmt w:val="lowerLetter"/>
      <w:start w:val="3"/>
    </w:lvl>
    <w:lvl w:ilvl="1">
      <w:lvlJc w:val="left"/>
      <w:lvlText w:val="%2"/>
      <w:numFmt w:val="decimal"/>
      <w:start w:val="1"/>
    </w:lvl>
  </w:abstractNum>
  <w:abstractNum w:abstractNumId="132">
    <w:nsid w:val="53280662"/>
    <w:multiLevelType w:val="hybridMultilevel"/>
    <w:lvl w:ilvl="0">
      <w:lvlJc w:val="left"/>
      <w:lvlText w:val="(%1)"/>
      <w:numFmt w:val="decimal"/>
      <w:start w:val="1"/>
    </w:lvl>
    <w:lvl w:ilvl="1">
      <w:lvlJc w:val="left"/>
      <w:lvlText w:val="(%2)"/>
      <w:numFmt w:val="upperLetter"/>
      <w:start w:val="1"/>
    </w:lvl>
  </w:abstractNum>
  <w:abstractNum w:abstractNumId="133">
    <w:nsid w:val="46B24DBC"/>
    <w:multiLevelType w:val="hybridMultilevel"/>
    <w:lvl w:ilvl="0">
      <w:lvlJc w:val="left"/>
      <w:lvlText w:val="(%1)"/>
      <w:numFmt w:val="lowerLetter"/>
      <w:start w:val="1"/>
    </w:lvl>
  </w:abstractNum>
  <w:abstractNum w:abstractNumId="134">
    <w:nsid w:val="75B52783"/>
    <w:multiLevelType w:val="hybridMultilevel"/>
    <w:lvl w:ilvl="0">
      <w:lvlJc w:val="left"/>
      <w:lvlText w:val="(%1)"/>
      <w:numFmt w:val="decimal"/>
      <w:start w:val="1"/>
    </w:lvl>
  </w:abstractNum>
  <w:abstractNum w:abstractNumId="135">
    <w:nsid w:val="57CE66B4"/>
    <w:multiLevelType w:val="hybridMultilevel"/>
    <w:lvl w:ilvl="0">
      <w:lvlJc w:val="left"/>
      <w:lvlText w:val="(%1)"/>
      <w:numFmt w:val="decimal"/>
      <w:start w:val="2"/>
    </w:lvl>
  </w:abstractNum>
  <w:abstractNum w:abstractNumId="136">
    <w:nsid w:val="67A70B69"/>
    <w:multiLevelType w:val="hybridMultilevel"/>
    <w:lvl w:ilvl="0">
      <w:lvlJc w:val="left"/>
      <w:lvlText w:val="(%1)"/>
      <w:numFmt w:val="lowerRoman"/>
      <w:start w:val="2"/>
    </w:lvl>
  </w:abstractNum>
  <w:abstractNum w:abstractNumId="137">
    <w:nsid w:val="5953172F"/>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38">
    <w:nsid w:val="27EDFE3A"/>
    <w:multiLevelType w:val="hybridMultilevel"/>
    <w:lvl w:ilvl="0">
      <w:lvlJc w:val="left"/>
      <w:lvlText w:val="%1"/>
      <w:numFmt w:val="lowerLetter"/>
      <w:start w:val="1"/>
    </w:lvl>
    <w:lvl w:ilvl="1">
      <w:lvlJc w:val="left"/>
      <w:lvlText w:val="(%2)"/>
      <w:numFmt w:val="decimal"/>
      <w:start w:val="3"/>
    </w:lvl>
  </w:abstractNum>
  <w:abstractNum w:abstractNumId="139">
    <w:nsid w:val="52AC7DFF"/>
    <w:multiLevelType w:val="hybridMultilevel"/>
    <w:lvl w:ilvl="0">
      <w:lvlJc w:val="left"/>
      <w:lvlText w:val="(%1)"/>
      <w:numFmt w:val="lowerLetter"/>
      <w:start w:val="2"/>
    </w:lvl>
    <w:lvl w:ilvl="1">
      <w:lvlJc w:val="left"/>
      <w:lvlText w:val="(%2)"/>
      <w:numFmt w:val="decimal"/>
      <w:start w:val="1"/>
    </w:lvl>
  </w:abstractNum>
  <w:abstractNum w:abstractNumId="140">
    <w:nsid w:val="C4C3AF"/>
    <w:multiLevelType w:val="hybridMultilevel"/>
    <w:lvl w:ilvl="0">
      <w:lvlJc w:val="left"/>
      <w:lvlText w:val="(%1)"/>
      <w:numFmt w:val="lowerLetter"/>
      <w:start w:val="1"/>
    </w:lvl>
  </w:abstractNum>
  <w:abstractNum w:abstractNumId="141">
    <w:nsid w:val="44380727"/>
    <w:multiLevelType w:val="hybridMultilevel"/>
    <w:lvl w:ilvl="0">
      <w:lvlJc w:val="left"/>
      <w:lvlText w:val="(%1)"/>
      <w:numFmt w:val="lowerLetter"/>
      <w:start w:val="1"/>
    </w:lvl>
  </w:abstractNum>
  <w:abstractNum w:abstractNumId="142">
    <w:nsid w:val="6C053B16"/>
    <w:multiLevelType w:val="hybridMultilevel"/>
    <w:lvl w:ilvl="0">
      <w:lvlJc w:val="left"/>
      <w:lvlText w:val="(%1)"/>
      <w:numFmt w:val="decimal"/>
      <w:start w:val="1"/>
    </w:lvl>
  </w:abstractNum>
  <w:abstractNum w:abstractNumId="143">
    <w:nsid w:val="4F294393"/>
    <w:multiLevelType w:val="hybridMultilevel"/>
    <w:lvl w:ilvl="0">
      <w:lvlJc w:val="left"/>
      <w:lvlText w:val="(%1)"/>
      <w:numFmt w:val="lowerLetter"/>
      <w:start w:val="2"/>
    </w:lvl>
    <w:lvl w:ilvl="1">
      <w:lvlJc w:val="left"/>
      <w:lvlText w:val="(%2)"/>
      <w:numFmt w:val="decimal"/>
      <w:start w:val="1"/>
    </w:lvl>
  </w:abstractNum>
  <w:abstractNum w:abstractNumId="144">
    <w:nsid w:val="5243BFAC"/>
    <w:multiLevelType w:val="hybridMultilevel"/>
    <w:lvl w:ilvl="0">
      <w:lvlJc w:val="left"/>
      <w:lvlText w:val="(%1)"/>
      <w:numFmt w:val="decimal"/>
      <w:start w:val="3"/>
    </w:lvl>
  </w:abstractNum>
  <w:abstractNum w:abstractNumId="145">
    <w:nsid w:val="425EB207"/>
    <w:multiLevelType w:val="hybridMultilevel"/>
    <w:lvl w:ilvl="0">
      <w:lvlJc w:val="left"/>
      <w:lvlText w:val="(%1)"/>
      <w:numFmt w:val="lowerLetter"/>
      <w:start w:val="3"/>
    </w:lvl>
  </w:abstractNum>
  <w:abstractNum w:abstractNumId="146">
    <w:nsid w:val="334A6F1F"/>
    <w:multiLevelType w:val="hybridMultilevel"/>
    <w:lvl w:ilvl="0">
      <w:lvlJc w:val="left"/>
      <w:lvlText w:val="(%1)"/>
      <w:numFmt w:val="lowerLetter"/>
      <w:start w:val="1"/>
    </w:lvl>
  </w:abstractNum>
  <w:abstractNum w:abstractNumId="147">
    <w:nsid w:val="2E5B12B8"/>
    <w:multiLevelType w:val="hybridMultilevel"/>
    <w:lvl w:ilvl="0">
      <w:lvlJc w:val="left"/>
      <w:lvlText w:val="(%1)"/>
      <w:numFmt w:val="lowerLetter"/>
      <w:start w:val="3"/>
    </w:lvl>
  </w:abstractNum>
  <w:abstractNum w:abstractNumId="148">
    <w:nsid w:val="5C03D76D"/>
    <w:multiLevelType w:val="hybridMultilevel"/>
    <w:lvl w:ilvl="0">
      <w:lvlJc w:val="left"/>
      <w:lvlText w:val="(%1)"/>
      <w:numFmt w:val="lowerLetter"/>
      <w:start w:val="1"/>
    </w:lvl>
  </w:abstractNum>
  <w:abstractNum w:abstractNumId="149">
    <w:nsid w:val="66A48D11"/>
    <w:multiLevelType w:val="hybridMultilevel"/>
    <w:lvl w:ilvl="0">
      <w:lvlJc w:val="left"/>
      <w:lvlText w:val="(%1)"/>
      <w:numFmt w:val="lowerLetter"/>
      <w:start w:val="1"/>
    </w:lvl>
  </w:abstractNum>
  <w:abstractNum w:abstractNumId="150">
    <w:nsid w:val="56C28E34"/>
    <w:multiLevelType w:val="hybridMultilevel"/>
    <w:lvl w:ilvl="0">
      <w:lvlJc w:val="left"/>
      <w:lvlText w:val="(%1)"/>
      <w:numFmt w:val="lowerLetter"/>
      <w:start w:val="1"/>
    </w:lvl>
    <w:lvl w:ilvl="1">
      <w:lvlJc w:val="left"/>
      <w:lvlText w:val="(%2)"/>
      <w:numFmt w:val="decimal"/>
      <w:start w:val="1"/>
    </w:lvl>
  </w:abstractNum>
  <w:abstractNum w:abstractNumId="151">
    <w:nsid w:val="13916F2D"/>
    <w:multiLevelType w:val="hybridMultilevel"/>
    <w:lvl w:ilvl="0">
      <w:lvlJc w:val="left"/>
      <w:lvlText w:val="(%1)"/>
      <w:numFmt w:val="lowerLetter"/>
      <w:start w:val="1"/>
    </w:lvl>
  </w:abstractNum>
  <w:abstractNum w:abstractNumId="152">
    <w:nsid w:val="435D38D"/>
    <w:multiLevelType w:val="hybridMultilevel"/>
    <w:lvl w:ilvl="0">
      <w:lvlJc w:val="left"/>
      <w:lvlText w:val="(%1)"/>
      <w:numFmt w:val="lowerLetter"/>
      <w:start w:val="1"/>
    </w:lvl>
    <w:lvl w:ilvl="1">
      <w:lvlJc w:val="left"/>
      <w:lvlText w:val="(%2)"/>
      <w:numFmt w:val="decimal"/>
      <w:start w:val="1"/>
    </w:lvl>
  </w:abstractNum>
  <w:abstractNum w:abstractNumId="153">
    <w:nsid w:val="822C0EF"/>
    <w:multiLevelType w:val="hybridMultilevel"/>
    <w:lvl w:ilvl="0">
      <w:lvlJc w:val="left"/>
      <w:lvlText w:val="(%1)"/>
      <w:numFmt w:val="lowerLetter"/>
      <w:start w:val="1"/>
    </w:lvl>
  </w:abstractNum>
  <w:abstractNum w:abstractNumId="154">
    <w:nsid w:val="57C5BB4F"/>
    <w:multiLevelType w:val="hybridMultilevel"/>
    <w:lvl w:ilvl="0">
      <w:lvlJc w:val="left"/>
      <w:lvlText w:val="(%1)"/>
      <w:numFmt w:val="lowerLetter"/>
      <w:start w:val="1"/>
    </w:lvl>
  </w:abstractNum>
  <w:abstractNum w:abstractNumId="155">
    <w:nsid w:val="1803D089"/>
    <w:multiLevelType w:val="hybridMultilevel"/>
    <w:lvl w:ilvl="0">
      <w:lvlJc w:val="left"/>
      <w:lvlText w:val="(%1)"/>
      <w:numFmt w:val="decimal"/>
      <w:start w:val="2"/>
    </w:lvl>
  </w:abstractNum>
  <w:abstractNum w:abstractNumId="156">
    <w:nsid w:val="4F3A06D4"/>
    <w:multiLevelType w:val="hybridMultilevel"/>
    <w:lvl w:ilvl="0">
      <w:lvlJc w:val="left"/>
      <w:lvlText w:val="(%1)"/>
      <w:numFmt w:val="lowerLetter"/>
      <w:start w:val="2"/>
    </w:lvl>
    <w:lvl w:ilvl="1">
      <w:lvlJc w:val="left"/>
      <w:lvlText w:val="(%2)"/>
      <w:numFmt w:val="decimal"/>
      <w:start w:val="1"/>
    </w:lvl>
  </w:abstractNum>
  <w:abstractNum w:abstractNumId="157">
    <w:nsid w:val="59A377B6"/>
    <w:multiLevelType w:val="hybridMultilevel"/>
    <w:lvl w:ilvl="0">
      <w:lvlJc w:val="left"/>
      <w:lvlText w:val="(%1)"/>
      <w:numFmt w:val="lowerLetter"/>
      <w:start w:val="6"/>
    </w:lvl>
  </w:abstractNum>
  <w:abstractNum w:abstractNumId="158">
    <w:nsid w:val="48AEB06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59">
    <w:nsid w:val="24E135"/>
    <w:multiLevelType w:val="hybridMultilevel"/>
    <w:lvl w:ilvl="0">
      <w:lvlJc w:val="left"/>
      <w:lvlText w:val="(%1)"/>
      <w:numFmt w:val="lowerLetter"/>
      <w:start w:val="35"/>
    </w:lvl>
    <w:lvl w:ilvl="1">
      <w:lvlJc w:val="left"/>
      <w:lvlText w:val="(%2)"/>
      <w:numFmt w:val="lowerLetter"/>
      <w:start w:val="2"/>
    </w:lvl>
    <w:lvl w:ilvl="2">
      <w:lvlJc w:val="left"/>
      <w:lvlText w:val="(%3)"/>
      <w:numFmt w:val="decimal"/>
      <w:start w:val="1"/>
    </w:lvl>
  </w:abstractNum>
  <w:abstractNum w:abstractNumId="160">
    <w:nsid w:val="BB13C1"/>
    <w:multiLevelType w:val="hybridMultilevel"/>
    <w:lvl w:ilvl="0">
      <w:lvlJc w:val="left"/>
      <w:lvlText w:val="(%1)"/>
      <w:numFmt w:val="lowerLetter"/>
      <w:start w:val="1"/>
    </w:lvl>
  </w:abstractNum>
  <w:abstractNum w:abstractNumId="161">
    <w:nsid w:val="271210C7"/>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upperLetter"/>
      <w:start w:val="2"/>
    </w:lvl>
  </w:abstractNum>
  <w:abstractNum w:abstractNumId="162">
    <w:nsid w:val="217B22E4"/>
    <w:multiLevelType w:val="hybridMultilevel"/>
    <w:lvl w:ilvl="0">
      <w:lvlJc w:val="left"/>
      <w:lvlText w:val="(%1)"/>
      <w:numFmt w:val="decimal"/>
      <w:start w:val="6"/>
    </w:lvl>
  </w:abstractNum>
  <w:abstractNum w:abstractNumId="163">
    <w:nsid w:val="53E31A24"/>
    <w:multiLevelType w:val="hybridMultilevel"/>
    <w:lvl w:ilvl="0">
      <w:lvlJc w:val="left"/>
      <w:lvlText w:val="(%1)"/>
      <w:numFmt w:val="lowerLetter"/>
      <w:start w:val="1"/>
    </w:lvl>
    <w:lvl w:ilvl="1">
      <w:lvlJc w:val="left"/>
      <w:lvlText w:val="(%2)"/>
      <w:numFmt w:val="decimal"/>
      <w:start w:val="1"/>
    </w:lvl>
  </w:abstractNum>
  <w:abstractNum w:abstractNumId="164">
    <w:nsid w:val="6DC45E83"/>
    <w:multiLevelType w:val="hybridMultilevel"/>
    <w:lvl w:ilvl="0">
      <w:lvlJc w:val="left"/>
      <w:lvlText w:val="%1"/>
      <w:numFmt w:val="lowerLetter"/>
      <w:start w:val="1"/>
    </w:lvl>
    <w:lvl w:ilvl="1">
      <w:lvlJc w:val="left"/>
      <w:lvlText w:val="(%2)"/>
      <w:numFmt w:val="decimal"/>
      <w:start w:val="2"/>
    </w:lvl>
  </w:abstractNum>
  <w:abstractNum w:abstractNumId="165">
    <w:nsid w:val="17304A67"/>
    <w:multiLevelType w:val="hybridMultilevel"/>
    <w:lvl w:ilvl="0">
      <w:lvlJc w:val="left"/>
      <w:lvlText w:val="(%1)"/>
      <w:numFmt w:val="lowerLetter"/>
      <w:start w:val="4"/>
    </w:lvl>
    <w:lvl w:ilvl="1">
      <w:lvlJc w:val="left"/>
      <w:lvlText w:val="(%2)"/>
      <w:numFmt w:val="decimal"/>
      <w:start w:val="1"/>
    </w:lvl>
  </w:abstractNum>
  <w:abstractNum w:abstractNumId="166">
    <w:nsid w:val="2BB180D8"/>
    <w:multiLevelType w:val="hybridMultilevel"/>
    <w:lvl w:ilvl="0">
      <w:lvlJc w:val="left"/>
      <w:lvlText w:val="(%1)"/>
      <w:numFmt w:val="lowerLetter"/>
      <w:start w:val="7"/>
    </w:lvl>
  </w:abstractNum>
  <w:abstractNum w:abstractNumId="167">
    <w:nsid w:val="556B69ED"/>
    <w:multiLevelType w:val="hybridMultilevel"/>
    <w:lvl w:ilvl="0">
      <w:lvlJc w:val="left"/>
      <w:lvlText w:val="(%1)"/>
      <w:numFmt w:val="lowerLetter"/>
      <w:start w:val="10"/>
    </w:lvl>
    <w:lvl w:ilvl="1">
      <w:lvlJc w:val="left"/>
      <w:lvlText w:val="(%2)"/>
      <w:numFmt w:val="decimal"/>
      <w:start w:val="1"/>
    </w:lvl>
  </w:abstractNum>
  <w:abstractNum w:abstractNumId="168">
    <w:nsid w:val="70836196"/>
    <w:multiLevelType w:val="hybridMultilevel"/>
    <w:lvl w:ilvl="0">
      <w:lvlJc w:val="left"/>
      <w:lvlText w:val="(%1)"/>
      <w:numFmt w:val="lowerLetter"/>
      <w:start w:val="13"/>
    </w:lvl>
  </w:abstractNum>
  <w:abstractNum w:abstractNumId="169">
    <w:nsid w:val="539F7F12"/>
    <w:multiLevelType w:val="hybridMultilevel"/>
    <w:lvl w:ilvl="0">
      <w:lvlJc w:val="left"/>
      <w:lvlText w:val="(%1)"/>
      <w:numFmt w:val="lowerLetter"/>
      <w:start w:val="1"/>
    </w:lvl>
  </w:abstractNum>
  <w:abstractNum w:abstractNumId="170">
    <w:nsid w:val="2817E7EC"/>
    <w:multiLevelType w:val="hybridMultilevel"/>
    <w:lvl w:ilvl="0">
      <w:lvlJc w:val="left"/>
      <w:lvlText w:val="(%1)"/>
      <w:numFmt w:val="lowerLetter"/>
      <w:start w:val="1"/>
    </w:lvl>
    <w:lvl w:ilvl="1">
      <w:lvlJc w:val="left"/>
      <w:lvlText w:val="(%2)"/>
      <w:numFmt w:val="decimal"/>
      <w:start w:val="1"/>
    </w:lvl>
  </w:abstractNum>
  <w:abstractNum w:abstractNumId="171">
    <w:nsid w:val="71482545"/>
    <w:multiLevelType w:val="hybridMultilevel"/>
    <w:lvl w:ilvl="0">
      <w:lvlJc w:val="left"/>
      <w:lvlText w:val="(%1)"/>
      <w:numFmt w:val="lowerLetter"/>
      <w:start w:val="3"/>
    </w:lvl>
    <w:lvl w:ilvl="1">
      <w:lvlJc w:val="left"/>
      <w:lvlText w:val="(%2)"/>
      <w:numFmt w:val="decimal"/>
      <w:start w:val="1"/>
    </w:lvl>
  </w:abstractNum>
  <w:abstractNum w:abstractNumId="172">
    <w:nsid w:val="17D78639"/>
    <w:multiLevelType w:val="hybridMultilevel"/>
    <w:lvl w:ilvl="0">
      <w:lvlJc w:val="left"/>
      <w:lvlText w:val="(%1)"/>
      <w:numFmt w:val="lowerLetter"/>
      <w:start w:val="1"/>
    </w:lvl>
  </w:abstractNum>
  <w:abstractNum w:abstractNumId="173">
    <w:nsid w:val="141D2302"/>
    <w:multiLevelType w:val="hybridMultilevel"/>
    <w:lvl w:ilvl="0">
      <w:lvlJc w:val="left"/>
      <w:lvlText w:val="%1"/>
      <w:numFmt w:val="lowerLetter"/>
      <w:start w:val="1"/>
    </w:lvl>
    <w:lvl w:ilvl="1">
      <w:lvlJc w:val="left"/>
      <w:lvlText w:val="(%2)"/>
      <w:numFmt w:val="lowerLetter"/>
      <w:start w:val="5"/>
    </w:lvl>
  </w:abstractNum>
  <w:abstractNum w:abstractNumId="174">
    <w:nsid w:val="407168D8"/>
    <w:multiLevelType w:val="hybridMultilevel"/>
    <w:lvl w:ilvl="0">
      <w:lvlJc w:val="left"/>
      <w:lvlText w:val="(%1)"/>
      <w:numFmt w:val="lowerLetter"/>
      <w:start w:val="61"/>
    </w:lvl>
    <w:lvl w:ilvl="1">
      <w:lvlJc w:val="left"/>
      <w:lvlText w:val="(%2)"/>
      <w:numFmt w:val="lowerLetter"/>
      <w:start w:val="7"/>
    </w:lvl>
  </w:abstractNum>
  <w:abstractNum w:abstractNumId="175">
    <w:nsid w:val="6A1B45E5"/>
    <w:multiLevelType w:val="hybridMultilevel"/>
    <w:lvl w:ilvl="0">
      <w:lvlJc w:val="left"/>
      <w:lvlText w:val="(%1)"/>
      <w:numFmt w:val="lowerLetter"/>
      <w:start w:val="1"/>
    </w:lvl>
  </w:abstractNum>
  <w:abstractNum w:abstractNumId="176">
    <w:nsid w:val="567BD50A"/>
    <w:multiLevelType w:val="hybridMultilevel"/>
    <w:lvl w:ilvl="0">
      <w:lvlJc w:val="left"/>
      <w:lvlText w:val="(%1)"/>
      <w:numFmt w:val="lowerLetter"/>
      <w:start w:val="1"/>
    </w:lvl>
  </w:abstractNum>
  <w:abstractNum w:abstractNumId="177">
    <w:nsid w:val="73BBD7F8"/>
    <w:multiLevelType w:val="hybridMultilevel"/>
    <w:lvl w:ilvl="0">
      <w:lvlJc w:val="left"/>
      <w:lvlText w:val="(%1)"/>
      <w:numFmt w:val="lowerLetter"/>
      <w:start w:val="2"/>
    </w:lvl>
  </w:abstractNum>
  <w:abstractNum w:abstractNumId="178">
    <w:nsid w:val="1876589D"/>
    <w:multiLevelType w:val="hybridMultilevel"/>
    <w:lvl w:ilvl="0">
      <w:lvlJc w:val="left"/>
      <w:lvlText w:val="(%1)"/>
      <w:numFmt w:val="lowerLetter"/>
      <w:start w:val="1"/>
    </w:lvl>
  </w:abstractNum>
  <w:abstractNum w:abstractNumId="179">
    <w:nsid w:val="327FAC77"/>
    <w:multiLevelType w:val="hybridMultilevel"/>
    <w:lvl w:ilvl="0">
      <w:lvlJc w:val="left"/>
      <w:lvlText w:val="%1"/>
      <w:numFmt w:val="lowerLetter"/>
      <w:start w:val="1"/>
    </w:lvl>
    <w:lvl w:ilvl="1">
      <w:lvlJc w:val="left"/>
      <w:lvlText w:val="(%2)"/>
      <w:numFmt w:val="decimal"/>
      <w:start w:val="1"/>
    </w:lvl>
  </w:abstractNum>
  <w:abstractNum w:abstractNumId="180">
    <w:nsid w:val="5A606509"/>
    <w:multiLevelType w:val="hybridMultilevel"/>
    <w:lvl w:ilvl="0">
      <w:lvlJc w:val="left"/>
      <w:lvlText w:val="(%1)"/>
      <w:numFmt w:val="lowerLetter"/>
      <w:start w:val="3"/>
    </w:lvl>
    <w:lvl w:ilvl="1">
      <w:lvlJc w:val="left"/>
      <w:lvlText w:val="%2"/>
      <w:numFmt w:val="decimal"/>
      <w:start w:val="1"/>
    </w:lvl>
  </w:abstractNum>
  <w:abstractNum w:abstractNumId="181">
    <w:nsid w:val="6F38E6D1"/>
    <w:multiLevelType w:val="hybridMultilevel"/>
    <w:lvl w:ilvl="0">
      <w:lvlJc w:val="left"/>
      <w:lvlText w:val="(%1)"/>
      <w:numFmt w:val="lowerLetter"/>
      <w:start w:val="1"/>
    </w:lvl>
  </w:abstractNum>
  <w:abstractNum w:abstractNumId="182">
    <w:nsid w:val="46111BA5"/>
    <w:multiLevelType w:val="hybridMultilevel"/>
    <w:lvl w:ilvl="0">
      <w:lvlJc w:val="left"/>
      <w:lvlText w:val="(%1)"/>
      <w:numFmt w:val="lowerLetter"/>
      <w:start w:val="4"/>
    </w:lvl>
  </w:abstractNum>
  <w:abstractNum w:abstractNumId="183">
    <w:nsid w:val="5E963896"/>
    <w:multiLevelType w:val="hybridMultilevel"/>
    <w:lvl w:ilvl="0">
      <w:lvlJc w:val="left"/>
      <w:lvlText w:val="(%1)"/>
      <w:numFmt w:val="lowerLetter"/>
      <w:start w:val="1"/>
    </w:lvl>
  </w:abstractNum>
  <w:abstractNum w:abstractNumId="184">
    <w:nsid w:val="775BA7C1"/>
    <w:multiLevelType w:val="hybridMultilevel"/>
    <w:lvl w:ilvl="0">
      <w:lvlJc w:val="left"/>
      <w:lvlText w:val="(%1)"/>
      <w:numFmt w:val="lowerLetter"/>
      <w:start w:val="3"/>
    </w:lvl>
  </w:abstractNum>
  <w:abstractNum w:abstractNumId="185">
    <w:nsid w:val="1DD6D6F4"/>
    <w:multiLevelType w:val="hybridMultilevel"/>
    <w:lvl w:ilvl="0">
      <w:lvlJc w:val="left"/>
      <w:lvlText w:val="(%1)"/>
      <w:numFmt w:val="lowerLetter"/>
      <w:start w:val="1"/>
    </w:lvl>
  </w:abstractNum>
  <w:abstractNum w:abstractNumId="186">
    <w:nsid w:val="769A091F"/>
    <w:multiLevelType w:val="hybridMultilevel"/>
    <w:lvl w:ilvl="0">
      <w:lvlJc w:val="left"/>
      <w:lvlText w:val="(%1)"/>
      <w:numFmt w:val="lowerLetter"/>
      <w:start w:val="1"/>
    </w:lvl>
  </w:abstractNum>
  <w:abstractNum w:abstractNumId="187">
    <w:nsid w:val="4695AE95"/>
    <w:multiLevelType w:val="hybridMultilevel"/>
    <w:lvl w:ilvl="0">
      <w:lvlJc w:val="left"/>
      <w:lvlText w:val="(%1)"/>
      <w:numFmt w:val="lowerLetter"/>
      <w:start w:val="8"/>
    </w:lvl>
  </w:abstractNum>
  <w:abstractNum w:abstractNumId="188">
    <w:nsid w:val="777A4EAA"/>
    <w:multiLevelType w:val="hybridMultilevel"/>
    <w:lvl w:ilvl="0">
      <w:lvlJc w:val="left"/>
      <w:lvlText w:val="(%1)"/>
      <w:numFmt w:val="lowerLetter"/>
      <w:start w:val="1"/>
    </w:lvl>
  </w:abstractNum>
  <w:abstractNum w:abstractNumId="189">
    <w:nsid w:val="3F48B982"/>
    <w:multiLevelType w:val="hybridMultilevel"/>
    <w:lvl w:ilvl="0">
      <w:lvlJc w:val="left"/>
      <w:lvlText w:val="(%1)"/>
      <w:numFmt w:val="lowerLetter"/>
      <w:start w:val="1"/>
    </w:lvl>
    <w:lvl w:ilvl="1">
      <w:lvlJc w:val="left"/>
      <w:lvlText w:val="(%2)"/>
      <w:numFmt w:val="decimal"/>
      <w:start w:val="1"/>
    </w:lvl>
  </w:abstractNum>
  <w:abstractNum w:abstractNumId="190">
    <w:nsid w:val="46BA8FCA"/>
    <w:multiLevelType w:val="hybridMultilevel"/>
    <w:lvl w:ilvl="0">
      <w:lvlJc w:val="left"/>
      <w:lvlText w:val="%1"/>
      <w:numFmt w:val="lowerLetter"/>
      <w:start w:val="1"/>
    </w:lvl>
    <w:lvl w:ilvl="1">
      <w:lvlJc w:val="left"/>
      <w:lvlText w:val="(%2)"/>
      <w:numFmt w:val="decimal"/>
      <w:start w:val="2"/>
    </w:lvl>
  </w:abstractNum>
  <w:abstractNum w:abstractNumId="191">
    <w:nsid w:val="7835626C"/>
    <w:multiLevelType w:val="hybridMultilevel"/>
    <w:lvl w:ilvl="0">
      <w:lvlJc w:val="left"/>
      <w:lvlText w:val="(%1)"/>
      <w:numFmt w:val="lowerLetter"/>
      <w:start w:val="2"/>
    </w:lvl>
    <w:lvl w:ilvl="1">
      <w:lvlJc w:val="left"/>
      <w:lvlText w:val="(%2)"/>
      <w:numFmt w:val="decimal"/>
      <w:start w:val="1"/>
    </w:lvl>
  </w:abstractNum>
  <w:abstractNum w:abstractNumId="192">
    <w:nsid w:val="665ACA49"/>
    <w:multiLevelType w:val="hybridMultilevel"/>
    <w:lvl w:ilvl="0">
      <w:lvlJc w:val="left"/>
      <w:lvlText w:val="(%1)"/>
      <w:numFmt w:val="lowerLetter"/>
      <w:start w:val="1"/>
    </w:lvl>
    <w:lvl w:ilvl="1">
      <w:lvlJc w:val="left"/>
      <w:lvlText w:val="(%2)"/>
      <w:numFmt w:val="decimal"/>
      <w:start w:val="1"/>
    </w:lvl>
  </w:abstractNum>
  <w:abstractNum w:abstractNumId="193">
    <w:nsid w:val="6835B2AE"/>
    <w:multiLevelType w:val="hybridMultilevel"/>
    <w:lvl w:ilvl="0">
      <w:lvlJc w:val="left"/>
      <w:lvlText w:val="%1"/>
      <w:numFmt w:val="lowerLetter"/>
      <w:start w:val="1"/>
    </w:lvl>
    <w:lvl w:ilvl="1">
      <w:lvlJc w:val="left"/>
      <w:lvlText w:val="(%2)"/>
      <w:numFmt w:val="decimal"/>
      <w:start w:val="2"/>
    </w:lvl>
  </w:abstractNum>
  <w:abstractNum w:abstractNumId="194">
    <w:nsid w:val="4C187C90"/>
    <w:multiLevelType w:val="hybridMultilevel"/>
    <w:lvl w:ilvl="0">
      <w:lvlJc w:val="left"/>
      <w:lvlText w:val="(%1)"/>
      <w:numFmt w:val="lowerLetter"/>
      <w:start w:val="2"/>
    </w:lvl>
    <w:lvl w:ilvl="1">
      <w:lvlJc w:val="left"/>
      <w:lvlText w:val="(%2)"/>
      <w:numFmt w:val="decimal"/>
      <w:start w:val="1"/>
    </w:lvl>
  </w:abstractNum>
  <w:abstractNum w:abstractNumId="195">
    <w:nsid w:val="541F28CD"/>
    <w:multiLevelType w:val="hybridMultilevel"/>
    <w:lvl w:ilvl="0">
      <w:lvlJc w:val="left"/>
      <w:lvlText w:val="(%1)"/>
      <w:numFmt w:val="decimal"/>
      <w:start w:val="2"/>
    </w:lvl>
  </w:abstractNum>
  <w:abstractNum w:abstractNumId="196">
    <w:nsid w:val="7F65FD16"/>
    <w:multiLevelType w:val="hybridMultilevel"/>
    <w:lvl w:ilvl="0">
      <w:lvlJc w:val="left"/>
      <w:lvlText w:val="(%1)"/>
      <w:numFmt w:val="lowerLetter"/>
      <w:start w:val="3"/>
    </w:lvl>
    <w:lvl w:ilvl="1">
      <w:lvlJc w:val="left"/>
      <w:lvlText w:val="(%2)"/>
      <w:numFmt w:val="decimal"/>
      <w:start w:val="1"/>
    </w:lvl>
  </w:abstractNum>
  <w:abstractNum w:abstractNumId="197">
    <w:nsid w:val="77C9FD68"/>
    <w:multiLevelType w:val="hybridMultilevel"/>
    <w:lvl w:ilvl="0">
      <w:lvlJc w:val="left"/>
      <w:lvlText w:val="(%1)"/>
      <w:numFmt w:val="decimal"/>
      <w:start w:val="4"/>
    </w:lvl>
  </w:abstractNum>
  <w:abstractNum w:abstractNumId="198">
    <w:nsid w:val="298A92BA"/>
    <w:multiLevelType w:val="hybridMultilevel"/>
    <w:lvl w:ilvl="0">
      <w:lvlJc w:val="left"/>
      <w:lvlText w:val="(%1)"/>
      <w:numFmt w:val="lowerLetter"/>
      <w:start w:val="4"/>
    </w:lvl>
    <w:lvl w:ilvl="1">
      <w:lvlJc w:val="left"/>
      <w:lvlText w:val="(%2)"/>
      <w:numFmt w:val="decimal"/>
      <w:start w:val="1"/>
    </w:lvl>
  </w:abstractNum>
  <w:abstractNum w:abstractNumId="199">
    <w:nsid w:val="6FE95EAC"/>
    <w:multiLevelType w:val="hybridMultilevel"/>
    <w:lvl w:ilvl="0">
      <w:lvlJc w:val="left"/>
      <w:lvlText w:val="%1"/>
      <w:numFmt w:val="lowerLetter"/>
      <w:start w:val="1"/>
    </w:lvl>
    <w:lvl w:ilvl="1">
      <w:lvlJc w:val="left"/>
      <w:lvlText w:val="(%2)"/>
      <w:numFmt w:val="decimal"/>
      <w:start w:val="2"/>
    </w:lvl>
  </w:abstractNum>
  <w:abstractNum w:abstractNumId="200">
    <w:nsid w:val="4B697C7A"/>
    <w:multiLevelType w:val="hybridMultilevel"/>
    <w:lvl w:ilvl="0">
      <w:lvlJc w:val="left"/>
      <w:lvlText w:val="(%1)"/>
      <w:numFmt w:val="lowerLetter"/>
      <w:start w:val="6"/>
    </w:lvl>
    <w:lvl w:ilvl="1">
      <w:lvlJc w:val="left"/>
      <w:lvlText w:val="%2"/>
      <w:numFmt w:val="decimal"/>
      <w:start w:val="1"/>
    </w:lvl>
  </w:abstractNum>
  <w:abstractNum w:abstractNumId="201">
    <w:nsid w:val="51A27AA6"/>
    <w:multiLevelType w:val="hybridMultilevel"/>
    <w:lvl w:ilvl="0">
      <w:lvlJc w:val="left"/>
      <w:lvlText w:val="(%1)"/>
      <w:numFmt w:val="lowerLetter"/>
      <w:start w:val="8"/>
    </w:lvl>
  </w:abstractNum>
  <w:abstractNum w:abstractNumId="202">
    <w:nsid w:val="613183F2"/>
    <w:multiLevelType w:val="hybridMultilevel"/>
    <w:lvl w:ilvl="0">
      <w:lvlJc w:val="left"/>
      <w:lvlText w:val="(%1)"/>
      <w:numFmt w:val="lowerLetter"/>
      <w:start w:val="1"/>
    </w:lvl>
  </w:abstractNum>
  <w:abstractNum w:abstractNumId="203">
    <w:nsid w:val="634102B4"/>
    <w:multiLevelType w:val="hybridMultilevel"/>
    <w:lvl w:ilvl="0">
      <w:lvlJc w:val="left"/>
      <w:lvlText w:val="(%1)"/>
      <w:numFmt w:val="lowerLetter"/>
      <w:start w:val="1"/>
    </w:lvl>
  </w:abstractNum>
  <w:abstractNum w:abstractNumId="204">
    <w:nsid w:val="65BF9DA8"/>
    <w:multiLevelType w:val="hybridMultilevel"/>
    <w:lvl w:ilvl="0">
      <w:lvlJc w:val="left"/>
      <w:lvlText w:val="(%1)"/>
      <w:numFmt w:val="lowerLetter"/>
      <w:start w:val="1"/>
    </w:lvl>
    <w:lvl w:ilvl="1">
      <w:lvlJc w:val="left"/>
      <w:lvlText w:val="(%2)"/>
      <w:numFmt w:val="decimal"/>
      <w:start w:val="1"/>
    </w:lvl>
  </w:abstractNum>
  <w:abstractNum w:abstractNumId="205">
    <w:nsid w:val="21A2ECCA"/>
    <w:multiLevelType w:val="hybridMultilevel"/>
    <w:lvl w:ilvl="0">
      <w:lvlJc w:val="left"/>
      <w:lvlText w:val="(%1)"/>
      <w:numFmt w:val="lowerLetter"/>
      <w:start w:val="2"/>
    </w:lvl>
  </w:abstractNum>
  <w:abstractNum w:abstractNumId="206">
    <w:nsid w:val="4D5C4899"/>
    <w:multiLevelType w:val="hybridMultilevel"/>
    <w:lvl w:ilvl="0">
      <w:lvlJc w:val="left"/>
      <w:lvlText w:val="(%1)"/>
      <w:numFmt w:val="lowerLetter"/>
      <w:start w:val="1"/>
    </w:lvl>
    <w:lvl w:ilvl="1">
      <w:lvlJc w:val="left"/>
      <w:lvlText w:val="(%2)"/>
      <w:numFmt w:val="decimal"/>
      <w:start w:val="1"/>
    </w:lvl>
  </w:abstractNum>
  <w:abstractNum w:abstractNumId="207">
    <w:nsid w:val="3C3B72B2"/>
    <w:multiLevelType w:val="hybridMultilevel"/>
    <w:lvl w:ilvl="0">
      <w:lvlJc w:val="left"/>
      <w:lvlText w:val="(%1)"/>
      <w:numFmt w:val="lowerLetter"/>
      <w:start w:val="2"/>
    </w:lvl>
  </w:abstractNum>
  <w:abstractNum w:abstractNumId="208">
    <w:nsid w:val="155EC4C2"/>
    <w:multiLevelType w:val="hybridMultilevel"/>
    <w:lvl w:ilvl="0">
      <w:lvlJc w:val="left"/>
      <w:lvlText w:val="(%1)"/>
      <w:numFmt w:val="lowerLetter"/>
      <w:start w:val="3"/>
    </w:lvl>
  </w:abstractNum>
  <w:abstractNum w:abstractNumId="209">
    <w:nsid w:val="65D2A137"/>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upperLetter"/>
      <w:start w:val="1"/>
    </w:lvl>
  </w:abstractNum>
  <w:abstractNum w:abstractNumId="210">
    <w:nsid w:val="6EBB1F2A"/>
    <w:multiLevelType w:val="hybridMultilevel"/>
    <w:lvl w:ilvl="0">
      <w:lvlJc w:val="left"/>
      <w:lvlText w:val="(%1)"/>
      <w:numFmt w:val="lowerLetter"/>
      <w:start w:val="3"/>
    </w:lvl>
  </w:abstractNum>
  <w:abstractNum w:abstractNumId="211">
    <w:nsid w:val="6FBF29CB"/>
    <w:multiLevelType w:val="hybridMultilevel"/>
    <w:lvl w:ilvl="0">
      <w:lvlJc w:val="left"/>
      <w:lvlText w:val="(%1)"/>
      <w:numFmt w:val="lowerLetter"/>
      <w:start w:val="1"/>
    </w:lvl>
  </w:abstractNum>
  <w:abstractNum w:abstractNumId="212">
    <w:nsid w:val="550B8808"/>
    <w:multiLevelType w:val="hybridMultilevel"/>
    <w:lvl w:ilvl="0">
      <w:lvlJc w:val="left"/>
      <w:lvlText w:val="(%1)"/>
      <w:numFmt w:val="lowerLetter"/>
      <w:start w:val="1"/>
    </w:lvl>
    <w:lvl w:ilvl="1">
      <w:lvlJc w:val="left"/>
      <w:lvlText w:val="(%2)"/>
      <w:numFmt w:val="decimal"/>
      <w:start w:val="1"/>
    </w:lvl>
  </w:abstractNum>
  <w:abstractNum w:abstractNumId="213">
    <w:nsid w:val="34CC3ACF"/>
    <w:multiLevelType w:val="hybridMultilevel"/>
    <w:lvl w:ilvl="0">
      <w:lvlJc w:val="left"/>
      <w:lvlText w:val="(%1)"/>
      <w:numFmt w:val="lowerLetter"/>
      <w:start w:val="2"/>
    </w:lvl>
  </w:abstractNum>
  <w:abstractNum w:abstractNumId="214">
    <w:nsid w:val="4E556261"/>
    <w:multiLevelType w:val="hybridMultilevel"/>
    <w:lvl w:ilvl="0">
      <w:lvlJc w:val="left"/>
      <w:lvlText w:val="(%1)"/>
      <w:numFmt w:val="lowerLetter"/>
      <w:start w:val="1"/>
    </w:lvl>
  </w:abstractNum>
  <w:abstractNum w:abstractNumId="215">
    <w:nsid w:val="4C672FC9"/>
    <w:multiLevelType w:val="hybridMultilevel"/>
    <w:lvl w:ilvl="0">
      <w:lvlJc w:val="left"/>
      <w:lvlText w:val="(%1)"/>
      <w:numFmt w:val="lowerLetter"/>
      <w:start w:val="3"/>
    </w:lvl>
  </w:abstractNum>
  <w:abstractNum w:abstractNumId="216">
    <w:nsid w:val="52A311C3"/>
    <w:multiLevelType w:val="hybridMultilevel"/>
    <w:lvl w:ilvl="0">
      <w:lvlJc w:val="left"/>
      <w:lvlText w:val="(%1)"/>
      <w:numFmt w:val="lowerLetter"/>
      <w:start w:val="1"/>
    </w:lvl>
  </w:abstractNum>
  <w:abstractNum w:abstractNumId="217">
    <w:nsid w:val="44EF6B80"/>
    <w:multiLevelType w:val="hybridMultilevel"/>
    <w:lvl w:ilvl="0">
      <w:lvlJc w:val="left"/>
      <w:lvlText w:val="(%1)"/>
      <w:numFmt w:val="lowerLetter"/>
      <w:start w:val="1"/>
    </w:lvl>
  </w:abstractNum>
  <w:abstractNum w:abstractNumId="218">
    <w:nsid w:val="12FCDE5E"/>
    <w:multiLevelType w:val="hybridMultilevel"/>
    <w:lvl w:ilvl="0">
      <w:lvlJc w:val="left"/>
      <w:lvlText w:val="(%1)"/>
      <w:numFmt w:val="lowerLetter"/>
      <w:start w:val="4"/>
    </w:lvl>
  </w:abstractNum>
  <w:abstractNum w:abstractNumId="219">
    <w:nsid w:val="4A1D606E"/>
    <w:multiLevelType w:val="hybridMultilevel"/>
    <w:lvl w:ilvl="0">
      <w:lvlJc w:val="left"/>
      <w:lvlText w:val="(%1)"/>
      <w:numFmt w:val="decimal"/>
      <w:start w:val="1"/>
    </w:lvl>
  </w:abstractNum>
  <w:abstractNum w:abstractNumId="220">
    <w:nsid w:val="4382503"/>
    <w:multiLevelType w:val="hybridMultilevel"/>
    <w:lvl w:ilvl="0">
      <w:lvlJc w:val="left"/>
      <w:lvlText w:val="(%1)"/>
      <w:numFmt w:val="decimal"/>
      <w:start w:val="3"/>
    </w:lvl>
    <w:lvl w:ilvl="1">
      <w:lvlJc w:val="left"/>
      <w:lvlText w:val="(%2)"/>
      <w:numFmt w:val="lowerLetter"/>
      <w:start w:val="1"/>
    </w:lvl>
  </w:abstractNum>
  <w:abstractNum w:abstractNumId="221">
    <w:nsid w:val="59B76E28"/>
    <w:multiLevelType w:val="hybridMultilevel"/>
    <w:lvl w:ilvl="0">
      <w:lvlJc w:val="left"/>
      <w:lvlText w:val="(%1)"/>
      <w:numFmt w:val="lowerLetter"/>
      <w:start w:val="2"/>
    </w:lvl>
  </w:abstractNum>
  <w:abstractNum w:abstractNumId="222">
    <w:nsid w:val="4252C2DA"/>
    <w:multiLevelType w:val="hybridMultilevel"/>
    <w:lvl w:ilvl="0">
      <w:lvlJc w:val="left"/>
      <w:lvlText w:val="(%1)"/>
      <w:numFmt w:val="decimal"/>
      <w:start w:val="6"/>
    </w:lvl>
  </w:abstractNum>
  <w:abstractNum w:abstractNumId="223">
    <w:nsid w:val="6A92EF4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3"/>
    </w:lvl>
  </w:abstractNum>
  <w:abstractNum w:abstractNumId="224">
    <w:nsid w:val="41ED20D7"/>
    <w:multiLevelType w:val="hybridMultilevel"/>
    <w:lvl w:ilvl="0">
      <w:lvlJc w:val="left"/>
      <w:lvlText w:val="(%1)"/>
      <w:numFmt w:val="decimal"/>
      <w:start w:val="9"/>
    </w:lvl>
  </w:abstractNum>
  <w:abstractNum w:abstractNumId="225">
    <w:nsid w:val="E6B3F6A"/>
    <w:multiLevelType w:val="hybridMultilevel"/>
    <w:lvl w:ilvl="0">
      <w:lvlJc w:val="left"/>
      <w:lvlText w:val="(%1)"/>
      <w:numFmt w:val="decimal"/>
      <w:start w:val="11"/>
    </w:lvl>
    <w:lvl w:ilvl="1">
      <w:lvlJc w:val="left"/>
      <w:lvlText w:val="(%2)"/>
      <w:numFmt w:val="lowerLetter"/>
      <w:start w:val="1"/>
    </w:lvl>
  </w:abstractNum>
  <w:abstractNum w:abstractNumId="226">
    <w:nsid w:val="3EB21819"/>
    <w:multiLevelType w:val="hybridMultilevel"/>
    <w:lvl w:ilvl="0">
      <w:lvlJc w:val="left"/>
      <w:lvlText w:val="%1"/>
      <w:numFmt w:val="decimal"/>
      <w:start w:val="1"/>
    </w:lvl>
    <w:lvl w:ilvl="1">
      <w:lvlJc w:val="left"/>
      <w:lvlText w:val="(%2)"/>
      <w:numFmt w:val="lowerLetter"/>
      <w:start w:val="3"/>
    </w:lvl>
  </w:abstractNum>
  <w:abstractNum w:abstractNumId="227">
    <w:nsid w:val="41531DED"/>
    <w:multiLevelType w:val="hybridMultilevel"/>
    <w:lvl w:ilvl="0">
      <w:lvlJc w:val="left"/>
      <w:lvlText w:val="(%1)"/>
      <w:numFmt w:val="decimal"/>
      <w:start w:val="13"/>
    </w:lvl>
    <w:lvl w:ilvl="1">
      <w:lvlJc w:val="left"/>
      <w:lvlText w:val="%2"/>
      <w:numFmt w:val="lowerLetter"/>
      <w:start w:val="1"/>
    </w:lvl>
  </w:abstractNum>
  <w:abstractNum w:abstractNumId="228">
    <w:nsid w:val="6353CD2"/>
    <w:multiLevelType w:val="hybridMultilevel"/>
    <w:lvl w:ilvl="0">
      <w:lvlJc w:val="left"/>
      <w:lvlText w:val="(%1)"/>
      <w:numFmt w:val="decimal"/>
      <w:start w:val="14"/>
    </w:lvl>
  </w:abstractNum>
  <w:abstractNum w:abstractNumId="229">
    <w:nsid w:val="683CAAD3"/>
    <w:multiLevelType w:val="hybridMultilevel"/>
    <w:lvl w:ilvl="0">
      <w:lvlJc w:val="left"/>
      <w:lvlText w:val="(%1)"/>
      <w:numFmt w:val="decimal"/>
      <w:start w:val="19"/>
    </w:lvl>
  </w:abstractNum>
  <w:abstractNum w:abstractNumId="230">
    <w:nsid w:val="313C7C99"/>
    <w:multiLevelType w:val="hybridMultilevel"/>
    <w:lvl w:ilvl="0">
      <w:lvlJc w:val="left"/>
      <w:lvlText w:val="*"/>
      <w:numFmt w:val="bullet"/>
      <w:start w:val="1"/>
    </w:lvl>
  </w:abstractNum>
  <w:abstractNum w:abstractNumId="231">
    <w:nsid w:val="519EB94C"/>
    <w:multiLevelType w:val="hybridMultilevel"/>
    <w:lvl w:ilvl="0">
      <w:lvlJc w:val="left"/>
      <w:lvlText w:val="*"/>
      <w:numFmt w:val="bullet"/>
      <w:start w:val="1"/>
    </w:lvl>
  </w:abstractNum>
  <w:abstractNum w:abstractNumId="232">
    <w:nsid w:val="39DF2579"/>
    <w:multiLevelType w:val="hybridMultilevel"/>
    <w:lvl w:ilvl="0">
      <w:lvlJc w:val="left"/>
      <w:lvlText w:val="*"/>
      <w:numFmt w:val="bullet"/>
      <w:start w:val="1"/>
    </w:lvl>
  </w:abstractNum>
  <w:abstractNum w:abstractNumId="233">
    <w:nsid w:val="126E008B"/>
    <w:multiLevelType w:val="hybridMultilevel"/>
    <w:lvl w:ilvl="0">
      <w:lvlJc w:val="left"/>
      <w:lvlText w:val="(%1)"/>
      <w:numFmt w:val="decimal"/>
      <w:start w:val="1"/>
    </w:lvl>
  </w:abstractNum>
  <w:abstractNum w:abstractNumId="234">
    <w:nsid w:val="34DFBC00"/>
    <w:multiLevelType w:val="hybridMultilevel"/>
    <w:lvl w:ilvl="0">
      <w:lvlJc w:val="left"/>
      <w:lvlText w:val="(%1)"/>
      <w:numFmt w:val="decimal"/>
      <w:start w:val="2"/>
    </w:lvl>
  </w:abstractNum>
  <w:abstractNum w:abstractNumId="235">
    <w:nsid w:val="1F9EC322"/>
    <w:multiLevelType w:val="hybridMultilevel"/>
    <w:lvl w:ilvl="0">
      <w:lvlJc w:val="left"/>
      <w:lvlText w:val="(%1)"/>
      <w:numFmt w:val="decimal"/>
      <w:start w:val="3"/>
    </w:lvl>
    <w:lvl w:ilvl="1">
      <w:lvlJc w:val="left"/>
      <w:lvlText w:val="(%2)"/>
      <w:numFmt w:val="lowerLetter"/>
      <w:start w:val="1"/>
    </w:lvl>
  </w:abstractNum>
  <w:abstractNum w:abstractNumId="236">
    <w:nsid w:val="3410ED56"/>
    <w:multiLevelType w:val="hybridMultilevel"/>
    <w:lvl w:ilvl="0">
      <w:lvlJc w:val="left"/>
      <w:lvlText w:val="%1"/>
      <w:numFmt w:val="decimal"/>
      <w:start w:val="1"/>
    </w:lvl>
    <w:lvl w:ilvl="1">
      <w:lvlJc w:val="left"/>
      <w:lvlText w:val="(%2)"/>
      <w:numFmt w:val="lowerLetter"/>
      <w:start w:val="2"/>
    </w:lvl>
  </w:abstractNum>
  <w:abstractNum w:abstractNumId="237">
    <w:nsid w:val="23C049A"/>
    <w:multiLevelType w:val="hybridMultilevel"/>
    <w:lvl w:ilvl="0">
      <w:lvlJc w:val="left"/>
      <w:lvlText w:val="(%1)"/>
      <w:numFmt w:val="decimal"/>
      <w:start w:val="6"/>
    </w:lvl>
    <w:lvl w:ilvl="1">
      <w:lvlJc w:val="left"/>
      <w:lvlText w:val="%2"/>
      <w:numFmt w:val="lowerLetter"/>
      <w:start w:val="1"/>
    </w:lvl>
  </w:abstractNum>
  <w:abstractNum w:abstractNumId="238">
    <w:nsid w:val="5BDA35D4"/>
    <w:multiLevelType w:val="hybridMultilevel"/>
    <w:lvl w:ilvl="0">
      <w:lvlJc w:val="left"/>
      <w:lvlText w:val="(%1)"/>
      <w:numFmt w:val="decimal"/>
      <w:start w:val="8"/>
    </w:lvl>
    <w:lvl w:ilvl="1">
      <w:lvlJc w:val="left"/>
      <w:lvlText w:val="(%2)"/>
      <w:numFmt w:val="lowerLetter"/>
      <w:start w:val="1"/>
    </w:lvl>
  </w:abstractNum>
  <w:abstractNum w:abstractNumId="239">
    <w:nsid w:val="496FB218"/>
    <w:multiLevelType w:val="hybridMultilevel"/>
    <w:lvl w:ilvl="0">
      <w:lvlJc w:val="left"/>
      <w:lvlText w:val="%1"/>
      <w:numFmt w:val="decimal"/>
      <w:start w:val="1"/>
    </w:lvl>
    <w:lvl w:ilvl="1">
      <w:lvlJc w:val="left"/>
      <w:lvlText w:val="(%2)"/>
      <w:numFmt w:val="lowerLetter"/>
      <w:start w:val="3"/>
    </w:lvl>
  </w:abstractNum>
  <w:abstractNum w:abstractNumId="240">
    <w:nsid w:val="680EA5D1"/>
    <w:multiLevelType w:val="hybridMultilevel"/>
    <w:lvl w:ilvl="0">
      <w:lvlJc w:val="left"/>
      <w:lvlText w:val="(%1)"/>
      <w:numFmt w:val="decimal"/>
      <w:start w:val="9"/>
    </w:lvl>
    <w:lvl w:ilvl="1">
      <w:lvlJc w:val="left"/>
      <w:lvlText w:val="%2"/>
      <w:numFmt w:val="lowerLetter"/>
      <w:start w:val="1"/>
    </w:lvl>
  </w:abstractNum>
  <w:abstractNum w:abstractNumId="241">
    <w:nsid w:val="4A9554FE"/>
    <w:multiLevelType w:val="hybridMultilevel"/>
    <w:lvl w:ilvl="0">
      <w:lvlJc w:val="left"/>
      <w:lvlText w:val="(%1)"/>
      <w:numFmt w:val="decimal"/>
      <w:start w:val="10"/>
    </w:lvl>
  </w:abstractNum>
  <w:abstractNum w:abstractNumId="242">
    <w:nsid w:val="392EDBE4"/>
    <w:multiLevelType w:val="hybridMultilevel"/>
    <w:lvl w:ilvl="0">
      <w:lvlJc w:val="left"/>
      <w:lvlText w:val="(%1)"/>
      <w:numFmt w:val="decimal"/>
      <w:start w:val="11"/>
    </w:lvl>
    <w:lvl w:ilvl="1">
      <w:lvlJc w:val="left"/>
      <w:lvlText w:val="(%2)"/>
      <w:numFmt w:val="lowerLetter"/>
      <w:start w:val="1"/>
    </w:lvl>
  </w:abstractNum>
  <w:abstractNum w:abstractNumId="243">
    <w:nsid w:val="3D1A2DD9"/>
    <w:multiLevelType w:val="hybridMultilevel"/>
    <w:lvl w:ilvl="0">
      <w:lvlJc w:val="left"/>
      <w:lvlText w:val="%1"/>
      <w:numFmt w:val="decimal"/>
      <w:start w:val="1"/>
    </w:lvl>
    <w:lvl w:ilvl="1">
      <w:lvlJc w:val="left"/>
      <w:lvlText w:val="(%2)"/>
      <w:numFmt w:val="lowerLetter"/>
      <w:start w:val="3"/>
    </w:lvl>
  </w:abstractNum>
  <w:abstractNum w:abstractNumId="244">
    <w:nsid w:val="7F618FCD"/>
    <w:multiLevelType w:val="hybridMultilevel"/>
    <w:lvl w:ilvl="0">
      <w:lvlJc w:val="left"/>
      <w:lvlText w:val="(%1)"/>
      <w:numFmt w:val="decimal"/>
      <w:start w:val="13"/>
    </w:lvl>
    <w:lvl w:ilvl="1">
      <w:lvlJc w:val="left"/>
      <w:lvlText w:val="%2"/>
      <w:numFmt w:val="lowerLetter"/>
      <w:start w:val="1"/>
    </w:lvl>
  </w:abstractNum>
  <w:abstractNum w:abstractNumId="245">
    <w:nsid w:val="7843E45"/>
    <w:multiLevelType w:val="hybridMultilevel"/>
    <w:lvl w:ilvl="0">
      <w:lvlJc w:val="left"/>
      <w:lvlText w:val="(%1)"/>
      <w:numFmt w:val="decimal"/>
      <w:start w:val="14"/>
    </w:lvl>
  </w:abstractNum>
  <w:abstractNum w:abstractNumId="246">
    <w:nsid w:val="9815DA3"/>
    <w:multiLevelType w:val="hybridMultilevel"/>
    <w:lvl w:ilvl="0">
      <w:lvlJc w:val="left"/>
      <w:lvlText w:val="(%1)"/>
      <w:numFmt w:val="decimal"/>
      <w:start w:val="16"/>
    </w:lvl>
  </w:abstractNum>
  <w:abstractNum w:abstractNumId="247">
    <w:nsid w:val="5204A191"/>
    <w:multiLevelType w:val="hybridMultilevel"/>
    <w:lvl w:ilvl="0">
      <w:lvlJc w:val="left"/>
      <w:lvlText w:val="*"/>
      <w:numFmt w:val="bullet"/>
      <w:start w:val="1"/>
    </w:lvl>
  </w:abstractNum>
  <w:abstractNum w:abstractNumId="248">
    <w:nsid w:val="4C73A9C6"/>
    <w:multiLevelType w:val="hybridMultilevel"/>
    <w:lvl w:ilvl="0">
      <w:lvlJc w:val="left"/>
      <w:lvlText w:val="*"/>
      <w:numFmt w:val="bullet"/>
      <w:start w:val="1"/>
    </w:lvl>
  </w:abstractNum>
  <w:abstractNum w:abstractNumId="249">
    <w:nsid w:val="1C7E3C01"/>
    <w:multiLevelType w:val="hybridMultilevel"/>
    <w:lvl w:ilvl="0">
      <w:lvlJc w:val="left"/>
      <w:lvlText w:val="*"/>
      <w:numFmt w:val="bullet"/>
      <w:start w:val="1"/>
    </w:lvl>
  </w:abstractNum>
  <w:abstractNum w:abstractNumId="250">
    <w:nsid w:val="1C2201FF"/>
    <w:multiLevelType w:val="hybridMultilevel"/>
    <w:lvl w:ilvl="0">
      <w:lvlJc w:val="left"/>
      <w:lvlText w:val="%1."/>
      <w:numFmt w:val="decimal"/>
      <w:start w:val="1"/>
    </w:lvl>
  </w:abstractNum>
  <w:abstractNum w:abstractNumId="251">
    <w:nsid w:val="50ABCEC9"/>
    <w:multiLevelType w:val="hybridMultilevel"/>
    <w:lvl w:ilvl="0">
      <w:lvlJc w:val="left"/>
      <w:lvlText w:val="%1."/>
      <w:numFmt w:val="decimal"/>
      <w:start w:val="2"/>
    </w:lvl>
    <w:lvl w:ilvl="1">
      <w:lvlJc w:val="left"/>
      <w:lvlText w:val="(%2)"/>
      <w:numFmt w:val="lowerLetter"/>
      <w:start w:val="1"/>
    </w:lvl>
  </w:abstractNum>
  <w:abstractNum w:abstractNumId="252">
    <w:nsid w:val="7635AA2A"/>
    <w:multiLevelType w:val="hybridMultilevel"/>
    <w:lvl w:ilvl="0">
      <w:lvlJc w:val="left"/>
      <w:lvlText w:val="(%1)"/>
      <w:numFmt w:val="lowerLetter"/>
      <w:start w:val="3"/>
    </w:lvl>
  </w:abstractNum>
  <w:abstractNum w:abstractNumId="253">
    <w:nsid w:val="5E74C4D9"/>
    <w:multiLevelType w:val="hybridMultilevel"/>
    <w:lvl w:ilvl="0">
      <w:lvlJc w:val="left"/>
      <w:lvlText w:val="(%1)"/>
      <w:numFmt w:val="lowerLetter"/>
      <w:start w:val="4"/>
    </w:lvl>
  </w:abstractNum>
  <w:abstractNum w:abstractNumId="254">
    <w:nsid w:val="3B3EBE1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55">
    <w:nsid w:val="3822CB01"/>
    <w:multiLevelType w:val="hybridMultilevel"/>
    <w:lvl w:ilvl="0">
      <w:lvlJc w:val="left"/>
      <w:lvlText w:val="%1."/>
      <w:numFmt w:val="decimal"/>
      <w:start w:val="1"/>
    </w:lvl>
  </w:abstractNum>
  <w:abstractNum w:abstractNumId="256">
    <w:nsid w:val="6CE0044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7">
    <w:nsid w:val="79F0D62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58">
    <w:nsid w:val="7975E8EE"/>
    <w:multiLevelType w:val="hybridMultilevel"/>
    <w:lvl w:ilvl="0">
      <w:lvlJc w:val="left"/>
      <w:lvlText w:val="(%1)"/>
      <w:numFmt w:val="lowerLetter"/>
      <w:start w:val="1"/>
    </w:lvl>
    <w:lvl w:ilvl="1">
      <w:lvlJc w:val="left"/>
      <w:lvlText w:val="(%2)"/>
      <w:numFmt w:val="lowerRoman"/>
      <w:start w:val="1"/>
    </w:lvl>
  </w:abstractNum>
  <w:abstractNum w:abstractNumId="259">
    <w:nsid w:val="73154115"/>
    <w:multiLevelType w:val="hybridMultilevel"/>
    <w:lvl w:ilvl="0">
      <w:lvlJc w:val="left"/>
      <w:lvlText w:val="%1."/>
      <w:numFmt w:val="decimal"/>
      <w:start w:val="1"/>
    </w:lvl>
  </w:abstractNum>
  <w:abstractNum w:abstractNumId="260">
    <w:nsid w:val="622D8102"/>
    <w:multiLevelType w:val="hybridMultilevel"/>
    <w:lvl w:ilvl="0">
      <w:lvlJc w:val="left"/>
      <w:lvlText w:val="(%1)"/>
      <w:numFmt w:val="lowerLetter"/>
      <w:start w:val="1"/>
    </w:lvl>
  </w:abstractNum>
  <w:abstractNum w:abstractNumId="261">
    <w:nsid w:val="2AB26587"/>
    <w:multiLevelType w:val="hybridMultilevel"/>
    <w:lvl w:ilvl="0">
      <w:lvlJc w:val="left"/>
      <w:lvlText w:val="%1"/>
      <w:numFmt w:val="lowerLetter"/>
      <w:start w:val="1"/>
    </w:lvl>
    <w:lvl w:ilvl="1">
      <w:lvlJc w:val="left"/>
      <w:lvlText w:val="(%2)"/>
      <w:numFmt w:val="lowerLetter"/>
      <w:start w:val="2"/>
    </w:lvl>
  </w:abstractNum>
  <w:abstractNum w:abstractNumId="262">
    <w:nsid w:val="44B3FA61"/>
    <w:multiLevelType w:val="hybridMultilevel"/>
    <w:lvl w:ilvl="0">
      <w:lvlJc w:val="left"/>
      <w:lvlText w:val="(%1)"/>
      <w:numFmt w:val="lowerLetter"/>
      <w:start w:val="35"/>
    </w:lvl>
    <w:lvl w:ilvl="1">
      <w:lvlJc w:val="left"/>
      <w:lvlText w:val="(%2)"/>
      <w:numFmt w:val="lowerLetter"/>
      <w:start w:val="3"/>
    </w:lvl>
  </w:abstractNum>
  <w:abstractNum w:abstractNumId="263">
    <w:nsid w:val="1C0CA67C"/>
    <w:multiLevelType w:val="hybridMultilevel"/>
    <w:lvl w:ilvl="0">
      <w:lvlJc w:val="left"/>
      <w:lvlText w:val="%1."/>
      <w:numFmt w:val="decimal"/>
      <w:start w:val="2"/>
    </w:lvl>
  </w:abstractNum>
  <w:abstractNum w:abstractNumId="264">
    <w:nsid w:val="3D206613"/>
    <w:multiLevelType w:val="hybridMultilevel"/>
    <w:lvl w:ilvl="0">
      <w:lvlJc w:val="left"/>
      <w:lvlText w:val="(%1)"/>
      <w:numFmt w:val="lowerLetter"/>
      <w:start w:val="1"/>
    </w:lvl>
  </w:abstractNum>
  <w:abstractNum w:abstractNumId="265">
    <w:nsid w:val="7993B662"/>
    <w:multiLevelType w:val="hybridMultilevel"/>
    <w:lvl w:ilvl="0">
      <w:lvlJc w:val="left"/>
      <w:lvlText w:val="(%1)"/>
      <w:numFmt w:val="lowerLetter"/>
      <w:start w:val="1"/>
    </w:lvl>
  </w:abstractNum>
  <w:abstractNum w:abstractNumId="266">
    <w:nsid w:val="3BAB699E"/>
    <w:multiLevelType w:val="hybridMultilevel"/>
    <w:lvl w:ilvl="0">
      <w:lvlJc w:val="left"/>
      <w:lvlText w:val="%1."/>
      <w:numFmt w:val="decimal"/>
      <w:start w:val="1"/>
    </w:lvl>
  </w:abstractNum>
  <w:abstractNum w:abstractNumId="267">
    <w:nsid w:val="71315369"/>
    <w:multiLevelType w:val="hybridMultilevel"/>
    <w:lvl w:ilvl="0">
      <w:lvlJc w:val="left"/>
      <w:lvlText w:val="%1."/>
      <w:numFmt w:val="decimal"/>
      <w:start w:val="3"/>
    </w:lvl>
  </w:abstractNum>
  <w:abstractNum w:abstractNumId="268">
    <w:nsid w:val="7BCFBAFC"/>
    <w:multiLevelType w:val="hybridMultilevel"/>
    <w:lvl w:ilvl="0">
      <w:lvlJc w:val="left"/>
      <w:lvlText w:val="(%1)"/>
      <w:numFmt w:val="lowerLetter"/>
      <w:start w:val="1"/>
    </w:lvl>
  </w:abstractNum>
  <w:abstractNum w:abstractNumId="269">
    <w:nsid w:val="17859F7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70">
    <w:nsid w:val="3AA10581"/>
    <w:multiLevelType w:val="hybridMultilevel"/>
    <w:lvl w:ilvl="0">
      <w:lvlJc w:val="left"/>
      <w:lvlText w:val="(%1)"/>
      <w:numFmt w:val="lowerRoman"/>
      <w:start w:val="2"/>
    </w:lvl>
  </w:abstractNum>
  <w:abstractNum w:abstractNumId="271">
    <w:nsid w:val="63DE60CD"/>
    <w:multiLevelType w:val="hybridMultilevel"/>
    <w:lvl w:ilvl="0">
      <w:lvlJc w:val="left"/>
      <w:lvlText w:val="(%1)"/>
      <w:numFmt w:val="lowerLetter"/>
      <w:start w:val="2"/>
    </w:lvl>
    <w:lvl w:ilvl="1">
      <w:lvlJc w:val="left"/>
      <w:lvlText w:val="(%2)"/>
      <w:numFmt w:val="lowerLetter"/>
      <w:start w:val="4"/>
    </w:lvl>
  </w:abstractNum>
  <w:abstractNum w:abstractNumId="272">
    <w:nsid w:val="621AF471"/>
    <w:multiLevelType w:val="hybridMultilevel"/>
    <w:lvl w:ilvl="0">
      <w:lvlJc w:val="left"/>
      <w:lvlText w:val="(%1)"/>
      <w:numFmt w:val="lowerLetter"/>
      <w:start w:val="5"/>
    </w:lvl>
  </w:abstractNum>
  <w:abstractNum w:abstractNumId="273">
    <w:nsid w:val="73CFE165"/>
    <w:multiLevelType w:val="hybridMultilevel"/>
    <w:lvl w:ilvl="0">
      <w:lvlJc w:val="left"/>
      <w:lvlText w:val="(%1)"/>
      <w:numFmt w:val="lowerLetter"/>
      <w:start w:val="8"/>
    </w:lvl>
  </w:abstractNum>
  <w:abstractNum w:abstractNumId="274">
    <w:nsid w:val="20F88EA6"/>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275">
    <w:nsid w:val="617C843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abstractNum>
  <w:abstractNum w:abstractNumId="276">
    <w:nsid w:val="7B541FAB"/>
    <w:multiLevelType w:val="hybridMultilevel"/>
    <w:lvl w:ilvl="0">
      <w:lvlJc w:val="left"/>
      <w:lvlText w:val="%1."/>
      <w:numFmt w:val="decimal"/>
      <w:start w:val="6"/>
    </w:lvl>
  </w:abstractNum>
  <w:abstractNum w:abstractNumId="277">
    <w:nsid w:val="2A79EC49"/>
    <w:multiLevelType w:val="hybridMultilevel"/>
    <w:lvl w:ilvl="0">
      <w:lvlJc w:val="left"/>
      <w:lvlText w:val="%1."/>
      <w:numFmt w:val="decimal"/>
      <w:start w:val="8"/>
    </w:lvl>
  </w:abstractNum>
  <w:abstractNum w:abstractNumId="278">
    <w:nsid w:val="338125CF"/>
    <w:multiLevelType w:val="hybridMultilevel"/>
    <w:lvl w:ilvl="0">
      <w:lvlJc w:val="left"/>
      <w:lvlText w:val="%1."/>
      <w:numFmt w:val="decimal"/>
      <w:start w:val="1"/>
    </w:lvl>
  </w:abstractNum>
  <w:abstractNum w:abstractNumId="279">
    <w:nsid w:val="47C7C971"/>
    <w:multiLevelType w:val="hybridMultilevel"/>
    <w:lvl w:ilvl="0">
      <w:lvlJc w:val="left"/>
      <w:lvlText w:val="%1."/>
      <w:numFmt w:val="decimal"/>
      <w:start w:val="17"/>
    </w:lvl>
  </w:abstractNum>
  <w:abstractNum w:abstractNumId="280">
    <w:nsid w:val="46F8284B"/>
    <w:multiLevelType w:val="hybridMultilevel"/>
    <w:lvl w:ilvl="0">
      <w:lvlJc w:val="left"/>
      <w:lvlText w:val="(%1)"/>
      <w:numFmt w:val="lowerLetter"/>
      <w:start w:val="1"/>
    </w:lvl>
  </w:abstractNum>
  <w:abstractNum w:abstractNumId="281">
    <w:nsid w:val="4FA327CE"/>
    <w:multiLevelType w:val="hybridMultilevel"/>
    <w:lvl w:ilvl="0">
      <w:lvlJc w:val="left"/>
      <w:lvlText w:val="(%1)"/>
      <w:numFmt w:val="lowerLetter"/>
      <w:start w:val="61"/>
    </w:lvl>
    <w:lvl w:ilvl="1">
      <w:lvlJc w:val="left"/>
      <w:lvlText w:val="(%2)"/>
      <w:numFmt w:val="lowerLetter"/>
      <w:start w:val="2"/>
    </w:lvl>
  </w:abstractNum>
  <w:abstractNum w:abstractNumId="282">
    <w:nsid w:val="1873983A"/>
    <w:multiLevelType w:val="hybridMultilevel"/>
    <w:lvl w:ilvl="0">
      <w:lvlJc w:val="left"/>
      <w:lvlText w:val="(%1)"/>
      <w:numFmt w:val="lowerLetter"/>
      <w:start w:val="1"/>
    </w:lvl>
  </w:abstractNum>
  <w:abstractNum w:abstractNumId="283">
    <w:nsid w:val="3D2DD275"/>
    <w:multiLevelType w:val="hybridMultilevel"/>
    <w:lvl w:ilvl="0">
      <w:lvlJc w:val="left"/>
      <w:lvlText w:val="(%1)"/>
      <w:numFmt w:val="lowerLetter"/>
      <w:start w:val="24"/>
    </w:lvl>
  </w:abstractNum>
  <w:abstractNum w:abstractNumId="284">
    <w:nsid w:val="2E17ECA7"/>
    <w:multiLevelType w:val="hybridMultilevel"/>
    <w:lvl w:ilvl="0">
      <w:lvlJc w:val="left"/>
      <w:lvlText w:val="(%1)"/>
      <w:numFmt w:val="lowerLetter"/>
      <w:start w:val="2"/>
    </w:lvl>
  </w:abstractNum>
  <w:abstractNum w:abstractNumId="285">
    <w:nsid w:val="53B2564F"/>
    <w:multiLevelType w:val="hybridMultilevel"/>
    <w:lvl w:ilvl="0">
      <w:lvlJc w:val="left"/>
      <w:lvlText w:val="(%1)"/>
      <w:numFmt w:val="lowerLetter"/>
      <w:start w:val="1"/>
    </w:lvl>
    <w:lvl w:ilvl="1">
      <w:lvlJc w:val="left"/>
      <w:lvlText w:val="(%2)"/>
      <w:numFmt w:val="lowerLetter"/>
      <w:start w:val="9"/>
    </w:lvl>
  </w:abstractNum>
  <w:abstractNum w:abstractNumId="286">
    <w:nsid w:val="75509D76"/>
    <w:multiLevelType w:val="hybridMultilevel"/>
    <w:lvl w:ilvl="0">
      <w:lvlJc w:val="left"/>
      <w:lvlText w:val="(%1)"/>
      <w:numFmt w:val="lowerRoman"/>
      <w:start w:val="2"/>
    </w:lvl>
  </w:abstractNum>
  <w:abstractNum w:abstractNumId="287">
    <w:nsid w:val="1AF7F0EA"/>
    <w:multiLevelType w:val="hybridMultilevel"/>
    <w:lvl w:ilvl="0">
      <w:lvlJc w:val="left"/>
      <w:lvlText w:val="%1"/>
      <w:numFmt w:val="lowerLetter"/>
      <w:start w:val="1"/>
    </w:lvl>
    <w:lvl w:ilvl="1">
      <w:lvlJc w:val="left"/>
      <w:lvlText w:val="(%2)"/>
      <w:numFmt w:val="lowerLetter"/>
      <w:start w:val="61"/>
    </w:lvl>
  </w:abstractNum>
  <w:abstractNum w:abstractNumId="288">
    <w:nsid w:val="4DA32C7E"/>
    <w:multiLevelType w:val="hybridMultilevel"/>
    <w:lvl w:ilvl="0">
      <w:lvlJc w:val="left"/>
      <w:lvlText w:val="(%1)"/>
      <w:numFmt w:val="lowerLetter"/>
      <w:start w:val="2"/>
    </w:lvl>
    <w:lvl w:ilvl="1">
      <w:lvlJc w:val="left"/>
      <w:lvlText w:val="%2"/>
      <w:numFmt w:val="lowerLetter"/>
      <w:start w:val="1"/>
    </w:lvl>
  </w:abstractNum>
  <w:abstractNum w:abstractNumId="289">
    <w:nsid w:val="6EC6866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290">
    <w:nsid w:val="E0D31FF"/>
    <w:multiLevelType w:val="hybridMultilevel"/>
    <w:lvl w:ilvl="0">
      <w:lvlJc w:val="left"/>
      <w:lvlText w:val="(%1)"/>
      <w:numFmt w:val="lowerLetter"/>
      <w:start w:val="3"/>
    </w:lvl>
    <w:lvl w:ilvl="1">
      <w:lvlJc w:val="left"/>
      <w:lvlText w:val="(%2)"/>
      <w:numFmt w:val="lowerLetter"/>
      <w:start w:val="9"/>
    </w:lvl>
    <w:lvl w:ilvl="2">
      <w:lvlJc w:val="left"/>
      <w:lvlText w:val="%3"/>
      <w:numFmt w:val="lowerRoman"/>
      <w:start w:val="1"/>
    </w:lvl>
  </w:abstractNum>
  <w:abstractNum w:abstractNumId="291">
    <w:nsid w:val="2FD0AD81"/>
    <w:multiLevelType w:val="hybridMultilevel"/>
    <w:lvl w:ilvl="0">
      <w:lvlJc w:val="left"/>
      <w:lvlText w:val="(%1)"/>
      <w:numFmt w:val="lowerRoman"/>
      <w:start w:val="2"/>
    </w:lvl>
  </w:abstractNum>
  <w:abstractNum w:abstractNumId="292">
    <w:nsid w:val="1978EBEB"/>
    <w:multiLevelType w:val="hybridMultilevel"/>
    <w:lvl w:ilvl="0">
      <w:lvlJc w:val="left"/>
      <w:lvlText w:val="(%1)"/>
      <w:numFmt w:val="lowerRoman"/>
      <w:start w:val="4"/>
    </w:lvl>
  </w:abstractNum>
  <w:abstractNum w:abstractNumId="293">
    <w:nsid w:val="52C12C61"/>
    <w:multiLevelType w:val="hybridMultilevel"/>
    <w:lvl w:ilvl="0">
      <w:lvlJc w:val="left"/>
      <w:lvlText w:val="(%1)"/>
      <w:numFmt w:val="lowerRoman"/>
      <w:start w:val="7"/>
    </w:lvl>
  </w:abstractNum>
  <w:abstractNum w:abstractNumId="294">
    <w:nsid w:val="4BDD53FD"/>
    <w:multiLevelType w:val="hybridMultilevel"/>
    <w:lvl w:ilvl="0">
      <w:lvlJc w:val="left"/>
      <w:lvlText w:val="(%1)"/>
      <w:numFmt w:val="lowerRoman"/>
      <w:start w:val="10"/>
    </w:lvl>
    <w:lvl w:ilvl="1">
      <w:lvlJc w:val="left"/>
      <w:lvlText w:val="(%2)"/>
      <w:numFmt w:val="upperLetter"/>
      <w:start w:val="1"/>
    </w:lvl>
    <w:lvl w:ilvl="2">
      <w:lvlJc w:val="left"/>
      <w:lvlText w:val="(%3)"/>
      <w:numFmt w:val="decimal"/>
      <w:start w:val="1"/>
    </w:lvl>
  </w:abstractNum>
  <w:abstractNum w:abstractNumId="295">
    <w:nsid w:val="569951FE"/>
    <w:multiLevelType w:val="hybridMultilevel"/>
    <w:lvl w:ilvl="0">
      <w:lvlJc w:val="left"/>
      <w:lvlText w:val="(%1)"/>
      <w:numFmt w:val="decimal"/>
      <w:start w:val="3"/>
    </w:lvl>
    <w:lvl w:ilvl="1">
      <w:lvlJc w:val="left"/>
      <w:lvlText w:val="(%2)"/>
      <w:numFmt w:val="lowerRoman"/>
      <w:start w:val="11"/>
    </w:lvl>
    <w:lvl w:ilvl="2">
      <w:lvlJc w:val="left"/>
      <w:lvlText w:val="(%3)"/>
      <w:numFmt w:val="upperLetter"/>
      <w:start w:val="2"/>
    </w:lvl>
  </w:abstractNum>
  <w:abstractNum w:abstractNumId="296">
    <w:nsid w:val="4C54E2C3"/>
    <w:multiLevelType w:val="hybridMultilevel"/>
    <w:lvl w:ilvl="0">
      <w:lvlJc w:val="left"/>
      <w:lvlText w:val="%1"/>
      <w:numFmt w:val="lowerLetter"/>
      <w:start w:val="1"/>
    </w:lvl>
    <w:lvl w:ilvl="1">
      <w:lvlJc w:val="left"/>
      <w:lvlText w:val="(%2)"/>
      <w:numFmt w:val="lowerRoman"/>
      <w:start w:val="13"/>
    </w:lvl>
  </w:abstractNum>
  <w:abstractNum w:abstractNumId="297">
    <w:nsid w:val="788BD9B"/>
    <w:multiLevelType w:val="hybridMultilevel"/>
    <w:lvl w:ilvl="0">
      <w:lvlJc w:val="left"/>
      <w:lvlText w:val="(%1)"/>
      <w:numFmt w:val="lowerLetter"/>
      <w:start w:val="4"/>
    </w:lvl>
    <w:lvl w:ilvl="1">
      <w:lvlJc w:val="left"/>
      <w:lvlText w:val="%2"/>
      <w:numFmt w:val="lowerRoman"/>
      <w:start w:val="1"/>
    </w:lvl>
  </w:abstractNum>
  <w:abstractNum w:abstractNumId="298">
    <w:nsid w:val="47CAA567"/>
    <w:multiLevelType w:val="hybridMultilevel"/>
    <w:lvl w:ilvl="0">
      <w:lvlJc w:val="left"/>
      <w:lvlText w:val="(%1)"/>
      <w:numFmt w:val="lowerLetter"/>
      <w:start w:val="1"/>
    </w:lvl>
  </w:abstractNum>
  <w:abstractNum w:abstractNumId="299">
    <w:nsid w:val="48249DBF"/>
    <w:multiLevelType w:val="hybridMultilevel"/>
    <w:lvl w:ilvl="0">
      <w:lvlJc w:val="left"/>
      <w:lvlText w:val="(%1)"/>
      <w:numFmt w:val="lowerLetter"/>
      <w:start w:val="2"/>
    </w:lvl>
  </w:abstractNum>
  <w:abstractNum w:abstractNumId="300">
    <w:nsid w:val="1F0E5D0D"/>
    <w:multiLevelType w:val="hybridMultilevel"/>
    <w:lvl w:ilvl="0">
      <w:lvlJc w:val="left"/>
      <w:lvlText w:val="(%1)"/>
      <w:numFmt w:val="lowerLetter"/>
      <w:start w:val="1"/>
    </w:lvl>
  </w:abstractNum>
  <w:abstractNum w:abstractNumId="301">
    <w:nsid w:val="26BAAE9"/>
    <w:multiLevelType w:val="hybridMultilevel"/>
    <w:lvl w:ilvl="0">
      <w:lvlJc w:val="left"/>
      <w:lvlText w:val="(%1)"/>
      <w:numFmt w:val="lowerLetter"/>
      <w:start w:val="3"/>
    </w:lvl>
  </w:abstractNum>
  <w:abstractNum w:abstractNumId="302">
    <w:nsid w:val="2C02FE8C"/>
    <w:multiLevelType w:val="hybridMultilevel"/>
    <w:lvl w:ilvl="0">
      <w:lvlJc w:val="left"/>
      <w:lvlText w:val="(%1)"/>
      <w:numFmt w:val="lowerLetter"/>
      <w:start w:val="1"/>
    </w:lvl>
  </w:abstractNum>
  <w:abstractNum w:abstractNumId="303">
    <w:nsid w:val="129517E"/>
    <w:multiLevelType w:val="hybridMultilevel"/>
    <w:lvl w:ilvl="0">
      <w:lvlJc w:val="left"/>
      <w:lvlText w:val="(%1)"/>
      <w:numFmt w:val="lowerLetter"/>
      <w:start w:val="5"/>
    </w:lvl>
    <w:lvl w:ilvl="1">
      <w:lvlJc w:val="left"/>
      <w:lvlText w:val="(%2)"/>
      <w:numFmt w:val="lowerRoman"/>
      <w:start w:val="1"/>
    </w:lvl>
  </w:abstractNum>
  <w:abstractNum w:abstractNumId="304">
    <w:nsid w:val="763B8C4E"/>
    <w:multiLevelType w:val="hybridMultilevel"/>
    <w:lvl w:ilvl="0">
      <w:lvlJc w:val="left"/>
      <w:lvlText w:val="(%1)"/>
      <w:numFmt w:val="lowerRoman"/>
      <w:start w:val="3"/>
    </w:lvl>
  </w:abstractNum>
  <w:abstractNum w:abstractNumId="305">
    <w:nsid w:val="4CFB8D32"/>
    <w:multiLevelType w:val="hybridMultilevel"/>
    <w:lvl w:ilvl="0">
      <w:lvlJc w:val="left"/>
      <w:lvlText w:val="(%1)"/>
      <w:numFmt w:val="lowerLetter"/>
      <w:start w:val="6"/>
    </w:lvl>
  </w:abstractNum>
  <w:abstractNum w:abstractNumId="306">
    <w:nsid w:val="62A5D5BD"/>
    <w:multiLevelType w:val="hybridMultilevel"/>
    <w:lvl w:ilvl="0">
      <w:lvlJc w:val="left"/>
      <w:lvlText w:val="(%1)"/>
      <w:numFmt w:val="lowerLetter"/>
      <w:start w:val="10"/>
    </w:lvl>
  </w:abstractNum>
  <w:abstractNum w:abstractNumId="307">
    <w:nsid w:val="718FABF9"/>
    <w:multiLevelType w:val="hybridMultilevel"/>
    <w:lvl w:ilvl="0">
      <w:lvlJc w:val="left"/>
      <w:lvlText w:val="%1."/>
      <w:numFmt w:val="upperLetter"/>
      <w:start w:val="1"/>
    </w:lvl>
  </w:abstractNum>
  <w:abstractNum w:abstractNumId="308">
    <w:nsid w:val="7775797C"/>
    <w:multiLevelType w:val="hybridMultilevel"/>
    <w:lvl w:ilvl="0">
      <w:lvlJc w:val="left"/>
      <w:lvlText w:val="%1."/>
      <w:numFmt w:val="upperLetter"/>
      <w:start w:val="3"/>
    </w:lvl>
  </w:abstractNum>
  <w:abstractNum w:abstractNumId="309">
    <w:nsid w:val="1626FB8C"/>
    <w:multiLevelType w:val="hybridMultilevel"/>
    <w:lvl w:ilvl="0">
      <w:lvlJc w:val="left"/>
      <w:lvlText w:val="%1."/>
      <w:numFmt w:val="decimal"/>
      <w:start w:val="1"/>
    </w:lvl>
    <w:lvl w:ilvl="1">
      <w:lvlJc w:val="left"/>
      <w:lvlText w:val="%2"/>
      <w:numFmt w:val="lowerLetter"/>
      <w:start w:val="1"/>
    </w:lvl>
  </w:abstractNum>
  <w:abstractNum w:abstractNumId="310">
    <w:nsid w:val="3957756A"/>
    <w:multiLevelType w:val="hybridMultilevel"/>
    <w:lvl w:ilvl="0">
      <w:lvlJc w:val="left"/>
      <w:lvlText w:val="%1."/>
      <w:numFmt w:val="lowerLetter"/>
      <w:start w:val="2"/>
    </w:lvl>
  </w:abstractNum>
  <w:abstractNum w:abstractNumId="311">
    <w:nsid w:val="3E6DA1C7"/>
    <w:multiLevelType w:val="hybridMultilevel"/>
    <w:lvl w:ilvl="0">
      <w:lvlJc w:val="left"/>
      <w:lvlText w:val="%1."/>
      <w:numFmt w:val="lowerLetter"/>
      <w:start w:val="3"/>
    </w:lvl>
  </w:abstractNum>
  <w:abstractNum w:abstractNumId="312">
    <w:nsid w:val="65CA235B"/>
    <w:multiLevelType w:val="hybridMultilevel"/>
    <w:lvl w:ilvl="0">
      <w:lvlJc w:val="left"/>
      <w:lvlText w:val="%1."/>
      <w:numFmt w:val="lowerLetter"/>
      <w:start w:val="4"/>
    </w:lvl>
    <w:lvl w:ilvl="1">
      <w:lvlJc w:val="left"/>
      <w:lvlText w:val="%2."/>
      <w:numFmt w:val="lowerRoman"/>
      <w:start w:val="1"/>
    </w:lvl>
  </w:abstractNum>
  <w:abstractNum w:abstractNumId="313">
    <w:nsid w:val="51CB0DA4"/>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Letter"/>
      <w:start w:val="5"/>
    </w:lvl>
    <w:lvl w:ilvl="4">
      <w:lvlJc w:val="left"/>
      <w:lvlText w:val="%5."/>
      <w:numFmt w:val="lowerRoman"/>
      <w:start w:val="1"/>
    </w:lvl>
    <w:lvl w:ilvl="5">
      <w:lvlJc w:val="left"/>
      <w:lvlText w:val="%6."/>
      <w:numFmt w:val="lowerRoman"/>
      <w:start w:val="1"/>
    </w:lvl>
  </w:abstractNum>
  <w:abstractNum w:abstractNumId="314">
    <w:nsid w:val="7B9B743C"/>
    <w:multiLevelType w:val="hybridMultilevel"/>
    <w:lvl w:ilvl="0">
      <w:lvlJc w:val="left"/>
      <w:lvlText w:val="%1."/>
      <w:numFmt w:val="lowerRoman"/>
      <w:start w:val="3"/>
    </w:lvl>
    <w:lvl w:ilvl="1">
      <w:lvlJc w:val="left"/>
      <w:lvlText w:val="%2."/>
      <w:numFmt w:val="lowerRoman"/>
      <w:start w:val="5"/>
    </w:lvl>
    <w:lvl w:ilvl="2">
      <w:lvlJc w:val="left"/>
      <w:lvlText w:val="%3."/>
      <w:numFmt w:val="lowerRoman"/>
      <w:start w:val="4"/>
    </w:lvl>
    <w:lvl w:ilvl="3">
      <w:lvlJc w:val="left"/>
      <w:lvlText w:val="%4"/>
      <w:numFmt w:val="lowerLetter"/>
      <w:start w:val="1"/>
    </w:lvl>
    <w:lvl w:ilvl="4">
      <w:lvlJc w:val="left"/>
      <w:lvlText w:val="%5"/>
      <w:numFmt w:val="lowerRoman"/>
      <w:start w:val="1"/>
    </w:lvl>
    <w:lvl w:ilvl="5">
      <w:lvlJc w:val="left"/>
      <w:lvlText w:val="%6"/>
      <w:numFmt w:val="lowerRoman"/>
      <w:start w:val="1"/>
    </w:lvl>
  </w:abstractNum>
  <w:abstractNum w:abstractNumId="315">
    <w:nsid w:val="13E21002"/>
    <w:multiLevelType w:val="hybridMultilevel"/>
    <w:lvl w:ilvl="0">
      <w:lvlJc w:val="left"/>
      <w:lvlText w:val="%1."/>
      <w:numFmt w:val="lowerRoman"/>
      <w:start w:val="7"/>
    </w:lvl>
    <w:lvl w:ilvl="1">
      <w:lvlJc w:val="left"/>
      <w:lvlText w:val="%2."/>
      <w:numFmt w:val="decimal"/>
      <w:start w:val="2"/>
    </w:lvl>
  </w:abstractNum>
  <w:abstractNum w:abstractNumId="316">
    <w:nsid w:val="257D63F4"/>
    <w:multiLevelType w:val="hybridMultilevel"/>
    <w:lvl w:ilvl="0">
      <w:lvlJc w:val="left"/>
      <w:lvlText w:val="%1."/>
      <w:numFmt w:val="upperLetter"/>
      <w:start w:val="1"/>
    </w:lvl>
  </w:abstractNum>
  <w:abstractNum w:abstractNumId="317">
    <w:nsid w:val="70EC11B2"/>
    <w:multiLevelType w:val="hybridMultilevel"/>
    <w:lvl w:ilvl="0">
      <w:lvlJc w:val="left"/>
      <w:lvlText w:val="%1."/>
      <w:numFmt w:val="upperLetter"/>
      <w:start w:val="5"/>
    </w:lvl>
  </w:abstractNum>
  <w:abstractNum w:abstractNumId="318">
    <w:nsid w:val="2EDA00ED"/>
    <w:multiLevelType w:val="hybridMultilevel"/>
    <w:lvl w:ilvl="0">
      <w:lvlJc w:val="left"/>
      <w:lvlText w:val="%1."/>
      <w:numFmt w:val="decimal"/>
      <w:start w:val="1"/>
    </w:lvl>
  </w:abstractNum>
  <w:abstractNum w:abstractNumId="319">
    <w:nsid w:val="73209072"/>
    <w:multiLevelType w:val="hybridMultilevel"/>
    <w:lvl w:ilvl="0">
      <w:lvlJc w:val="left"/>
      <w:lvlText w:val="%1."/>
      <w:numFmt w:val="decimal"/>
      <w:start w:val="3"/>
    </w:lvl>
  </w:abstractNum>
  <w:abstractNum w:abstractNumId="320">
    <w:nsid w:val="5FB29816"/>
    <w:multiLevelType w:val="hybridMultilevel"/>
    <w:lvl w:ilvl="0">
      <w:lvlJc w:val="left"/>
      <w:lvlText w:val="%1."/>
      <w:numFmt w:val="decimal"/>
      <w:start w:val="4"/>
    </w:lvl>
  </w:abstractNum>
  <w:abstractNum w:abstractNumId="321">
    <w:nsid w:val="3CE732EC"/>
    <w:multiLevelType w:val="hybridMultilevel"/>
    <w:lvl w:ilvl="0">
      <w:lvlJc w:val="left"/>
      <w:lvlText w:val="%1."/>
      <w:numFmt w:val="decimal"/>
      <w:start w:val="5"/>
    </w:lvl>
  </w:abstractNum>
  <w:abstractNum w:abstractNumId="322">
    <w:nsid w:val="22F13DF3"/>
    <w:multiLevelType w:val="hybridMultilevel"/>
    <w:lvl w:ilvl="0">
      <w:lvlJc w:val="left"/>
      <w:lvlText w:val="(%1)"/>
      <w:numFmt w:val="lowerRoman"/>
      <w:start w:val="3"/>
    </w:lvl>
  </w:abstractNum>
  <w:abstractNum w:abstractNumId="323">
    <w:nsid w:val="792B8401"/>
    <w:multiLevelType w:val="hybridMultilevel"/>
    <w:lvl w:ilvl="0">
      <w:lvlJc w:val="left"/>
      <w:lvlText w:val="%1."/>
      <w:numFmt w:val="decimal"/>
      <w:start w:val="6"/>
    </w:lvl>
  </w:abstractNum>
  <w:abstractNum w:abstractNumId="324">
    <w:nsid w:val="FA85F4D"/>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2019-12-10T21:58:11Z</dcterms:created>
  <dcterms:modified xsi:type="dcterms:W3CDTF">2019-12-10T21:58:11Z</dcterms:modified>
</cp:coreProperties>
</file>