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ind w:left="2920"/>
        <w:spacing w:after="0"/>
        <w:rPr>
          <w:sz w:val="20"/>
          <w:szCs w:val="20"/>
          <w:color w:val="auto"/>
        </w:rPr>
      </w:pPr>
      <w:r>
        <w:rPr>
          <w:rFonts w:ascii="Arial" w:cs="Arial" w:eastAsia="Arial" w:hAnsi="Arial"/>
          <w:sz w:val="22"/>
          <w:szCs w:val="22"/>
          <w:b w:val="1"/>
          <w:bCs w:val="1"/>
          <w:color w:val="auto"/>
        </w:rPr>
        <w:t>Date of Report (Date of earliest event reported): July 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4160" w:type="dxa"/>
            <w:vAlign w:val="bottom"/>
          </w:tcPr>
          <w:p>
            <w:pPr>
              <w:jc w:val="center"/>
              <w:ind w:right="240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160" w:type="dxa"/>
            <w:vAlign w:val="bottom"/>
          </w:tcPr>
          <w:p>
            <w:pPr>
              <w:jc w:val="center"/>
              <w:ind w:right="23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60" w:type="dxa"/>
            <w:vAlign w:val="bottom"/>
          </w:tcPr>
          <w:p>
            <w:pPr>
              <w:jc w:val="center"/>
              <w:ind w:right="2402"/>
              <w:spacing w:after="0"/>
              <w:rPr>
                <w:sz w:val="20"/>
                <w:szCs w:val="20"/>
                <w:color w:val="auto"/>
              </w:rPr>
            </w:pPr>
            <w:r>
              <w:rPr>
                <w:rFonts w:ascii="Arial" w:cs="Arial" w:eastAsia="Arial" w:hAnsi="Arial"/>
                <w:sz w:val="14"/>
                <w:szCs w:val="14"/>
                <w:b w:val="1"/>
                <w:bCs w:val="1"/>
                <w:color w:val="auto"/>
                <w:w w:val="88"/>
              </w:rPr>
              <w:t>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160" w:type="dxa"/>
            <w:vAlign w:val="bottom"/>
          </w:tcPr>
          <w:p>
            <w:pPr>
              <w:jc w:val="center"/>
              <w:ind w:left="124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60" w:type="dxa"/>
            <w:vAlign w:val="bottom"/>
          </w:tcPr>
          <w:p>
            <w:pPr>
              <w:jc w:val="center"/>
              <w:ind w:left="124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160" w:type="dxa"/>
            <w:vAlign w:val="bottom"/>
          </w:tcPr>
          <w:p>
            <w:pPr>
              <w:jc w:val="center"/>
              <w:ind w:left="124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On February 13, 2012, Wynn Resorts, Limited (the “Company”) filed a Report on Form 8-K disclosing that it had received a letter from the Salt Lake Regional Office (the “Office”) of the Securities and Exchange Commission (the “SEC”) advising the Company that the Office had commenced an informal inquiry with respect to certain matters, including a donation by Wynn Macau, Limited, an affiliate of the Company, to the University of Macau Development Foundation.</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On July 2, 2013, the Company received a letter from the Office stating that the investigation had been completed with the Office not intending to recommend any enforcement action against the Company by the SEC.</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previously announced, in February 2013, the Nevada Gaming Control Board likewise informed the Company that it had completed an investigation of Mr. Stephen A. Wynn and related entities in Macau and found no violations of the Gaming Control Act or the Nevada Gaming Commission Regulations.</w:t>
      </w:r>
    </w:p>
    <w:p>
      <w:pPr>
        <w:sectPr>
          <w:pgSz w:w="11900" w:h="16838" w:orient="portrait"/>
          <w:cols w:equalWidth="0" w:num="1">
            <w:col w:w="11260"/>
          </w:cols>
          <w:pgMar w:left="240" w:top="274" w:right="3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July 8, 2013</w:t>
      </w:r>
      <w:r>
        <w:rPr>
          <w:sz w:val="20"/>
          <w:szCs w:val="20"/>
          <w:color w:val="auto"/>
        </w:rPr>
        <w:tab/>
      </w:r>
      <w:r>
        <w:rPr>
          <w:rFonts w:ascii="Arial" w:cs="Arial" w:eastAsia="Arial" w:hAnsi="Arial"/>
          <w:sz w:val="16"/>
          <w:szCs w:val="16"/>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Matt Maddox</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Chief Financial Officer and Treasurer</w:t>
      </w:r>
    </w:p>
    <w:sectPr>
      <w:pgSz w:w="11900" w:h="16838" w:orient="portrait"/>
      <w:cols w:equalWidth="0" w:num="1">
        <w:col w:w="11200"/>
      </w:cols>
      <w:pgMar w:left="2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2019-12-07T04:17:33Z</dcterms:created>
  <dcterms:modified xsi:type="dcterms:W3CDTF">2019-12-07T04:17:33Z</dcterms:modified>
</cp:coreProperties>
</file>