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STRZEMP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Chief Administrative Ofc</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30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3"/>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300" w:type="dxa"/>
            <w:vAlign w:val="bottom"/>
            <w:tcBorders>
              <w:bottom w:val="single" w:sz="8" w:color="2C2C2C"/>
            </w:tcBorders>
            <w:gridSpan w:val="3"/>
          </w:tcPr>
          <w:p>
            <w:pPr>
              <w:jc w:val="right"/>
              <w:ind w:right="118"/>
              <w:spacing w:after="0"/>
              <w:rPr>
                <w:sz w:val="20"/>
                <w:szCs w:val="20"/>
                <w:color w:val="auto"/>
              </w:rPr>
            </w:pPr>
            <w:r>
              <w:rPr>
                <w:rFonts w:ascii="Arial" w:cs="Arial" w:eastAsia="Arial" w:hAnsi="Arial"/>
                <w:sz w:val="18"/>
                <w:szCs w:val="18"/>
                <w:color w:val="0000FF"/>
              </w:rPr>
              <w:t>01/15/2015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5,079</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245,079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restart"/>
          </w:tcPr>
          <w:p>
            <w:pPr>
              <w:jc w:val="right"/>
              <w:ind w:right="457"/>
              <w:spacing w:after="0"/>
              <w:rPr>
                <w:sz w:val="20"/>
                <w:szCs w:val="20"/>
                <w:color w:val="auto"/>
              </w:rPr>
            </w:pPr>
            <w:r>
              <w:rPr>
                <w:rFonts w:ascii="Arial" w:cs="Arial" w:eastAsia="Arial" w:hAnsi="Arial"/>
                <w:sz w:val="18"/>
                <w:szCs w:val="18"/>
                <w:color w:val="0000FF"/>
                <w:w w:val="86"/>
              </w:rPr>
              <w:t>500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mother</w:t>
            </w:r>
            <w:r>
              <w:rPr>
                <w:rFonts w:ascii="Arial" w:cs="Arial" w:eastAsia="Arial" w:hAnsi="Arial"/>
                <w:sz w:val="22"/>
                <w:szCs w:val="22"/>
                <w:color w:val="008000"/>
                <w:w w:val="97"/>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60" w:type="dxa"/>
            <w:vAlign w:val="bottom"/>
            <w:gridSpan w:val="11"/>
          </w:tcPr>
          <w:p>
            <w:pPr>
              <w:jc w:val="center"/>
              <w:ind w:right="15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common stock, par value $0.01 per share, of Wynn Resorts, Limited (the "Company") granted pursuant to the Company's 2014 Omnibus Incentive Plan, which shares vested immediately upon grant.</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Kevin Tourek, Attorney-in-</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01/20/2015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John Strzemp</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2019-12-08T01:49:08Z</dcterms:created>
  <dcterms:modified xsi:type="dcterms:W3CDTF">2019-12-08T01:49:08Z</dcterms:modified>
</cp:coreProperties>
</file>