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SCHEDULE 14A</w:t>
      </w:r>
    </w:p>
    <w:p>
      <w:pPr>
        <w:spacing w:after="0" w:line="72"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5"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9" w:lineRule="exact"/>
        <w:rPr>
          <w:sz w:val="24"/>
          <w:szCs w:val="24"/>
          <w:color w:val="auto"/>
        </w:rPr>
      </w:pPr>
    </w:p>
    <w:p>
      <w:pPr>
        <w:ind w:left="120"/>
        <w:spacing w:after="0" w:line="184" w:lineRule="exact"/>
        <w:tabs>
          <w:tab w:leader="none" w:pos="326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2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100" w:lineRule="exact"/>
        <w:rPr>
          <w:sz w:val="24"/>
          <w:szCs w:val="24"/>
          <w:color w:val="auto"/>
        </w:rPr>
      </w:pPr>
    </w:p>
    <w:p>
      <w:pPr>
        <w:ind w:left="780" w:hanging="664"/>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6" w:lineRule="exact"/>
        <w:rPr>
          <w:rFonts w:ascii="MS PGothic" w:cs="MS PGothic" w:eastAsia="MS PGothic" w:hAnsi="MS PGothic"/>
          <w:sz w:val="16"/>
          <w:szCs w:val="16"/>
          <w:color w:val="auto"/>
        </w:rPr>
      </w:pPr>
    </w:p>
    <w:p>
      <w:pPr>
        <w:ind w:left="780" w:hanging="664"/>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50" w:lineRule="exact"/>
        <w:rPr>
          <w:rFonts w:ascii="MS PGothic" w:cs="MS PGothic" w:eastAsia="MS PGothic" w:hAnsi="MS PGothic"/>
          <w:sz w:val="16"/>
          <w:szCs w:val="16"/>
          <w:color w:val="auto"/>
        </w:rPr>
      </w:pPr>
    </w:p>
    <w:p>
      <w:pPr>
        <w:ind w:left="12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Definitive Proxy Statement</w:t>
      </w:r>
    </w:p>
    <w:p>
      <w:pPr>
        <w:spacing w:after="0" w:line="141" w:lineRule="exact"/>
        <w:rPr>
          <w:rFonts w:ascii="MS PGothic" w:cs="MS PGothic" w:eastAsia="MS PGothic" w:hAnsi="MS PGothic"/>
          <w:sz w:val="16"/>
          <w:szCs w:val="16"/>
          <w:color w:val="auto"/>
        </w:rPr>
      </w:pPr>
    </w:p>
    <w:p>
      <w:pPr>
        <w:ind w:left="780" w:hanging="664"/>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86" w:lineRule="exact"/>
        <w:rPr>
          <w:rFonts w:ascii="MS PGothic" w:cs="MS PGothic" w:eastAsia="MS PGothic" w:hAnsi="MS PGothic"/>
          <w:sz w:val="16"/>
          <w:szCs w:val="16"/>
          <w:color w:val="auto"/>
        </w:rPr>
      </w:pPr>
    </w:p>
    <w:p>
      <w:pPr>
        <w:ind w:left="780" w:hanging="664"/>
        <w:spacing w:after="0"/>
        <w:tabs>
          <w:tab w:leader="none" w:pos="7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 240.14a-12</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WYNN RESORTS, LIMITED</w:t>
      </w:r>
    </w:p>
    <w:p>
      <w:pPr>
        <w:spacing w:after="0" w:line="24"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93" w:lineRule="exact"/>
        <w:rPr>
          <w:sz w:val="24"/>
          <w:szCs w:val="24"/>
          <w:color w:val="auto"/>
        </w:rPr>
      </w:pPr>
    </w:p>
    <w:p>
      <w:pPr>
        <w:ind w:left="284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3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the appropriate box):</w:t>
      </w:r>
    </w:p>
    <w:p>
      <w:pPr>
        <w:spacing w:after="0" w:line="86" w:lineRule="exact"/>
        <w:rPr>
          <w:sz w:val="24"/>
          <w:szCs w:val="24"/>
          <w:color w:val="auto"/>
        </w:rPr>
      </w:pPr>
    </w:p>
    <w:p>
      <w:pPr>
        <w:ind w:left="800" w:hanging="684"/>
        <w:spacing w:after="0"/>
        <w:tabs>
          <w:tab w:leader="none" w:pos="80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800" w:hanging="684"/>
        <w:spacing w:after="0"/>
        <w:tabs>
          <w:tab w:leader="none" w:pos="8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99" w:lineRule="exact"/>
        <w:rPr>
          <w:rFonts w:ascii="MS PGothic" w:cs="MS PGothic" w:eastAsia="MS PGothic" w:hAnsi="MS PGothic"/>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15"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15" w:lineRule="exact"/>
        <w:rPr>
          <w:rFonts w:ascii="Arial" w:cs="Arial" w:eastAsia="Arial" w:hAnsi="Arial"/>
          <w:sz w:val="16"/>
          <w:szCs w:val="16"/>
          <w:color w:val="auto"/>
        </w:rPr>
      </w:pPr>
    </w:p>
    <w:p>
      <w:pPr>
        <w:ind w:left="1340" w:right="40" w:hanging="549"/>
        <w:spacing w:after="0" w:line="260" w:lineRule="auto"/>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89"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15"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50" w:lineRule="exact"/>
        <w:rPr>
          <w:rFonts w:ascii="Arial" w:cs="Arial" w:eastAsia="Arial" w:hAnsi="Arial"/>
          <w:sz w:val="16"/>
          <w:szCs w:val="16"/>
          <w:color w:val="auto"/>
        </w:rPr>
      </w:pPr>
    </w:p>
    <w:p>
      <w:pPr>
        <w:ind w:left="800" w:hanging="684"/>
        <w:spacing w:after="0"/>
        <w:tabs>
          <w:tab w:leader="none" w:pos="8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800" w:hanging="684"/>
        <w:spacing w:after="0" w:line="260" w:lineRule="auto"/>
        <w:tabs>
          <w:tab w:leader="none" w:pos="8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7" w:lineRule="exact"/>
        <w:rPr>
          <w:rFonts w:ascii="MS PGothic" w:cs="MS PGothic" w:eastAsia="MS PGothic" w:hAnsi="MS PGothic"/>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15"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5"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15" w:lineRule="exact"/>
        <w:rPr>
          <w:rFonts w:ascii="Arial" w:cs="Arial" w:eastAsia="Arial" w:hAnsi="Arial"/>
          <w:sz w:val="16"/>
          <w:szCs w:val="16"/>
          <w:color w:val="auto"/>
        </w:rPr>
      </w:pPr>
    </w:p>
    <w:p>
      <w:pPr>
        <w:ind w:left="1340" w:hanging="549"/>
        <w:spacing w:after="0"/>
        <w:tabs>
          <w:tab w:leader="none" w:pos="1340"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845185</wp:posOffset>
            </wp:positionH>
            <wp:positionV relativeFrom="paragraph">
              <wp:posOffset>-3066415</wp:posOffset>
            </wp:positionV>
            <wp:extent cx="6223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-2748915</wp:posOffset>
            </wp:positionV>
            <wp:extent cx="6223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-2312035</wp:posOffset>
            </wp:positionV>
            <wp:extent cx="6223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-1994535</wp:posOffset>
            </wp:positionV>
            <wp:extent cx="6223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-1677670</wp:posOffset>
            </wp:positionV>
            <wp:extent cx="62236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-768985</wp:posOffset>
            </wp:positionV>
            <wp:extent cx="6223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-451485</wp:posOffset>
            </wp:positionV>
            <wp:extent cx="62236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23635" cy="8890"/>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-134620</wp:posOffset>
            </wp:positionV>
            <wp:extent cx="6223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182245</wp:posOffset>
            </wp:positionV>
            <wp:extent cx="62236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23635" cy="8890"/>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4320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743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40"/>
        <w:spacing w:after="0"/>
        <w:rPr>
          <w:sz w:val="20"/>
          <w:szCs w:val="20"/>
          <w:color w:val="auto"/>
        </w:rPr>
      </w:pPr>
      <w:r>
        <w:rPr>
          <w:rFonts w:ascii="Arial" w:cs="Arial" w:eastAsia="Arial" w:hAnsi="Arial"/>
          <w:sz w:val="36"/>
          <w:szCs w:val="36"/>
          <w:i w:val="1"/>
          <w:iCs w:val="1"/>
          <w:color w:val="604F2B"/>
        </w:rPr>
        <w:t xml:space="preserve">Dear </w:t>
      </w:r>
      <w:r>
        <w:rPr>
          <w:rFonts w:ascii="Arial" w:cs="Arial" w:eastAsia="Arial" w:hAnsi="Arial"/>
          <w:sz w:val="36"/>
          <w:szCs w:val="36"/>
          <w:color w:val="604F2B"/>
        </w:rPr>
        <w:t>Shareholders,</w:t>
      </w:r>
    </w:p>
    <w:p>
      <w:pPr>
        <w:spacing w:after="0" w:line="238" w:lineRule="exact"/>
        <w:rPr>
          <w:sz w:val="20"/>
          <w:szCs w:val="20"/>
          <w:color w:val="auto"/>
        </w:rPr>
      </w:pPr>
    </w:p>
    <w:p>
      <w:pPr>
        <w:ind w:left="2840" w:right="260"/>
        <w:spacing w:after="0" w:line="253" w:lineRule="auto"/>
        <w:rPr>
          <w:sz w:val="20"/>
          <w:szCs w:val="20"/>
          <w:color w:val="auto"/>
        </w:rPr>
      </w:pPr>
      <w:r>
        <w:rPr>
          <w:rFonts w:ascii="Arial" w:cs="Arial" w:eastAsia="Arial" w:hAnsi="Arial"/>
          <w:sz w:val="16"/>
          <w:szCs w:val="16"/>
          <w:color w:val="auto"/>
        </w:rPr>
        <w:t>One of the most important functions of your independent Board of Directors is to ensure we have a leadership team that builds confidence and gains the trust of its constituencies. We believe we have been exceptionally served by our leadership team in this regard in their individual capacities at the corporate and property levels.</w:t>
      </w:r>
    </w:p>
    <w:p>
      <w:pPr>
        <w:spacing w:after="0" w:line="228" w:lineRule="exact"/>
        <w:rPr>
          <w:sz w:val="20"/>
          <w:szCs w:val="20"/>
          <w:color w:val="auto"/>
        </w:rPr>
      </w:pPr>
    </w:p>
    <w:p>
      <w:pPr>
        <w:ind w:left="2840"/>
        <w:spacing w:after="0" w:line="251" w:lineRule="auto"/>
        <w:rPr>
          <w:sz w:val="20"/>
          <w:szCs w:val="20"/>
          <w:color w:val="auto"/>
        </w:rPr>
      </w:pPr>
      <w:r>
        <w:rPr>
          <w:rFonts w:ascii="Arial" w:cs="Arial" w:eastAsia="Arial" w:hAnsi="Arial"/>
          <w:sz w:val="16"/>
          <w:szCs w:val="16"/>
          <w:color w:val="auto"/>
        </w:rPr>
        <w:t>If I’ve learned anything in my decades of experience in executive leadership, especially in the highly-regulated gaming industry, it is the importance of trust. To achieve any measure of success, a company must earn and then retain the trust of its shareholders, regulators, customers and employees. Without trust, little is possible. With it, everything is possible.</w:t>
      </w:r>
    </w:p>
    <w:p>
      <w:pPr>
        <w:spacing w:after="0" w:line="229" w:lineRule="exact"/>
        <w:rPr>
          <w:sz w:val="20"/>
          <w:szCs w:val="20"/>
          <w:color w:val="auto"/>
        </w:rPr>
      </w:pPr>
    </w:p>
    <w:p>
      <w:pPr>
        <w:ind w:left="2840" w:right="120"/>
        <w:spacing w:after="0" w:line="251" w:lineRule="auto"/>
        <w:rPr>
          <w:sz w:val="20"/>
          <w:szCs w:val="20"/>
          <w:color w:val="auto"/>
        </w:rPr>
      </w:pPr>
      <w:r>
        <w:rPr>
          <w:rFonts w:ascii="Arial" w:cs="Arial" w:eastAsia="Arial" w:hAnsi="Arial"/>
          <w:sz w:val="16"/>
          <w:szCs w:val="16"/>
          <w:color w:val="auto"/>
        </w:rPr>
        <w:t>Over the course of the pandemic, Wynn Resorts built a reservoir of trust with key constituents even as we continued to build our brand. When the going gets tough, such as having to close our resorts worldwide for the safety of guests and employees, a company’s true colors show. At Wynn Resorts, I’m proud of the decisions we made and what that demonstrates about this Company, its Board of Directors and its executives.</w:t>
      </w:r>
    </w:p>
    <w:p>
      <w:pPr>
        <w:spacing w:after="0" w:line="229" w:lineRule="exact"/>
        <w:rPr>
          <w:sz w:val="20"/>
          <w:szCs w:val="20"/>
          <w:color w:val="auto"/>
        </w:rPr>
      </w:pPr>
    </w:p>
    <w:p>
      <w:pPr>
        <w:ind w:left="2840" w:right="40"/>
        <w:spacing w:after="0" w:line="250" w:lineRule="auto"/>
        <w:rPr>
          <w:sz w:val="20"/>
          <w:szCs w:val="20"/>
          <w:color w:val="auto"/>
        </w:rPr>
      </w:pPr>
      <w:r>
        <w:rPr>
          <w:rFonts w:ascii="Arial" w:cs="Arial" w:eastAsia="Arial" w:hAnsi="Arial"/>
          <w:sz w:val="16"/>
          <w:szCs w:val="16"/>
          <w:color w:val="auto"/>
        </w:rPr>
        <w:t>We began by making the decision to pay all our employees their full wages, benefits and estimated tips throughout our closure, and safeguard as many jobs as possible upon re-opening. If you believe as we do that “Only People Make People Happy,” you will find the profound trust and gratitude between our employees and the Company deeply affirming. Next time you’re at a Wynn resort, ask any employee what they think of the Company. I do it myself. I know what you’ll hear.</w:t>
      </w:r>
    </w:p>
    <w:p>
      <w:pPr>
        <w:spacing w:after="0" w:line="230" w:lineRule="exact"/>
        <w:rPr>
          <w:sz w:val="20"/>
          <w:szCs w:val="20"/>
          <w:color w:val="auto"/>
        </w:rPr>
      </w:pPr>
    </w:p>
    <w:p>
      <w:pPr>
        <w:ind w:left="2840"/>
        <w:spacing w:after="0" w:line="250" w:lineRule="auto"/>
        <w:rPr>
          <w:sz w:val="20"/>
          <w:szCs w:val="20"/>
          <w:color w:val="auto"/>
        </w:rPr>
      </w:pPr>
      <w:r>
        <w:rPr>
          <w:rFonts w:ascii="Arial" w:cs="Arial" w:eastAsia="Arial" w:hAnsi="Arial"/>
          <w:sz w:val="16"/>
          <w:szCs w:val="16"/>
          <w:color w:val="auto"/>
        </w:rPr>
        <w:t>We became a trusted source of information for our guests and created a successful health safety template for the broader political and business communities in which we operate. CEO Matt Maddox assembled a team of medical and public health experts to advise him on the path forward. The health safety protocols the Wynn team created set the standard in our industry and beyond. Matt is now one of the most trusted voices in how to lead the travel and hospitality sectors safely through this crisis.</w:t>
      </w:r>
    </w:p>
    <w:p>
      <w:pPr>
        <w:spacing w:after="0" w:line="230" w:lineRule="exact"/>
        <w:rPr>
          <w:sz w:val="20"/>
          <w:szCs w:val="20"/>
          <w:color w:val="auto"/>
        </w:rPr>
      </w:pPr>
    </w:p>
    <w:p>
      <w:pPr>
        <w:ind w:left="2840"/>
        <w:spacing w:after="0" w:line="249" w:lineRule="auto"/>
        <w:rPr>
          <w:sz w:val="20"/>
          <w:szCs w:val="20"/>
          <w:color w:val="auto"/>
        </w:rPr>
      </w:pPr>
      <w:r>
        <w:rPr>
          <w:rFonts w:ascii="Arial" w:cs="Arial" w:eastAsia="Arial" w:hAnsi="Arial"/>
          <w:sz w:val="16"/>
          <w:szCs w:val="16"/>
          <w:color w:val="auto"/>
        </w:rPr>
        <w:t>Your independent Board of Directors, keenly aware of the trust and confidence you have placed in us, worked as active, prudent fiduciaries to reinforce that trust and confidence. As just one example, we completed a highly-successful equity offering to provide additional financial flexibility for the opportunities we anticipate in the post-pandemic economy. We continued to act on our commitment to expand both the Board’s skill set and its diversity of voices; adding Darnell Strom, whose experience in entertainment, communications and philanthropy the Board will leverage for years to come.</w:t>
      </w:r>
    </w:p>
    <w:p>
      <w:pPr>
        <w:spacing w:after="0" w:line="232" w:lineRule="exact"/>
        <w:rPr>
          <w:sz w:val="20"/>
          <w:szCs w:val="20"/>
          <w:color w:val="auto"/>
        </w:rPr>
      </w:pPr>
    </w:p>
    <w:p>
      <w:pPr>
        <w:ind w:left="2840" w:right="20"/>
        <w:spacing w:after="0" w:line="251" w:lineRule="auto"/>
        <w:rPr>
          <w:sz w:val="20"/>
          <w:szCs w:val="20"/>
          <w:color w:val="auto"/>
        </w:rPr>
      </w:pPr>
      <w:r>
        <w:rPr>
          <w:rFonts w:ascii="Arial" w:cs="Arial" w:eastAsia="Arial" w:hAnsi="Arial"/>
          <w:sz w:val="16"/>
          <w:szCs w:val="16"/>
          <w:color w:val="auto"/>
        </w:rPr>
        <w:t>Finally, by clearly demonstrating that we will always step up, follow our values and do the right thing, we have continued to build strong trust with our regulators. This has always been one of my key goals as Chair, and this Board and executive team have now earned what I believe is a leadership position in that area. It is a position we must continue to earn every day.</w:t>
      </w:r>
    </w:p>
    <w:p>
      <w:pPr>
        <w:spacing w:after="0" w:line="229" w:lineRule="exact"/>
        <w:rPr>
          <w:sz w:val="20"/>
          <w:szCs w:val="20"/>
          <w:color w:val="auto"/>
        </w:rPr>
      </w:pPr>
    </w:p>
    <w:p>
      <w:pPr>
        <w:ind w:left="2840" w:right="640"/>
        <w:spacing w:after="0" w:line="260" w:lineRule="auto"/>
        <w:rPr>
          <w:sz w:val="20"/>
          <w:szCs w:val="20"/>
          <w:color w:val="auto"/>
        </w:rPr>
      </w:pPr>
      <w:r>
        <w:rPr>
          <w:rFonts w:ascii="Arial" w:cs="Arial" w:eastAsia="Arial" w:hAnsi="Arial"/>
          <w:sz w:val="16"/>
          <w:szCs w:val="16"/>
          <w:color w:val="auto"/>
        </w:rPr>
        <w:t>Our actions over the past year speak for themselves. Perhaps more importantly, they set the tone for the integrity, diligence and commitment you can expect from us in the future.</w:t>
      </w:r>
    </w:p>
    <w:p>
      <w:pPr>
        <w:spacing w:after="0" w:line="222" w:lineRule="exact"/>
        <w:rPr>
          <w:sz w:val="20"/>
          <w:szCs w:val="20"/>
          <w:color w:val="auto"/>
        </w:rPr>
      </w:pPr>
    </w:p>
    <w:p>
      <w:pPr>
        <w:ind w:left="2840"/>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Philip G. Satre</w:t>
      </w:r>
    </w:p>
    <w:p>
      <w:pPr>
        <w:ind w:left="2840"/>
        <w:spacing w:after="0"/>
        <w:rPr>
          <w:sz w:val="20"/>
          <w:szCs w:val="20"/>
          <w:color w:val="auto"/>
        </w:rPr>
      </w:pPr>
      <w:r>
        <w:rPr>
          <w:rFonts w:ascii="Arial" w:cs="Arial" w:eastAsia="Arial" w:hAnsi="Arial"/>
          <w:sz w:val="18"/>
          <w:szCs w:val="18"/>
          <w:color w:val="auto"/>
        </w:rPr>
        <w:t>Non-Executive Chair of the Board</w:t>
      </w:r>
    </w:p>
    <w:p>
      <w:pPr>
        <w:sectPr>
          <w:pgSz w:w="11900" w:h="16838" w:orient="portrait"/>
          <w:cols w:equalWidth="0" w:num="1">
            <w:col w:w="10960"/>
          </w:cols>
          <w:pgMar w:left="320" w:top="459" w:right="61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76123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7612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060"/>
        <w:spacing w:after="0"/>
        <w:rPr>
          <w:sz w:val="20"/>
          <w:szCs w:val="20"/>
          <w:color w:val="auto"/>
        </w:rPr>
      </w:pPr>
      <w:r>
        <w:rPr>
          <w:rFonts w:ascii="Arial" w:cs="Arial" w:eastAsia="Arial" w:hAnsi="Arial"/>
          <w:sz w:val="36"/>
          <w:szCs w:val="36"/>
          <w:i w:val="1"/>
          <w:iCs w:val="1"/>
          <w:color w:val="FFFFFF"/>
        </w:rPr>
        <w:t>Dear Shareholders,</w:t>
      </w:r>
    </w:p>
    <w:p>
      <w:pPr>
        <w:spacing w:after="0" w:line="238" w:lineRule="exact"/>
        <w:rPr>
          <w:sz w:val="20"/>
          <w:szCs w:val="20"/>
          <w:color w:val="auto"/>
        </w:rPr>
      </w:pPr>
    </w:p>
    <w:p>
      <w:pPr>
        <w:ind w:left="3060" w:right="240"/>
        <w:spacing w:after="0" w:line="260" w:lineRule="auto"/>
        <w:rPr>
          <w:sz w:val="20"/>
          <w:szCs w:val="20"/>
          <w:color w:val="auto"/>
        </w:rPr>
      </w:pPr>
      <w:r>
        <w:rPr>
          <w:rFonts w:ascii="Arial" w:cs="Arial" w:eastAsia="Arial" w:hAnsi="Arial"/>
          <w:sz w:val="16"/>
          <w:szCs w:val="16"/>
          <w:color w:val="FFFFFF"/>
        </w:rPr>
        <w:t>A year ago, Wynn Resorts -- from Las Vegas to Boston to Macau -- was closed. It was, as I told you a year ago, “unimaginable.” It was stunning. And it was necessary.</w:t>
      </w:r>
    </w:p>
    <w:p>
      <w:pPr>
        <w:spacing w:after="0" w:line="182" w:lineRule="exact"/>
        <w:rPr>
          <w:sz w:val="20"/>
          <w:szCs w:val="20"/>
          <w:color w:val="auto"/>
        </w:rPr>
      </w:pPr>
    </w:p>
    <w:p>
      <w:pPr>
        <w:ind w:left="3060"/>
        <w:spacing w:after="0" w:line="250" w:lineRule="auto"/>
        <w:rPr>
          <w:sz w:val="20"/>
          <w:szCs w:val="20"/>
          <w:color w:val="auto"/>
        </w:rPr>
      </w:pPr>
      <w:r>
        <w:rPr>
          <w:rFonts w:ascii="Arial" w:cs="Arial" w:eastAsia="Arial" w:hAnsi="Arial"/>
          <w:sz w:val="16"/>
          <w:szCs w:val="16"/>
          <w:color w:val="FFFFFF"/>
        </w:rPr>
        <w:t>We closed to keep our guests and employees safe from the rapid global spread of the COVID-19 pandemic. Working with some of the top medical and public health professionals in the world, we created a program that became the industry gold standard in health safety. Other companies requested copies so they could replicate “The Wynn Plan” in its entirety. Acting on our value to “care about everyone and everything,” we eagerly shared, and we continue to share, what we learned.</w:t>
      </w:r>
    </w:p>
    <w:p>
      <w:pPr>
        <w:spacing w:after="0" w:line="189" w:lineRule="exact"/>
        <w:rPr>
          <w:sz w:val="20"/>
          <w:szCs w:val="20"/>
          <w:color w:val="auto"/>
        </w:rPr>
      </w:pPr>
    </w:p>
    <w:p>
      <w:pPr>
        <w:ind w:left="3060" w:right="260"/>
        <w:spacing w:after="0" w:line="249" w:lineRule="auto"/>
        <w:rPr>
          <w:sz w:val="20"/>
          <w:szCs w:val="20"/>
          <w:color w:val="auto"/>
        </w:rPr>
      </w:pPr>
      <w:r>
        <w:rPr>
          <w:rFonts w:ascii="Arial" w:cs="Arial" w:eastAsia="Arial" w:hAnsi="Arial"/>
          <w:sz w:val="16"/>
          <w:szCs w:val="16"/>
          <w:color w:val="FFFFFF"/>
        </w:rPr>
        <w:t>I also reminded you last year that “We Build Houses of Brick,” and we build them on solid foundations. We spent our closure, and the months immediately following our re-opening, reinforcing and extending the foundation of this house with the knowledge that, once the pandemic began to recede and the tourism and hospitality sectors came roaring back, we would return to building this house. As vaccination distribution expands, testing protocols become more sophisticated, and consumer confidence begins to return, we are prepared.</w:t>
      </w:r>
    </w:p>
    <w:p>
      <w:pPr>
        <w:spacing w:after="0" w:line="175" w:lineRule="exact"/>
        <w:rPr>
          <w:sz w:val="20"/>
          <w:szCs w:val="20"/>
          <w:color w:val="auto"/>
        </w:rPr>
      </w:pPr>
    </w:p>
    <w:p>
      <w:pPr>
        <w:ind w:left="3060" w:right="20"/>
        <w:spacing w:after="0" w:line="253" w:lineRule="auto"/>
        <w:rPr>
          <w:sz w:val="20"/>
          <w:szCs w:val="20"/>
          <w:color w:val="auto"/>
        </w:rPr>
      </w:pPr>
      <w:r>
        <w:rPr>
          <w:rFonts w:ascii="Arial" w:cs="Arial" w:eastAsia="Arial" w:hAnsi="Arial"/>
          <w:sz w:val="16"/>
          <w:szCs w:val="16"/>
          <w:i w:val="1"/>
          <w:iCs w:val="1"/>
          <w:color w:val="FFFFFF"/>
        </w:rPr>
        <w:t>We’ve built trust in Wynn to offer secure leisure and business travel experiences</w:t>
      </w:r>
      <w:r>
        <w:rPr>
          <w:rFonts w:ascii="Arial" w:cs="Arial" w:eastAsia="Arial" w:hAnsi="Arial"/>
          <w:sz w:val="16"/>
          <w:szCs w:val="16"/>
          <w:color w:val="FFFFFF"/>
        </w:rPr>
        <w:t>. In partnership with</w:t>
      </w:r>
      <w:r>
        <w:rPr>
          <w:rFonts w:ascii="Arial" w:cs="Arial" w:eastAsia="Arial" w:hAnsi="Arial"/>
          <w:sz w:val="16"/>
          <w:szCs w:val="16"/>
          <w:i w:val="1"/>
          <w:iCs w:val="1"/>
          <w:color w:val="FFFFFF"/>
        </w:rPr>
        <w:t xml:space="preserve"> </w:t>
      </w:r>
      <w:r>
        <w:rPr>
          <w:rFonts w:ascii="Arial" w:cs="Arial" w:eastAsia="Arial" w:hAnsi="Arial"/>
          <w:sz w:val="16"/>
          <w:szCs w:val="16"/>
          <w:color w:val="FFFFFF"/>
        </w:rPr>
        <w:t>University Medical Center, the Vaccination Center at Encore Las Vegas administers more than 800 COVID-19 vaccinations per day. Our recently-opened Testing Lab performs tests for convention and leisure customers at Wynn Las Vegas. We are helping to get our children safely back to school by providing the testing facility for student athletes in Clark County Schools. We continue to lead, locally and globally, on health safety planning in a post-pandemic recovery.</w:t>
      </w:r>
    </w:p>
    <w:p>
      <w:pPr>
        <w:spacing w:after="0" w:line="173" w:lineRule="exact"/>
        <w:rPr>
          <w:sz w:val="20"/>
          <w:szCs w:val="20"/>
          <w:color w:val="auto"/>
        </w:rPr>
      </w:pPr>
    </w:p>
    <w:p>
      <w:pPr>
        <w:ind w:left="3060" w:right="80"/>
        <w:spacing w:after="0" w:line="258" w:lineRule="auto"/>
        <w:rPr>
          <w:sz w:val="20"/>
          <w:szCs w:val="20"/>
          <w:color w:val="auto"/>
        </w:rPr>
      </w:pPr>
      <w:r>
        <w:rPr>
          <w:rFonts w:ascii="Arial" w:cs="Arial" w:eastAsia="Arial" w:hAnsi="Arial"/>
          <w:sz w:val="16"/>
          <w:szCs w:val="16"/>
          <w:i w:val="1"/>
          <w:iCs w:val="1"/>
          <w:color w:val="FFFFFF"/>
        </w:rPr>
        <w:t xml:space="preserve">We’ve built new ways to entertain. </w:t>
      </w:r>
      <w:r>
        <w:rPr>
          <w:rFonts w:ascii="Arial" w:cs="Arial" w:eastAsia="Arial" w:hAnsi="Arial"/>
          <w:sz w:val="16"/>
          <w:szCs w:val="16"/>
          <w:color w:val="FFFFFF"/>
        </w:rPr>
        <w:t>We reimagined our Lake of Dreams show to offer an entertainment</w:t>
      </w:r>
      <w:r>
        <w:rPr>
          <w:rFonts w:ascii="Arial" w:cs="Arial" w:eastAsia="Arial" w:hAnsi="Arial"/>
          <w:sz w:val="16"/>
          <w:szCs w:val="16"/>
          <w:i w:val="1"/>
          <w:iCs w:val="1"/>
          <w:color w:val="FFFFFF"/>
        </w:rPr>
        <w:t xml:space="preserve"> </w:t>
      </w:r>
      <w:r>
        <w:rPr>
          <w:rFonts w:ascii="Arial" w:cs="Arial" w:eastAsia="Arial" w:hAnsi="Arial"/>
          <w:sz w:val="16"/>
          <w:szCs w:val="16"/>
          <w:color w:val="FFFFFF"/>
        </w:rPr>
        <w:t>experience that is both one-of-a-kind and audience safe. Delilah is a modern, innovative take on the classic supper club experience, offering a fresh option in the Wynn Nightlife experience. Delilah’s spectacular design represents the new face of Wynn Resorts.</w:t>
      </w:r>
    </w:p>
    <w:p>
      <w:pPr>
        <w:spacing w:after="0" w:line="163" w:lineRule="exact"/>
        <w:rPr>
          <w:sz w:val="20"/>
          <w:szCs w:val="20"/>
          <w:color w:val="auto"/>
        </w:rPr>
      </w:pPr>
    </w:p>
    <w:p>
      <w:pPr>
        <w:ind w:left="3060" w:right="100"/>
        <w:spacing w:after="0" w:line="256" w:lineRule="auto"/>
        <w:rPr>
          <w:sz w:val="20"/>
          <w:szCs w:val="20"/>
          <w:color w:val="auto"/>
        </w:rPr>
      </w:pPr>
      <w:r>
        <w:rPr>
          <w:rFonts w:ascii="Arial" w:cs="Arial" w:eastAsia="Arial" w:hAnsi="Arial"/>
          <w:sz w:val="16"/>
          <w:szCs w:val="16"/>
          <w:i w:val="1"/>
          <w:iCs w:val="1"/>
          <w:color w:val="FFFFFF"/>
        </w:rPr>
        <w:t>We’re building a new distribution platform for the Wynn Experience</w:t>
      </w:r>
      <w:r>
        <w:rPr>
          <w:rFonts w:ascii="Arial" w:cs="Arial" w:eastAsia="Arial" w:hAnsi="Arial"/>
          <w:sz w:val="16"/>
          <w:szCs w:val="16"/>
          <w:b w:val="1"/>
          <w:bCs w:val="1"/>
          <w:color w:val="FFFFFF"/>
        </w:rPr>
        <w:t>.</w:t>
      </w:r>
      <w:r>
        <w:rPr>
          <w:rFonts w:ascii="Arial" w:cs="Arial" w:eastAsia="Arial" w:hAnsi="Arial"/>
          <w:sz w:val="16"/>
          <w:szCs w:val="16"/>
          <w:i w:val="1"/>
          <w:iCs w:val="1"/>
          <w:color w:val="FFFFFF"/>
        </w:rPr>
        <w:t xml:space="preserve"> </w:t>
      </w:r>
      <w:r>
        <w:rPr>
          <w:rFonts w:ascii="Arial" w:cs="Arial" w:eastAsia="Arial" w:hAnsi="Arial"/>
          <w:sz w:val="16"/>
          <w:szCs w:val="16"/>
          <w:color w:val="FFFFFF"/>
        </w:rPr>
        <w:t>WynnBET is our new online gaming</w:t>
      </w:r>
      <w:r>
        <w:rPr>
          <w:rFonts w:ascii="Arial" w:cs="Arial" w:eastAsia="Arial" w:hAnsi="Arial"/>
          <w:sz w:val="16"/>
          <w:szCs w:val="16"/>
          <w:i w:val="1"/>
          <w:iCs w:val="1"/>
          <w:color w:val="FFFFFF"/>
        </w:rPr>
        <w:t xml:space="preserve"> </w:t>
      </w:r>
      <w:r>
        <w:rPr>
          <w:rFonts w:ascii="Arial" w:cs="Arial" w:eastAsia="Arial" w:hAnsi="Arial"/>
          <w:sz w:val="16"/>
          <w:szCs w:val="16"/>
          <w:color w:val="FFFFFF"/>
        </w:rPr>
        <w:t>platform, anchored by our mobile sports and casino betting app. We will use our strategic partnerships in sports and entertainment to create activations and content that will be distributed on social media platforms and from podcasts emanating from our studio at Wynn Las Vegas. WynnBET will bring the Wynn Experience to millions of guests who haven’t yet visited one of our resorts.</w:t>
      </w:r>
    </w:p>
    <w:p>
      <w:pPr>
        <w:spacing w:after="0" w:line="170" w:lineRule="exact"/>
        <w:rPr>
          <w:sz w:val="20"/>
          <w:szCs w:val="20"/>
          <w:color w:val="auto"/>
        </w:rPr>
      </w:pPr>
    </w:p>
    <w:p>
      <w:pPr>
        <w:ind w:left="3060" w:right="60"/>
        <w:spacing w:after="0" w:line="255" w:lineRule="auto"/>
        <w:rPr>
          <w:sz w:val="20"/>
          <w:szCs w:val="20"/>
          <w:color w:val="auto"/>
        </w:rPr>
      </w:pPr>
      <w:r>
        <w:rPr>
          <w:rFonts w:ascii="Arial" w:cs="Arial" w:eastAsia="Arial" w:hAnsi="Arial"/>
          <w:sz w:val="16"/>
          <w:szCs w:val="16"/>
          <w:i w:val="1"/>
          <w:iCs w:val="1"/>
          <w:color w:val="FFFFFF"/>
        </w:rPr>
        <w:t>We’ve built a solid financial and operational base</w:t>
      </w:r>
      <w:r>
        <w:rPr>
          <w:rFonts w:ascii="Arial" w:cs="Arial" w:eastAsia="Arial" w:hAnsi="Arial"/>
          <w:sz w:val="16"/>
          <w:szCs w:val="16"/>
          <w:color w:val="FFFFFF"/>
        </w:rPr>
        <w:t>. Our team at Encore Boston Harbor is leading that business</w:t>
      </w:r>
      <w:r>
        <w:rPr>
          <w:rFonts w:ascii="Arial" w:cs="Arial" w:eastAsia="Arial" w:hAnsi="Arial"/>
          <w:sz w:val="16"/>
          <w:szCs w:val="16"/>
          <w:i w:val="1"/>
          <w:iCs w:val="1"/>
          <w:color w:val="FFFFFF"/>
        </w:rPr>
        <w:t xml:space="preserve"> </w:t>
      </w:r>
      <w:r>
        <w:rPr>
          <w:rFonts w:ascii="Arial" w:cs="Arial" w:eastAsia="Arial" w:hAnsi="Arial"/>
          <w:sz w:val="16"/>
          <w:szCs w:val="16"/>
          <w:color w:val="FFFFFF"/>
        </w:rPr>
        <w:t>to greater financial success than we’ve seen before. Our team in Macau is attracting new guests through innovative marketing to the VIP mass consumer base. Our Las Vegas team maintained its Five Star ratings despite the challenges inherent in our rigorous pandemic safety procedures. Our resorts have never been in better hands.</w:t>
      </w:r>
    </w:p>
    <w:p>
      <w:pPr>
        <w:spacing w:after="0" w:line="186" w:lineRule="exact"/>
        <w:rPr>
          <w:sz w:val="20"/>
          <w:szCs w:val="20"/>
          <w:color w:val="auto"/>
        </w:rPr>
      </w:pPr>
    </w:p>
    <w:p>
      <w:pPr>
        <w:jc w:val="both"/>
        <w:ind w:left="3060" w:right="20"/>
        <w:spacing w:after="0" w:line="253" w:lineRule="auto"/>
        <w:rPr>
          <w:sz w:val="20"/>
          <w:szCs w:val="20"/>
          <w:color w:val="auto"/>
        </w:rPr>
      </w:pPr>
      <w:r>
        <w:rPr>
          <w:rFonts w:ascii="Arial" w:cs="Arial" w:eastAsia="Arial" w:hAnsi="Arial"/>
          <w:sz w:val="16"/>
          <w:szCs w:val="16"/>
          <w:color w:val="FFFFFF"/>
        </w:rPr>
        <w:t>A year after we closed, Wynn Resorts is revitalized, more innovative and more relevant to our customers than it has ever been before. We are leading the way into an era which, this time for all the best reasons, is equally “unimaginable.” I am proud of what we’ve done to make that possible.</w:t>
      </w:r>
    </w:p>
    <w:p>
      <w:pPr>
        <w:spacing w:after="0" w:line="188" w:lineRule="exact"/>
        <w:rPr>
          <w:sz w:val="20"/>
          <w:szCs w:val="20"/>
          <w:color w:val="auto"/>
        </w:rPr>
      </w:pPr>
    </w:p>
    <w:p>
      <w:pPr>
        <w:ind w:left="3060"/>
        <w:spacing w:after="0"/>
        <w:rPr>
          <w:sz w:val="20"/>
          <w:szCs w:val="20"/>
          <w:color w:val="auto"/>
        </w:rPr>
      </w:pPr>
      <w:r>
        <w:rPr>
          <w:rFonts w:ascii="Arial" w:cs="Arial" w:eastAsia="Arial" w:hAnsi="Arial"/>
          <w:sz w:val="16"/>
          <w:szCs w:val="16"/>
          <w:color w:val="FFFFFF"/>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60"/>
        <w:spacing w:after="0"/>
        <w:rPr>
          <w:sz w:val="20"/>
          <w:szCs w:val="20"/>
          <w:color w:val="auto"/>
        </w:rPr>
      </w:pPr>
      <w:r>
        <w:rPr>
          <w:rFonts w:ascii="Arial" w:cs="Arial" w:eastAsia="Arial" w:hAnsi="Arial"/>
          <w:sz w:val="18"/>
          <w:szCs w:val="18"/>
          <w:color w:val="FFFFFF"/>
        </w:rPr>
        <w:t>Matthew Maddox</w:t>
      </w:r>
    </w:p>
    <w:p>
      <w:pPr>
        <w:ind w:left="3060"/>
        <w:spacing w:after="0"/>
        <w:rPr>
          <w:sz w:val="20"/>
          <w:szCs w:val="20"/>
          <w:color w:val="auto"/>
        </w:rPr>
      </w:pPr>
      <w:r>
        <w:rPr>
          <w:rFonts w:ascii="Arial" w:cs="Arial" w:eastAsia="Arial" w:hAnsi="Arial"/>
          <w:sz w:val="18"/>
          <w:szCs w:val="18"/>
          <w:color w:val="FFFFFF"/>
        </w:rPr>
        <w:t>CEO Wynn Resorts, Limited</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120"/>
        <w:spacing w:after="0"/>
        <w:rPr>
          <w:sz w:val="20"/>
          <w:szCs w:val="20"/>
          <w:color w:val="auto"/>
        </w:rPr>
      </w:pPr>
      <w:r>
        <w:rPr>
          <w:rFonts w:ascii="Arial" w:cs="Arial" w:eastAsia="Arial" w:hAnsi="Arial"/>
          <w:sz w:val="47"/>
          <w:szCs w:val="47"/>
          <w:color w:val="604F2B"/>
        </w:rPr>
        <w:t>Notice of Annual Meeting</w:t>
      </w:r>
    </w:p>
    <w:p>
      <w:pPr>
        <w:spacing w:after="0" w:line="285"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Our 2021 Annual Meeting will be held entirely online due to the uncertain nature of travel and other restrictions that may be in place at the time of the meeting.</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PURPOSE OF THE MEETING</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THE ANNUAL MEETING WILL BE HELD FOR THE FOLLOWING PURPOSES:</w:t>
      </w:r>
    </w:p>
    <w:p>
      <w:pPr>
        <w:spacing w:after="0" w:line="16" w:lineRule="exact"/>
        <w:rPr>
          <w:sz w:val="20"/>
          <w:szCs w:val="20"/>
          <w:color w:val="auto"/>
        </w:rPr>
      </w:pPr>
    </w:p>
    <w:p>
      <w:pPr>
        <w:ind w:left="440" w:hanging="324"/>
        <w:spacing w:after="0"/>
        <w:tabs>
          <w:tab w:leader="none" w:pos="440" w:val="left"/>
        </w:tabs>
        <w:numPr>
          <w:ilvl w:val="0"/>
          <w:numId w:val="4"/>
        </w:numPr>
        <w:rPr>
          <w:rFonts w:ascii="Arial" w:cs="Arial" w:eastAsia="Arial" w:hAnsi="Arial"/>
          <w:sz w:val="16"/>
          <w:szCs w:val="16"/>
          <w:i w:val="1"/>
          <w:iCs w:val="1"/>
          <w:color w:val="604F2B"/>
        </w:rPr>
      </w:pPr>
      <w:r>
        <w:rPr>
          <w:rFonts w:ascii="Arial" w:cs="Arial" w:eastAsia="Arial" w:hAnsi="Arial"/>
          <w:sz w:val="16"/>
          <w:szCs w:val="16"/>
          <w:color w:val="auto"/>
        </w:rPr>
        <w:t>To elect four Class I directors to serve until the 2024 Annual Meeting of Shareholders;</w:t>
      </w:r>
    </w:p>
    <w:p>
      <w:pPr>
        <w:spacing w:after="0" w:line="221" w:lineRule="exact"/>
        <w:rPr>
          <w:rFonts w:ascii="Arial" w:cs="Arial" w:eastAsia="Arial" w:hAnsi="Arial"/>
          <w:sz w:val="16"/>
          <w:szCs w:val="16"/>
          <w:i w:val="1"/>
          <w:iCs w:val="1"/>
          <w:color w:val="604F2B"/>
        </w:rPr>
      </w:pPr>
    </w:p>
    <w:p>
      <w:pPr>
        <w:ind w:left="440" w:hanging="324"/>
        <w:spacing w:after="0"/>
        <w:tabs>
          <w:tab w:leader="none" w:pos="440" w:val="left"/>
        </w:tabs>
        <w:numPr>
          <w:ilvl w:val="0"/>
          <w:numId w:val="4"/>
        </w:numPr>
        <w:rPr>
          <w:rFonts w:ascii="Arial" w:cs="Arial" w:eastAsia="Arial" w:hAnsi="Arial"/>
          <w:sz w:val="16"/>
          <w:szCs w:val="16"/>
          <w:i w:val="1"/>
          <w:iCs w:val="1"/>
          <w:color w:val="604F2B"/>
        </w:rPr>
      </w:pPr>
      <w:r>
        <w:rPr>
          <w:rFonts w:ascii="Arial" w:cs="Arial" w:eastAsia="Arial" w:hAnsi="Arial"/>
          <w:sz w:val="16"/>
          <w:szCs w:val="16"/>
          <w:color w:val="auto"/>
        </w:rPr>
        <w:t>To ratify the appointment of Ernst &amp; Young LLP as our independent registered public accounting firm for the fiscal year ending December 31, 2021;</w:t>
      </w:r>
    </w:p>
    <w:p>
      <w:pPr>
        <w:spacing w:after="0" w:line="221" w:lineRule="exact"/>
        <w:rPr>
          <w:rFonts w:ascii="Arial" w:cs="Arial" w:eastAsia="Arial" w:hAnsi="Arial"/>
          <w:sz w:val="16"/>
          <w:szCs w:val="16"/>
          <w:i w:val="1"/>
          <w:iCs w:val="1"/>
          <w:color w:val="604F2B"/>
        </w:rPr>
      </w:pPr>
    </w:p>
    <w:p>
      <w:pPr>
        <w:ind w:left="440" w:hanging="324"/>
        <w:spacing w:after="0"/>
        <w:tabs>
          <w:tab w:leader="none" w:pos="440" w:val="left"/>
        </w:tabs>
        <w:numPr>
          <w:ilvl w:val="0"/>
          <w:numId w:val="4"/>
        </w:numPr>
        <w:rPr>
          <w:rFonts w:ascii="Arial" w:cs="Arial" w:eastAsia="Arial" w:hAnsi="Arial"/>
          <w:sz w:val="16"/>
          <w:szCs w:val="16"/>
          <w:i w:val="1"/>
          <w:iCs w:val="1"/>
          <w:color w:val="604F2B"/>
        </w:rPr>
      </w:pPr>
      <w:r>
        <w:rPr>
          <w:rFonts w:ascii="Arial" w:cs="Arial" w:eastAsia="Arial" w:hAnsi="Arial"/>
          <w:sz w:val="16"/>
          <w:szCs w:val="16"/>
          <w:color w:val="auto"/>
        </w:rPr>
        <w:t>To approve, on a non-binding advisory basis, the compensation of our named executive officers as described in the Proxy Statement;</w:t>
      </w:r>
    </w:p>
    <w:p>
      <w:pPr>
        <w:spacing w:after="0" w:line="221" w:lineRule="exact"/>
        <w:rPr>
          <w:rFonts w:ascii="Arial" w:cs="Arial" w:eastAsia="Arial" w:hAnsi="Arial"/>
          <w:sz w:val="16"/>
          <w:szCs w:val="16"/>
          <w:i w:val="1"/>
          <w:iCs w:val="1"/>
          <w:color w:val="604F2B"/>
        </w:rPr>
      </w:pPr>
    </w:p>
    <w:p>
      <w:pPr>
        <w:ind w:left="440" w:hanging="324"/>
        <w:spacing w:after="0"/>
        <w:tabs>
          <w:tab w:leader="none" w:pos="440" w:val="left"/>
        </w:tabs>
        <w:numPr>
          <w:ilvl w:val="0"/>
          <w:numId w:val="4"/>
        </w:numPr>
        <w:rPr>
          <w:rFonts w:ascii="Arial" w:cs="Arial" w:eastAsia="Arial" w:hAnsi="Arial"/>
          <w:sz w:val="16"/>
          <w:szCs w:val="16"/>
          <w:i w:val="1"/>
          <w:iCs w:val="1"/>
          <w:color w:val="604F2B"/>
        </w:rPr>
      </w:pPr>
      <w:r>
        <w:rPr>
          <w:rFonts w:ascii="Arial" w:cs="Arial" w:eastAsia="Arial" w:hAnsi="Arial"/>
          <w:sz w:val="16"/>
          <w:szCs w:val="16"/>
          <w:color w:val="auto"/>
        </w:rPr>
        <w:t>To consider and transact such other business as may properly come before the Annual Meeting, or at any adjournments or postponements thereof.</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foregoing items of business are more fully described in the Proxy Statement accompanying this Notice. Only the Company’s shareholders of record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at the close of business on March 12, 2021, the record date fixed by the Board of Directors, are entitled to notice of, and to vote at, the Annual Meeting,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at any adjournments or postponements thereof. Only such shareholders, their proxy holders, and our invited guests may attend the Annual Meeting.</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NOTICE REGARDING AVAILABILITY OF PROXY MATERIALS</w:t>
      </w:r>
    </w:p>
    <w:p>
      <w:pPr>
        <w:spacing w:after="0" w:line="16"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This Proxy Statement and our Annual Report for the fiscal year ended December 31, 2020, are available at http://www.wynnresorts.com on the Company Information page under the “Annual Meeting” heading. On or about March 25, 2021, we mailed to our shareholders (other than those who previously requested electronic or paper delivery) a notice containing instructions on how to access our Annual Meeting materials (including the Proxy Statement and our Annual Report for the fiscal year ended December 31, 2020) and how to vote.</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PARTICIPATING IN THE VIRTUAL ANNUAL MEETING</w:t>
      </w:r>
    </w:p>
    <w:p>
      <w:pPr>
        <w:spacing w:after="0" w:line="16" w:lineRule="exact"/>
        <w:rPr>
          <w:sz w:val="20"/>
          <w:szCs w:val="20"/>
          <w:color w:val="auto"/>
        </w:rPr>
      </w:pPr>
    </w:p>
    <w:p>
      <w:pPr>
        <w:ind w:left="120" w:right="400"/>
        <w:spacing w:after="0" w:line="260" w:lineRule="auto"/>
        <w:rPr>
          <w:sz w:val="20"/>
          <w:szCs w:val="20"/>
          <w:color w:val="auto"/>
        </w:rPr>
      </w:pPr>
      <w:r>
        <w:rPr>
          <w:rFonts w:ascii="Arial" w:cs="Arial" w:eastAsia="Arial" w:hAnsi="Arial"/>
          <w:sz w:val="16"/>
          <w:szCs w:val="16"/>
          <w:color w:val="auto"/>
        </w:rPr>
        <w:t>To participate in the virtual Annual Meeting, visit http://www.virtualshareholdermeeting.com/WYNN2021, and log in using the 16-digit control number printed in the box marked by the arrow on your proxy card.</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YOUR VOTE IS IMPORTANT</w:t>
      </w:r>
    </w:p>
    <w:p>
      <w:pPr>
        <w:spacing w:after="0" w:line="16"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You are encouraged to read the attached Proxy Statement and then cast your vote as promptly as possible by following the instructions on the proxy card you receive. Even if you have given your proxy, you may still vote electronically during the virtual Annual Meeting by visiting http://www.virtualshareholdermeeting.com/WYNN2021, logging in using the 16-digit control number printed in the box marked by the arrow on your proxy card, clicking on the vote button on the screen and following the instructions provided. If your shares are held through an intermediary, such as a bank, broker or other nominee, unless you provide voting instructions to such person, your shares will not be voted on most matters being considered at the Annual Meeting and, therefore, it is especially important you return the proxy card with your vote.</w:t>
      </w:r>
    </w:p>
    <w:p>
      <w:pPr>
        <w:sectPr>
          <w:pgSz w:w="11900" w:h="16838" w:orient="portrait"/>
          <w:cols w:equalWidth="0" w:num="1">
            <w:col w:w="11080"/>
          </w:cols>
          <w:pgMar w:left="320" w:top="459" w:right="499" w:bottom="1440" w:gutter="0" w:footer="0" w:header="0"/>
        </w:sectPr>
      </w:pPr>
    </w:p>
    <w:p>
      <w:pPr>
        <w:spacing w:after="0" w:line="16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1757045" cy="240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57045" cy="24003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Ellen F. Whittemore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Las Vegas, Nevada</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2091690" cy="5054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91690" cy="505460"/>
                    </a:xfrm>
                    <a:prstGeom prst="rect">
                      <a:avLst/>
                    </a:prstGeom>
                    <a:noFill/>
                  </pic:spPr>
                </pic:pic>
              </a:graphicData>
            </a:graphic>
          </wp:anchor>
        </w:drawing>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FFFFFF"/>
        </w:rPr>
        <w:t>DATE AND TIME</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22"/>
          <w:szCs w:val="22"/>
          <w:color w:val="FFFFFF"/>
        </w:rPr>
        <w:t>May 5, 2021</w:t>
      </w:r>
    </w:p>
    <w:p>
      <w:pPr>
        <w:ind w:left="300"/>
        <w:spacing w:after="0"/>
        <w:rPr>
          <w:sz w:val="20"/>
          <w:szCs w:val="20"/>
          <w:color w:val="auto"/>
        </w:rPr>
      </w:pPr>
      <w:r>
        <w:rPr>
          <w:rFonts w:ascii="Arial" w:cs="Arial" w:eastAsia="Arial" w:hAnsi="Arial"/>
          <w:sz w:val="22"/>
          <w:szCs w:val="22"/>
          <w:color w:val="FFFFFF"/>
        </w:rPr>
        <w:t>9:00 am PT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FFFFFF"/>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-153035</wp:posOffset>
            </wp:positionV>
            <wp:extent cx="4749165" cy="5054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749165" cy="5054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FFFFFF"/>
        </w:rPr>
        <w:t>Virtual meeting conducted via live webcast accessed at this website: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FFFFFF"/>
        </w:rPr>
        <w:t>http://www.virtualshareholdermeeting.com/WYNN2021</w:t>
      </w:r>
    </w:p>
    <w:p>
      <w:pPr>
        <w:spacing w:after="0" w:line="280" w:lineRule="exact"/>
        <w:rPr>
          <w:sz w:val="20"/>
          <w:szCs w:val="20"/>
          <w:color w:val="auto"/>
        </w:rPr>
      </w:pPr>
    </w:p>
    <w:p>
      <w:pPr>
        <w:sectPr>
          <w:pgSz w:w="11900" w:h="16838" w:orient="portrait"/>
          <w:cols w:equalWidth="0" w:num="2">
            <w:col w:w="3140" w:space="720"/>
            <w:col w:w="7220"/>
          </w:cols>
          <w:pgMar w:left="320" w:top="459" w:right="499" w:bottom="1440" w:gutter="0" w:footer="0" w:header="0"/>
          <w:type w:val="continuous"/>
        </w:sectPr>
      </w:pPr>
    </w:p>
    <w:p>
      <w:pPr>
        <w:spacing w:after="0" w:line="176"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This Proxy Statement and our 2020 Annual Report on Form 10-K are available at http://www.wynnresorts.com on the Company Information page under the “Annual Meeting” heading.</w:t>
      </w:r>
    </w:p>
    <w:p>
      <w:pPr>
        <w:sectPr>
          <w:pgSz w:w="11900" w:h="16838" w:orient="portrait"/>
          <w:cols w:equalWidth="0" w:num="1">
            <w:col w:w="11080"/>
          </w:cols>
          <w:pgMar w:left="320" w:top="459"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72"/>
          <w:szCs w:val="72"/>
          <w:color w:val="auto"/>
        </w:rPr>
        <w:t>Table</w:t>
      </w:r>
    </w:p>
    <w:p>
      <w:pPr>
        <w:spacing w:after="0" w:line="73" w:lineRule="exact"/>
        <w:rPr>
          <w:sz w:val="20"/>
          <w:szCs w:val="20"/>
          <w:color w:val="auto"/>
        </w:rPr>
      </w:pPr>
    </w:p>
    <w:p>
      <w:pPr>
        <w:jc w:val="center"/>
        <w:ind w:right="-159"/>
        <w:spacing w:after="0"/>
        <w:rPr>
          <w:sz w:val="20"/>
          <w:szCs w:val="20"/>
          <w:color w:val="auto"/>
        </w:rPr>
      </w:pPr>
      <w:r>
        <w:rPr>
          <w:rFonts w:ascii="Arial" w:cs="Arial" w:eastAsia="Arial" w:hAnsi="Arial"/>
          <w:sz w:val="72"/>
          <w:szCs w:val="72"/>
          <w:i w:val="1"/>
          <w:i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72"/>
          <w:szCs w:val="72"/>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3420" w:type="dxa"/>
        <w:tblCellMar>
          <w:top w:w="0" w:type="dxa"/>
          <w:left w:w="0" w:type="dxa"/>
          <w:bottom w:w="0" w:type="dxa"/>
          <w:right w:w="0" w:type="dxa"/>
        </w:tblCellMar>
      </w:tblPr>
      <w:tr>
        <w:trPr>
          <w:trHeight w:val="149"/>
        </w:trPr>
        <w:tc>
          <w:tcPr>
            <w:tcW w:w="2860" w:type="dxa"/>
            <w:vAlign w:val="bottom"/>
            <w:tcBorders>
              <w:bottom w:val="single" w:sz="8" w:color="0000EE"/>
            </w:tcBorders>
            <w:gridSpan w:val="13"/>
          </w:tcPr>
          <w:p>
            <w:pPr>
              <w:spacing w:after="0"/>
              <w:rPr>
                <w:rFonts w:ascii="Arial" w:cs="Arial" w:eastAsia="Arial" w:hAnsi="Arial"/>
                <w:sz w:val="13"/>
                <w:szCs w:val="13"/>
                <w:b w:val="1"/>
                <w:bCs w:val="1"/>
                <w:color w:val="0000EE"/>
                <w:w w:val="96"/>
              </w:rPr>
            </w:pPr>
            <w:hyperlink w:anchor="page11">
              <w:r>
                <w:rPr>
                  <w:rFonts w:ascii="Arial" w:cs="Arial" w:eastAsia="Arial" w:hAnsi="Arial"/>
                  <w:sz w:val="13"/>
                  <w:szCs w:val="13"/>
                  <w:b w:val="1"/>
                  <w:bCs w:val="1"/>
                  <w:color w:val="0000EE"/>
                  <w:w w:val="96"/>
                </w:rPr>
                <w:t>OUR BOARD AND CORPORATE GOVERNANCE</w:t>
              </w:r>
            </w:hyperlink>
          </w:p>
        </w:tc>
        <w:tc>
          <w:tcPr>
            <w:tcW w:w="2480" w:type="dxa"/>
            <w:vAlign w:val="bottom"/>
            <w:gridSpan w:val="3"/>
          </w:tcPr>
          <w:p>
            <w:pPr>
              <w:spacing w:after="0"/>
              <w:rPr>
                <w:sz w:val="12"/>
                <w:szCs w:val="12"/>
                <w:color w:val="auto"/>
              </w:rPr>
            </w:pPr>
          </w:p>
        </w:tc>
        <w:tc>
          <w:tcPr>
            <w:tcW w:w="2320" w:type="dxa"/>
            <w:vAlign w:val="bottom"/>
            <w:vMerge w:val="restart"/>
          </w:tcPr>
          <w:p>
            <w:pPr>
              <w:jc w:val="right"/>
              <w:spacing w:after="0"/>
              <w:rPr>
                <w:sz w:val="20"/>
                <w:szCs w:val="20"/>
                <w:color w:val="auto"/>
              </w:rPr>
            </w:pPr>
            <w:r>
              <w:rPr>
                <w:rFonts w:ascii="Arial" w:cs="Arial" w:eastAsia="Arial" w:hAnsi="Arial"/>
                <w:sz w:val="16"/>
                <w:szCs w:val="16"/>
                <w:color w:val="333D3F"/>
              </w:rPr>
              <w:t>1</w:t>
            </w:r>
          </w:p>
        </w:tc>
        <w:tc>
          <w:tcPr>
            <w:tcW w:w="0" w:type="dxa"/>
            <w:vAlign w:val="bottom"/>
          </w:tcPr>
          <w:p>
            <w:pPr>
              <w:spacing w:after="0"/>
              <w:rPr>
                <w:sz w:val="1"/>
                <w:szCs w:val="1"/>
                <w:color w:val="auto"/>
              </w:rPr>
            </w:pPr>
          </w:p>
        </w:tc>
      </w:tr>
      <w:tr>
        <w:trPr>
          <w:trHeight w:val="155"/>
        </w:trPr>
        <w:tc>
          <w:tcPr>
            <w:tcW w:w="5340" w:type="dxa"/>
            <w:vAlign w:val="bottom"/>
            <w:gridSpan w:val="16"/>
          </w:tcPr>
          <w:p>
            <w:pPr>
              <w:spacing w:after="0" w:line="155" w:lineRule="exact"/>
              <w:rPr>
                <w:rFonts w:ascii="Arial" w:cs="Arial" w:eastAsia="Arial" w:hAnsi="Arial"/>
                <w:sz w:val="16"/>
                <w:szCs w:val="16"/>
                <w:color w:val="0000EE"/>
              </w:rPr>
            </w:pPr>
            <w:hyperlink w:anchor="page12">
              <w:r>
                <w:rPr>
                  <w:rFonts w:ascii="Arial" w:cs="Arial" w:eastAsia="Arial" w:hAnsi="Arial"/>
                  <w:sz w:val="16"/>
                  <w:szCs w:val="16"/>
                  <w:color w:val="0000EE"/>
                </w:rPr>
                <w:t>Board Composition and Diversity</w:t>
              </w:r>
            </w:hyperlink>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60" w:type="dxa"/>
            <w:vAlign w:val="bottom"/>
            <w:tcBorders>
              <w:top w:val="single" w:sz="8" w:color="0000EE"/>
            </w:tcBorders>
            <w:gridSpan w:val="11"/>
          </w:tcPr>
          <w:p>
            <w:pPr>
              <w:spacing w:after="0" w:line="169" w:lineRule="exact"/>
              <w:rPr>
                <w:rFonts w:ascii="Arial" w:cs="Arial" w:eastAsia="Arial" w:hAnsi="Arial"/>
                <w:sz w:val="16"/>
                <w:szCs w:val="16"/>
                <w:color w:val="0000EE"/>
              </w:rPr>
            </w:pPr>
            <w:hyperlink w:anchor="page13">
              <w:r>
                <w:rPr>
                  <w:rFonts w:ascii="Arial" w:cs="Arial" w:eastAsia="Arial" w:hAnsi="Arial"/>
                  <w:sz w:val="16"/>
                  <w:szCs w:val="16"/>
                  <w:color w:val="0000EE"/>
                </w:rPr>
                <w:t>Director Skills and Experience</w:t>
              </w:r>
            </w:hyperlink>
          </w:p>
        </w:tc>
        <w:tc>
          <w:tcPr>
            <w:tcW w:w="2980" w:type="dxa"/>
            <w:vAlign w:val="bottom"/>
            <w:gridSpan w:val="5"/>
          </w:tcPr>
          <w:p>
            <w:pPr>
              <w:spacing w:after="0"/>
              <w:rPr>
                <w:sz w:val="14"/>
                <w:szCs w:val="14"/>
                <w:color w:val="auto"/>
              </w:rPr>
            </w:pPr>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2</w:t>
            </w:r>
          </w:p>
        </w:tc>
        <w:tc>
          <w:tcPr>
            <w:tcW w:w="0" w:type="dxa"/>
            <w:vAlign w:val="bottom"/>
          </w:tcPr>
          <w:p>
            <w:pPr>
              <w:spacing w:after="0"/>
              <w:rPr>
                <w:sz w:val="1"/>
                <w:szCs w:val="1"/>
                <w:color w:val="auto"/>
              </w:rPr>
            </w:pPr>
          </w:p>
        </w:tc>
      </w:tr>
      <w:tr>
        <w:trPr>
          <w:trHeight w:val="169"/>
        </w:trPr>
        <w:tc>
          <w:tcPr>
            <w:tcW w:w="1480" w:type="dxa"/>
            <w:vAlign w:val="bottom"/>
            <w:tcBorders>
              <w:top w:val="single" w:sz="8" w:color="0000EE"/>
              <w:bottom w:val="single" w:sz="8" w:color="0000EE"/>
            </w:tcBorders>
            <w:gridSpan w:val="5"/>
          </w:tcPr>
          <w:p>
            <w:pPr>
              <w:spacing w:after="0" w:line="169" w:lineRule="exact"/>
              <w:rPr>
                <w:rFonts w:ascii="Arial" w:cs="Arial" w:eastAsia="Arial" w:hAnsi="Arial"/>
                <w:sz w:val="16"/>
                <w:szCs w:val="16"/>
                <w:color w:val="0000EE"/>
              </w:rPr>
            </w:pPr>
            <w:hyperlink w:anchor="page14">
              <w:r>
                <w:rPr>
                  <w:rFonts w:ascii="Arial" w:cs="Arial" w:eastAsia="Arial" w:hAnsi="Arial"/>
                  <w:sz w:val="16"/>
                  <w:szCs w:val="16"/>
                  <w:color w:val="0000EE"/>
                </w:rPr>
                <w:t>Director Biographies</w:t>
              </w:r>
            </w:hyperlink>
          </w:p>
        </w:tc>
        <w:tc>
          <w:tcPr>
            <w:tcW w:w="680" w:type="dxa"/>
            <w:vAlign w:val="bottom"/>
            <w:tcBorders>
              <w:top w:val="single" w:sz="8" w:color="0000EE"/>
            </w:tcBorders>
            <w:gridSpan w:val="4"/>
          </w:tcPr>
          <w:p>
            <w:pPr>
              <w:spacing w:after="0"/>
              <w:rPr>
                <w:sz w:val="14"/>
                <w:szCs w:val="14"/>
                <w:color w:val="auto"/>
              </w:rPr>
            </w:pPr>
          </w:p>
        </w:tc>
        <w:tc>
          <w:tcPr>
            <w:tcW w:w="3180" w:type="dxa"/>
            <w:vAlign w:val="bottom"/>
            <w:gridSpan w:val="7"/>
          </w:tcPr>
          <w:p>
            <w:pPr>
              <w:spacing w:after="0"/>
              <w:rPr>
                <w:sz w:val="14"/>
                <w:szCs w:val="14"/>
                <w:color w:val="auto"/>
              </w:rPr>
            </w:pPr>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3</w:t>
            </w:r>
          </w:p>
        </w:tc>
        <w:tc>
          <w:tcPr>
            <w:tcW w:w="0" w:type="dxa"/>
            <w:vAlign w:val="bottom"/>
          </w:tcPr>
          <w:p>
            <w:pPr>
              <w:spacing w:after="0"/>
              <w:rPr>
                <w:sz w:val="1"/>
                <w:szCs w:val="1"/>
                <w:color w:val="auto"/>
              </w:rPr>
            </w:pPr>
          </w:p>
        </w:tc>
      </w:tr>
      <w:tr>
        <w:trPr>
          <w:trHeight w:val="169"/>
        </w:trPr>
        <w:tc>
          <w:tcPr>
            <w:tcW w:w="288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w:anchor="page21">
              <w:r>
                <w:rPr>
                  <w:rFonts w:ascii="Arial" w:cs="Arial" w:eastAsia="Arial" w:hAnsi="Arial"/>
                  <w:sz w:val="16"/>
                  <w:szCs w:val="16"/>
                  <w:color w:val="0000EE"/>
                </w:rPr>
                <w:t>Why Our Board Governance is Effective</w:t>
              </w:r>
            </w:hyperlink>
          </w:p>
        </w:tc>
        <w:tc>
          <w:tcPr>
            <w:tcW w:w="2460" w:type="dxa"/>
            <w:vAlign w:val="bottom"/>
            <w:gridSpan w:val="2"/>
          </w:tcPr>
          <w:p>
            <w:pPr>
              <w:spacing w:after="0"/>
              <w:rPr>
                <w:sz w:val="14"/>
                <w:szCs w:val="14"/>
                <w:color w:val="auto"/>
              </w:rPr>
            </w:pPr>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10</w:t>
            </w:r>
          </w:p>
        </w:tc>
        <w:tc>
          <w:tcPr>
            <w:tcW w:w="0" w:type="dxa"/>
            <w:vAlign w:val="bottom"/>
          </w:tcPr>
          <w:p>
            <w:pPr>
              <w:spacing w:after="0"/>
              <w:rPr>
                <w:sz w:val="1"/>
                <w:szCs w:val="1"/>
                <w:color w:val="auto"/>
              </w:rPr>
            </w:pPr>
          </w:p>
        </w:tc>
      </w:tr>
      <w:tr>
        <w:trPr>
          <w:trHeight w:val="169"/>
        </w:trPr>
        <w:tc>
          <w:tcPr>
            <w:tcW w:w="5340" w:type="dxa"/>
            <w:vAlign w:val="bottom"/>
            <w:gridSpan w:val="16"/>
          </w:tcPr>
          <w:p>
            <w:pPr>
              <w:spacing w:after="0" w:line="169" w:lineRule="exact"/>
              <w:rPr>
                <w:rFonts w:ascii="Arial" w:cs="Arial" w:eastAsia="Arial" w:hAnsi="Arial"/>
                <w:sz w:val="16"/>
                <w:szCs w:val="16"/>
                <w:color w:val="0000EE"/>
              </w:rPr>
            </w:pPr>
            <w:hyperlink w:anchor="page21">
              <w:r>
                <w:rPr>
                  <w:rFonts w:ascii="Arial" w:cs="Arial" w:eastAsia="Arial" w:hAnsi="Arial"/>
                  <w:sz w:val="16"/>
                  <w:szCs w:val="16"/>
                  <w:color w:val="0000EE"/>
                </w:rPr>
                <w:t>Board Committees</w:t>
              </w:r>
            </w:hyperlink>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10</w:t>
            </w:r>
          </w:p>
        </w:tc>
        <w:tc>
          <w:tcPr>
            <w:tcW w:w="0" w:type="dxa"/>
            <w:vAlign w:val="bottom"/>
          </w:tcPr>
          <w:p>
            <w:pPr>
              <w:spacing w:after="0"/>
              <w:rPr>
                <w:sz w:val="1"/>
                <w:szCs w:val="1"/>
                <w:color w:val="auto"/>
              </w:rPr>
            </w:pPr>
          </w:p>
        </w:tc>
      </w:tr>
      <w:tr>
        <w:trPr>
          <w:trHeight w:val="20"/>
        </w:trPr>
        <w:tc>
          <w:tcPr>
            <w:tcW w:w="8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gridSpan w:val="16"/>
          </w:tcPr>
          <w:p>
            <w:pPr>
              <w:spacing w:after="0" w:line="169" w:lineRule="exact"/>
              <w:rPr>
                <w:rFonts w:ascii="Arial" w:cs="Arial" w:eastAsia="Arial" w:hAnsi="Arial"/>
                <w:sz w:val="16"/>
                <w:szCs w:val="16"/>
                <w:color w:val="0000EE"/>
              </w:rPr>
            </w:pPr>
            <w:hyperlink w:anchor="page25">
              <w:r>
                <w:rPr>
                  <w:rFonts w:ascii="Arial" w:cs="Arial" w:eastAsia="Arial" w:hAnsi="Arial"/>
                  <w:sz w:val="16"/>
                  <w:szCs w:val="16"/>
                  <w:color w:val="0000EE"/>
                </w:rPr>
                <w:t>Board Role in Risk Oversight</w:t>
              </w:r>
            </w:hyperlink>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14</w:t>
            </w:r>
          </w:p>
        </w:tc>
        <w:tc>
          <w:tcPr>
            <w:tcW w:w="0" w:type="dxa"/>
            <w:vAlign w:val="bottom"/>
          </w:tcPr>
          <w:p>
            <w:pPr>
              <w:spacing w:after="0"/>
              <w:rPr>
                <w:sz w:val="1"/>
                <w:szCs w:val="1"/>
                <w:color w:val="auto"/>
              </w:rPr>
            </w:pPr>
          </w:p>
        </w:tc>
      </w:tr>
      <w:tr>
        <w:trPr>
          <w:trHeight w:val="20"/>
        </w:trPr>
        <w:tc>
          <w:tcPr>
            <w:tcW w:w="8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gridSpan w:val="16"/>
          </w:tcPr>
          <w:p>
            <w:pPr>
              <w:spacing w:after="0" w:line="169" w:lineRule="exact"/>
              <w:rPr>
                <w:rFonts w:ascii="Arial" w:cs="Arial" w:eastAsia="Arial" w:hAnsi="Arial"/>
                <w:sz w:val="16"/>
                <w:szCs w:val="16"/>
                <w:color w:val="0000EE"/>
              </w:rPr>
            </w:pPr>
            <w:hyperlink w:anchor="page26">
              <w:r>
                <w:rPr>
                  <w:rFonts w:ascii="Arial" w:cs="Arial" w:eastAsia="Arial" w:hAnsi="Arial"/>
                  <w:sz w:val="16"/>
                  <w:szCs w:val="16"/>
                  <w:color w:val="0000EE"/>
                </w:rPr>
                <w:t>Board Meetings/Annual Meeting</w:t>
              </w:r>
            </w:hyperlink>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15</w:t>
            </w:r>
          </w:p>
        </w:tc>
        <w:tc>
          <w:tcPr>
            <w:tcW w:w="0" w:type="dxa"/>
            <w:vAlign w:val="bottom"/>
          </w:tcPr>
          <w:p>
            <w:pPr>
              <w:spacing w:after="0"/>
              <w:rPr>
                <w:sz w:val="1"/>
                <w:szCs w:val="1"/>
                <w:color w:val="auto"/>
              </w:rPr>
            </w:pPr>
          </w:p>
        </w:tc>
      </w:tr>
      <w:tr>
        <w:trPr>
          <w:trHeight w:val="20"/>
        </w:trPr>
        <w:tc>
          <w:tcPr>
            <w:tcW w:w="8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gridSpan w:val="16"/>
          </w:tcPr>
          <w:p>
            <w:pPr>
              <w:spacing w:after="0" w:line="169" w:lineRule="exact"/>
              <w:rPr>
                <w:rFonts w:ascii="Arial" w:cs="Arial" w:eastAsia="Arial" w:hAnsi="Arial"/>
                <w:sz w:val="16"/>
                <w:szCs w:val="16"/>
                <w:color w:val="0000EE"/>
              </w:rPr>
            </w:pPr>
            <w:hyperlink w:anchor="page26">
              <w:r>
                <w:rPr>
                  <w:rFonts w:ascii="Arial" w:cs="Arial" w:eastAsia="Arial" w:hAnsi="Arial"/>
                  <w:sz w:val="16"/>
                  <w:szCs w:val="16"/>
                  <w:color w:val="0000EE"/>
                </w:rPr>
                <w:t>Board Communication and Engagement</w:t>
              </w:r>
            </w:hyperlink>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15</w:t>
            </w:r>
          </w:p>
        </w:tc>
        <w:tc>
          <w:tcPr>
            <w:tcW w:w="0" w:type="dxa"/>
            <w:vAlign w:val="bottom"/>
          </w:tcPr>
          <w:p>
            <w:pPr>
              <w:spacing w:after="0"/>
              <w:rPr>
                <w:sz w:val="1"/>
                <w:szCs w:val="1"/>
                <w:color w:val="auto"/>
              </w:rPr>
            </w:pPr>
          </w:p>
        </w:tc>
      </w:tr>
      <w:tr>
        <w:trPr>
          <w:trHeight w:val="169"/>
        </w:trPr>
        <w:tc>
          <w:tcPr>
            <w:tcW w:w="2880" w:type="dxa"/>
            <w:vAlign w:val="bottom"/>
            <w:tcBorders>
              <w:top w:val="single" w:sz="8" w:color="0000EE"/>
            </w:tcBorders>
            <w:gridSpan w:val="14"/>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Shareholder Engagement</w:t>
              </w:r>
            </w:hyperlink>
          </w:p>
        </w:tc>
        <w:tc>
          <w:tcPr>
            <w:tcW w:w="2460" w:type="dxa"/>
            <w:vAlign w:val="bottom"/>
            <w:gridSpan w:val="2"/>
          </w:tcPr>
          <w:p>
            <w:pPr>
              <w:spacing w:after="0"/>
              <w:rPr>
                <w:sz w:val="14"/>
                <w:szCs w:val="14"/>
                <w:color w:val="auto"/>
              </w:rPr>
            </w:pPr>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16</w:t>
            </w:r>
          </w:p>
        </w:tc>
        <w:tc>
          <w:tcPr>
            <w:tcW w:w="0" w:type="dxa"/>
            <w:vAlign w:val="bottom"/>
          </w:tcPr>
          <w:p>
            <w:pPr>
              <w:spacing w:after="0"/>
              <w:rPr>
                <w:sz w:val="1"/>
                <w:szCs w:val="1"/>
                <w:color w:val="auto"/>
              </w:rPr>
            </w:pPr>
          </w:p>
        </w:tc>
      </w:tr>
      <w:tr>
        <w:trPr>
          <w:trHeight w:val="169"/>
        </w:trPr>
        <w:tc>
          <w:tcPr>
            <w:tcW w:w="1840" w:type="dxa"/>
            <w:vAlign w:val="bottom"/>
            <w:tcBorders>
              <w:top w:val="single" w:sz="8" w:color="0000EE"/>
            </w:tcBorders>
            <w:gridSpan w:val="7"/>
          </w:tcPr>
          <w:p>
            <w:pPr>
              <w:spacing w:after="0" w:line="169" w:lineRule="exact"/>
              <w:rPr>
                <w:rFonts w:ascii="Arial" w:cs="Arial" w:eastAsia="Arial" w:hAnsi="Arial"/>
                <w:sz w:val="16"/>
                <w:szCs w:val="16"/>
                <w:color w:val="0000EE"/>
              </w:rPr>
            </w:pPr>
            <w:hyperlink w:anchor="page27">
              <w:r>
                <w:rPr>
                  <w:rFonts w:ascii="Arial" w:cs="Arial" w:eastAsia="Arial" w:hAnsi="Arial"/>
                  <w:sz w:val="16"/>
                  <w:szCs w:val="16"/>
                  <w:color w:val="0000EE"/>
                </w:rPr>
                <w:t>Board Compensation</w:t>
              </w:r>
            </w:hyperlink>
          </w:p>
        </w:tc>
        <w:tc>
          <w:tcPr>
            <w:tcW w:w="3500" w:type="dxa"/>
            <w:vAlign w:val="bottom"/>
            <w:gridSpan w:val="9"/>
          </w:tcPr>
          <w:p>
            <w:pPr>
              <w:spacing w:after="0"/>
              <w:rPr>
                <w:sz w:val="14"/>
                <w:szCs w:val="14"/>
                <w:color w:val="auto"/>
              </w:rPr>
            </w:pPr>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16</w:t>
            </w:r>
          </w:p>
        </w:tc>
        <w:tc>
          <w:tcPr>
            <w:tcW w:w="0" w:type="dxa"/>
            <w:vAlign w:val="bottom"/>
          </w:tcPr>
          <w:p>
            <w:pPr>
              <w:spacing w:after="0"/>
              <w:rPr>
                <w:sz w:val="1"/>
                <w:szCs w:val="1"/>
                <w:color w:val="auto"/>
              </w:rPr>
            </w:pPr>
          </w:p>
        </w:tc>
      </w:tr>
      <w:tr>
        <w:trPr>
          <w:trHeight w:val="20"/>
        </w:trPr>
        <w:tc>
          <w:tcPr>
            <w:tcW w:w="8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gridSpan w:val="16"/>
          </w:tcPr>
          <w:p>
            <w:pPr>
              <w:spacing w:after="0" w:line="169" w:lineRule="exact"/>
              <w:rPr>
                <w:rFonts w:ascii="Arial" w:cs="Arial" w:eastAsia="Arial" w:hAnsi="Arial"/>
                <w:sz w:val="16"/>
                <w:szCs w:val="16"/>
                <w:color w:val="0000EE"/>
              </w:rPr>
            </w:pPr>
            <w:hyperlink w:anchor="page28">
              <w:r>
                <w:rPr>
                  <w:rFonts w:ascii="Arial" w:cs="Arial" w:eastAsia="Arial" w:hAnsi="Arial"/>
                  <w:sz w:val="16"/>
                  <w:szCs w:val="16"/>
                  <w:color w:val="0000EE"/>
                </w:rPr>
                <w:t>Non-Employee Director Compensation Table</w:t>
              </w:r>
            </w:hyperlink>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17</w:t>
            </w:r>
          </w:p>
        </w:tc>
        <w:tc>
          <w:tcPr>
            <w:tcW w:w="0" w:type="dxa"/>
            <w:vAlign w:val="bottom"/>
          </w:tcPr>
          <w:p>
            <w:pPr>
              <w:spacing w:after="0"/>
              <w:rPr>
                <w:sz w:val="1"/>
                <w:szCs w:val="1"/>
                <w:color w:val="auto"/>
              </w:rPr>
            </w:pPr>
          </w:p>
        </w:tc>
      </w:tr>
      <w:tr>
        <w:trPr>
          <w:trHeight w:val="668"/>
        </w:trPr>
        <w:tc>
          <w:tcPr>
            <w:tcW w:w="2420" w:type="dxa"/>
            <w:vAlign w:val="bottom"/>
            <w:tcBorders>
              <w:top w:val="single" w:sz="8" w:color="0000EE"/>
              <w:bottom w:val="single" w:sz="8" w:color="0000EE"/>
            </w:tcBorders>
            <w:gridSpan w:val="12"/>
          </w:tcPr>
          <w:p>
            <w:pPr>
              <w:spacing w:after="0"/>
              <w:rPr>
                <w:rFonts w:ascii="Arial" w:cs="Arial" w:eastAsia="Arial" w:hAnsi="Arial"/>
                <w:sz w:val="13"/>
                <w:szCs w:val="13"/>
                <w:b w:val="1"/>
                <w:bCs w:val="1"/>
                <w:color w:val="0000EE"/>
                <w:w w:val="96"/>
              </w:rPr>
            </w:pPr>
            <w:hyperlink w:anchor="page31">
              <w:r>
                <w:rPr>
                  <w:rFonts w:ascii="Arial" w:cs="Arial" w:eastAsia="Arial" w:hAnsi="Arial"/>
                  <w:sz w:val="13"/>
                  <w:szCs w:val="13"/>
                  <w:b w:val="1"/>
                  <w:bCs w:val="1"/>
                  <w:color w:val="0000EE"/>
                  <w:w w:val="96"/>
                </w:rPr>
                <w:t>OUR PEOPLE AND OUR STEWARDSHIP</w:t>
              </w:r>
            </w:hyperlink>
          </w:p>
        </w:tc>
        <w:tc>
          <w:tcPr>
            <w:tcW w:w="780" w:type="dxa"/>
            <w:vAlign w:val="bottom"/>
            <w:tcBorders>
              <w:top w:val="single" w:sz="8" w:color="0000EE"/>
            </w:tcBorders>
            <w:gridSpan w:val="3"/>
          </w:tcPr>
          <w:p>
            <w:pPr>
              <w:spacing w:after="0"/>
              <w:rPr>
                <w:sz w:val="24"/>
                <w:szCs w:val="24"/>
                <w:color w:val="auto"/>
              </w:rPr>
            </w:pPr>
          </w:p>
        </w:tc>
        <w:tc>
          <w:tcPr>
            <w:tcW w:w="2140" w:type="dxa"/>
            <w:vAlign w:val="bottom"/>
          </w:tcPr>
          <w:p>
            <w:pPr>
              <w:spacing w:after="0"/>
              <w:rPr>
                <w:sz w:val="24"/>
                <w:szCs w:val="24"/>
                <w:color w:val="auto"/>
              </w:rPr>
            </w:pPr>
          </w:p>
        </w:tc>
        <w:tc>
          <w:tcPr>
            <w:tcW w:w="2320" w:type="dxa"/>
            <w:vAlign w:val="bottom"/>
            <w:vMerge w:val="restart"/>
          </w:tcPr>
          <w:p>
            <w:pPr>
              <w:jc w:val="right"/>
              <w:spacing w:after="0"/>
              <w:rPr>
                <w:sz w:val="20"/>
                <w:szCs w:val="20"/>
                <w:color w:val="auto"/>
              </w:rPr>
            </w:pPr>
            <w:r>
              <w:rPr>
                <w:rFonts w:ascii="Arial" w:cs="Arial" w:eastAsia="Arial" w:hAnsi="Arial"/>
                <w:sz w:val="16"/>
                <w:szCs w:val="16"/>
                <w:color w:val="333D3F"/>
              </w:rPr>
              <w:t>21</w:t>
            </w:r>
          </w:p>
        </w:tc>
        <w:tc>
          <w:tcPr>
            <w:tcW w:w="0" w:type="dxa"/>
            <w:vAlign w:val="bottom"/>
          </w:tcPr>
          <w:p>
            <w:pPr>
              <w:spacing w:after="0"/>
              <w:rPr>
                <w:sz w:val="1"/>
                <w:szCs w:val="1"/>
                <w:color w:val="auto"/>
              </w:rPr>
            </w:pPr>
          </w:p>
        </w:tc>
      </w:tr>
      <w:tr>
        <w:trPr>
          <w:trHeight w:val="155"/>
        </w:trPr>
        <w:tc>
          <w:tcPr>
            <w:tcW w:w="5340" w:type="dxa"/>
            <w:vAlign w:val="bottom"/>
            <w:gridSpan w:val="16"/>
          </w:tcPr>
          <w:p>
            <w:pPr>
              <w:spacing w:after="0" w:line="155" w:lineRule="exact"/>
              <w:rPr>
                <w:rFonts w:ascii="Arial" w:cs="Arial" w:eastAsia="Arial" w:hAnsi="Arial"/>
                <w:sz w:val="16"/>
                <w:szCs w:val="16"/>
                <w:color w:val="0000EE"/>
              </w:rPr>
            </w:pPr>
            <w:hyperlink w:anchor="page32">
              <w:r>
                <w:rPr>
                  <w:rFonts w:ascii="Arial" w:cs="Arial" w:eastAsia="Arial" w:hAnsi="Arial"/>
                  <w:sz w:val="16"/>
                  <w:szCs w:val="16"/>
                  <w:color w:val="0000EE"/>
                </w:rPr>
                <w:t>Introduction</w:t>
              </w:r>
            </w:hyperlink>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Borders>
              <w:top w:val="single" w:sz="8" w:color="0000EE"/>
            </w:tcBorders>
            <w:gridSpan w:val="2"/>
          </w:tcPr>
          <w:p>
            <w:pPr>
              <w:spacing w:after="0" w:line="169" w:lineRule="exact"/>
              <w:rPr>
                <w:rFonts w:ascii="Arial" w:cs="Arial" w:eastAsia="Arial" w:hAnsi="Arial"/>
                <w:sz w:val="16"/>
                <w:szCs w:val="16"/>
                <w:color w:val="0000EE"/>
              </w:rPr>
            </w:pPr>
            <w:hyperlink w:anchor="page33">
              <w:r>
                <w:rPr>
                  <w:rFonts w:ascii="Arial" w:cs="Arial" w:eastAsia="Arial" w:hAnsi="Arial"/>
                  <w:sz w:val="16"/>
                  <w:szCs w:val="16"/>
                  <w:color w:val="0000EE"/>
                </w:rPr>
                <w:t>Our People</w:t>
              </w:r>
            </w:hyperlink>
          </w:p>
        </w:tc>
        <w:tc>
          <w:tcPr>
            <w:tcW w:w="4500" w:type="dxa"/>
            <w:vAlign w:val="bottom"/>
            <w:gridSpan w:val="14"/>
          </w:tcPr>
          <w:p>
            <w:pPr>
              <w:spacing w:after="0"/>
              <w:rPr>
                <w:sz w:val="14"/>
                <w:szCs w:val="14"/>
                <w:color w:val="auto"/>
              </w:rPr>
            </w:pPr>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22</w:t>
            </w:r>
          </w:p>
        </w:tc>
        <w:tc>
          <w:tcPr>
            <w:tcW w:w="0" w:type="dxa"/>
            <w:vAlign w:val="bottom"/>
          </w:tcPr>
          <w:p>
            <w:pPr>
              <w:spacing w:after="0"/>
              <w:rPr>
                <w:sz w:val="1"/>
                <w:szCs w:val="1"/>
                <w:color w:val="auto"/>
              </w:rPr>
            </w:pPr>
          </w:p>
        </w:tc>
      </w:tr>
      <w:tr>
        <w:trPr>
          <w:trHeight w:val="20"/>
        </w:trPr>
        <w:tc>
          <w:tcPr>
            <w:tcW w:w="8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0" w:type="dxa"/>
            <w:vAlign w:val="bottom"/>
            <w:gridSpan w:val="1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40" w:type="dxa"/>
            <w:vAlign w:val="bottom"/>
            <w:gridSpan w:val="16"/>
          </w:tcPr>
          <w:p>
            <w:pPr>
              <w:spacing w:after="0" w:line="169" w:lineRule="exact"/>
              <w:rPr>
                <w:rFonts w:ascii="Arial" w:cs="Arial" w:eastAsia="Arial" w:hAnsi="Arial"/>
                <w:sz w:val="16"/>
                <w:szCs w:val="16"/>
                <w:color w:val="0000EE"/>
              </w:rPr>
            </w:pPr>
            <w:hyperlink w:anchor="page35">
              <w:r>
                <w:rPr>
                  <w:rFonts w:ascii="Arial" w:cs="Arial" w:eastAsia="Arial" w:hAnsi="Arial"/>
                  <w:sz w:val="16"/>
                  <w:szCs w:val="16"/>
                  <w:color w:val="0000EE"/>
                </w:rPr>
                <w:t>Our Communities</w:t>
              </w:r>
            </w:hyperlink>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24</w:t>
            </w:r>
          </w:p>
        </w:tc>
        <w:tc>
          <w:tcPr>
            <w:tcW w:w="0" w:type="dxa"/>
            <w:vAlign w:val="bottom"/>
          </w:tcPr>
          <w:p>
            <w:pPr>
              <w:spacing w:after="0"/>
              <w:rPr>
                <w:sz w:val="1"/>
                <w:szCs w:val="1"/>
                <w:color w:val="auto"/>
              </w:rPr>
            </w:pPr>
          </w:p>
        </w:tc>
      </w:tr>
      <w:tr>
        <w:trPr>
          <w:trHeight w:val="169"/>
        </w:trPr>
        <w:tc>
          <w:tcPr>
            <w:tcW w:w="8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w:anchor="page38">
              <w:r>
                <w:rPr>
                  <w:rFonts w:ascii="Arial" w:cs="Arial" w:eastAsia="Arial" w:hAnsi="Arial"/>
                  <w:sz w:val="16"/>
                  <w:szCs w:val="16"/>
                  <w:color w:val="0000EE"/>
                </w:rPr>
                <w:t>Our Planet</w:t>
              </w:r>
            </w:hyperlink>
          </w:p>
        </w:tc>
        <w:tc>
          <w:tcPr>
            <w:tcW w:w="440" w:type="dxa"/>
            <w:vAlign w:val="bottom"/>
            <w:tcBorders>
              <w:top w:val="single" w:sz="8" w:color="0000EE"/>
            </w:tcBorders>
            <w:gridSpan w:val="2"/>
          </w:tcPr>
          <w:p>
            <w:pPr>
              <w:spacing w:after="0"/>
              <w:rPr>
                <w:sz w:val="14"/>
                <w:szCs w:val="14"/>
                <w:color w:val="auto"/>
              </w:rPr>
            </w:pPr>
          </w:p>
        </w:tc>
        <w:tc>
          <w:tcPr>
            <w:tcW w:w="4080" w:type="dxa"/>
            <w:vAlign w:val="bottom"/>
            <w:gridSpan w:val="13"/>
          </w:tcPr>
          <w:p>
            <w:pPr>
              <w:spacing w:after="0"/>
              <w:rPr>
                <w:sz w:val="14"/>
                <w:szCs w:val="14"/>
                <w:color w:val="auto"/>
              </w:rPr>
            </w:pPr>
          </w:p>
        </w:tc>
        <w:tc>
          <w:tcPr>
            <w:tcW w:w="2320" w:type="dxa"/>
            <w:vAlign w:val="bottom"/>
          </w:tcPr>
          <w:p>
            <w:pPr>
              <w:jc w:val="right"/>
              <w:spacing w:after="0" w:line="169" w:lineRule="exact"/>
              <w:rPr>
                <w:sz w:val="20"/>
                <w:szCs w:val="20"/>
                <w:color w:val="auto"/>
              </w:rPr>
            </w:pPr>
            <w:r>
              <w:rPr>
                <w:rFonts w:ascii="Arial" w:cs="Arial" w:eastAsia="Arial" w:hAnsi="Arial"/>
                <w:sz w:val="16"/>
                <w:szCs w:val="16"/>
                <w:color w:val="333D3F"/>
              </w:rPr>
              <w:t>27</w:t>
            </w:r>
          </w:p>
        </w:tc>
        <w:tc>
          <w:tcPr>
            <w:tcW w:w="0" w:type="dxa"/>
            <w:vAlign w:val="bottom"/>
          </w:tcPr>
          <w:p>
            <w:pPr>
              <w:spacing w:after="0"/>
              <w:rPr>
                <w:sz w:val="1"/>
                <w:szCs w:val="1"/>
                <w:color w:val="auto"/>
              </w:rPr>
            </w:pPr>
          </w:p>
        </w:tc>
      </w:tr>
      <w:tr>
        <w:trPr>
          <w:trHeight w:val="412"/>
        </w:trPr>
        <w:tc>
          <w:tcPr>
            <w:tcW w:w="5340" w:type="dxa"/>
            <w:vAlign w:val="bottom"/>
            <w:gridSpan w:val="16"/>
          </w:tcPr>
          <w:p>
            <w:pPr>
              <w:spacing w:after="0"/>
              <w:rPr>
                <w:rFonts w:ascii="Arial" w:cs="Arial" w:eastAsia="Arial" w:hAnsi="Arial"/>
                <w:sz w:val="13"/>
                <w:szCs w:val="13"/>
                <w:b w:val="1"/>
                <w:bCs w:val="1"/>
                <w:color w:val="0000EE"/>
              </w:rPr>
            </w:pPr>
            <w:hyperlink w:anchor="page41">
              <w:r>
                <w:rPr>
                  <w:rFonts w:ascii="Arial" w:cs="Arial" w:eastAsia="Arial" w:hAnsi="Arial"/>
                  <w:sz w:val="13"/>
                  <w:szCs w:val="13"/>
                  <w:b w:val="1"/>
                  <w:bCs w:val="1"/>
                  <w:color w:val="0000EE"/>
                </w:rPr>
                <w:t>EXECUTIVE OFFICERS</w:t>
              </w:r>
            </w:hyperlink>
          </w:p>
        </w:tc>
        <w:tc>
          <w:tcPr>
            <w:tcW w:w="2320" w:type="dxa"/>
            <w:vAlign w:val="bottom"/>
          </w:tcPr>
          <w:p>
            <w:pPr>
              <w:jc w:val="right"/>
              <w:spacing w:after="0"/>
              <w:rPr>
                <w:sz w:val="20"/>
                <w:szCs w:val="20"/>
                <w:color w:val="auto"/>
              </w:rPr>
            </w:pPr>
            <w:r>
              <w:rPr>
                <w:rFonts w:ascii="Arial" w:cs="Arial" w:eastAsia="Arial" w:hAnsi="Arial"/>
                <w:sz w:val="13"/>
                <w:szCs w:val="13"/>
                <w:b w:val="1"/>
                <w:bCs w:val="1"/>
                <w:color w:val="1C8C4F"/>
              </w:rPr>
              <w:t>30</w:t>
            </w:r>
          </w:p>
        </w:tc>
        <w:tc>
          <w:tcPr>
            <w:tcW w:w="0" w:type="dxa"/>
            <w:vAlign w:val="bottom"/>
          </w:tcPr>
          <w:p>
            <w:pPr>
              <w:spacing w:after="0"/>
              <w:rPr>
                <w:sz w:val="1"/>
                <w:szCs w:val="1"/>
                <w:color w:val="auto"/>
              </w:rPr>
            </w:pPr>
          </w:p>
        </w:tc>
      </w:tr>
      <w:tr>
        <w:trPr>
          <w:trHeight w:val="20"/>
        </w:trPr>
        <w:tc>
          <w:tcPr>
            <w:tcW w:w="8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9" w:lineRule="exact"/>
        <w:rPr>
          <w:sz w:val="20"/>
          <w:szCs w:val="20"/>
          <w:color w:val="auto"/>
        </w:rPr>
      </w:pPr>
    </w:p>
    <w:tbl>
      <w:tblPr>
        <w:tblLayout w:type="fixed"/>
        <w:tblInd w:w="3420" w:type="dxa"/>
        <w:tblCellMar>
          <w:top w:w="0" w:type="dxa"/>
          <w:left w:w="0" w:type="dxa"/>
          <w:bottom w:w="0" w:type="dxa"/>
          <w:right w:w="0" w:type="dxa"/>
        </w:tblCellMar>
      </w:tblPr>
      <w:tr>
        <w:trPr>
          <w:trHeight w:val="149"/>
        </w:trPr>
        <w:tc>
          <w:tcPr>
            <w:tcW w:w="6800" w:type="dxa"/>
            <w:vAlign w:val="bottom"/>
            <w:gridSpan w:val="35"/>
          </w:tcPr>
          <w:p>
            <w:pPr>
              <w:spacing w:after="0"/>
              <w:rPr>
                <w:rFonts w:ascii="Arial" w:cs="Arial" w:eastAsia="Arial" w:hAnsi="Arial"/>
                <w:sz w:val="13"/>
                <w:szCs w:val="13"/>
                <w:b w:val="1"/>
                <w:bCs w:val="1"/>
                <w:color w:val="0000EE"/>
              </w:rPr>
            </w:pPr>
            <w:hyperlink w:anchor="page45">
              <w:r>
                <w:rPr>
                  <w:rFonts w:ascii="Arial" w:cs="Arial" w:eastAsia="Arial" w:hAnsi="Arial"/>
                  <w:sz w:val="13"/>
                  <w:szCs w:val="13"/>
                  <w:b w:val="1"/>
                  <w:bCs w:val="1"/>
                  <w:color w:val="0000EE"/>
                </w:rPr>
                <w:t>COMPENSATION DISCUSSION AND ANALYSIS</w:t>
              </w:r>
            </w:hyperlink>
          </w:p>
        </w:tc>
        <w:tc>
          <w:tcPr>
            <w:tcW w:w="860" w:type="dxa"/>
            <w:vAlign w:val="bottom"/>
            <w:vMerge w:val="restart"/>
          </w:tcPr>
          <w:p>
            <w:pPr>
              <w:jc w:val="right"/>
              <w:spacing w:after="0"/>
              <w:rPr>
                <w:sz w:val="20"/>
                <w:szCs w:val="20"/>
                <w:color w:val="auto"/>
              </w:rPr>
            </w:pPr>
            <w:r>
              <w:rPr>
                <w:rFonts w:ascii="Arial" w:cs="Arial" w:eastAsia="Arial" w:hAnsi="Arial"/>
                <w:sz w:val="16"/>
                <w:szCs w:val="16"/>
                <w:color w:val="333D3F"/>
              </w:rPr>
              <w:t>36</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80" w:type="dxa"/>
            <w:vAlign w:val="bottom"/>
            <w:tcBorders>
              <w:bottom w:val="single" w:sz="8" w:color="0000EE"/>
            </w:tcBorders>
            <w:gridSpan w:val="28"/>
          </w:tcPr>
          <w:p>
            <w:pPr>
              <w:spacing w:after="0" w:line="155" w:lineRule="exact"/>
              <w:rPr>
                <w:rFonts w:ascii="Arial" w:cs="Arial" w:eastAsia="Arial" w:hAnsi="Arial"/>
                <w:sz w:val="16"/>
                <w:szCs w:val="16"/>
                <w:color w:val="0000EE"/>
              </w:rPr>
            </w:pPr>
            <w:hyperlink w:anchor="page47">
              <w:r>
                <w:rPr>
                  <w:rFonts w:ascii="Arial" w:cs="Arial" w:eastAsia="Arial" w:hAnsi="Arial"/>
                  <w:sz w:val="16"/>
                  <w:szCs w:val="16"/>
                  <w:color w:val="0000EE"/>
                </w:rPr>
                <w:t>Why You Should Vote for the 2021 Say-on-Pay</w:t>
              </w:r>
            </w:hyperlink>
          </w:p>
        </w:tc>
        <w:tc>
          <w:tcPr>
            <w:tcW w:w="3420" w:type="dxa"/>
            <w:vAlign w:val="bottom"/>
            <w:gridSpan w:val="7"/>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0" w:type="dxa"/>
            <w:vAlign w:val="bottom"/>
            <w:gridSpan w:val="35"/>
          </w:tcPr>
          <w:p>
            <w:pPr>
              <w:spacing w:after="0" w:line="169" w:lineRule="exact"/>
              <w:rPr>
                <w:rFonts w:ascii="Arial" w:cs="Arial" w:eastAsia="Arial" w:hAnsi="Arial"/>
                <w:sz w:val="16"/>
                <w:szCs w:val="16"/>
                <w:color w:val="0000EE"/>
              </w:rPr>
            </w:pPr>
            <w:hyperlink w:anchor="page50">
              <w:r>
                <w:rPr>
                  <w:rFonts w:ascii="Arial" w:cs="Arial" w:eastAsia="Arial" w:hAnsi="Arial"/>
                  <w:sz w:val="16"/>
                  <w:szCs w:val="16"/>
                  <w:color w:val="0000EE"/>
                </w:rPr>
                <w:t>How We Approach Executive Compensation</w:t>
              </w:r>
            </w:hyperlink>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39</w:t>
            </w:r>
          </w:p>
        </w:tc>
        <w:tc>
          <w:tcPr>
            <w:tcW w:w="0" w:type="dxa"/>
            <w:vAlign w:val="bottom"/>
          </w:tcPr>
          <w:p>
            <w:pPr>
              <w:spacing w:after="0"/>
              <w:rPr>
                <w:sz w:val="1"/>
                <w:szCs w:val="1"/>
                <w:color w:val="auto"/>
              </w:rPr>
            </w:pPr>
          </w:p>
        </w:tc>
      </w:tr>
      <w:tr>
        <w:trPr>
          <w:trHeight w:val="169"/>
        </w:trPr>
        <w:tc>
          <w:tcPr>
            <w:tcW w:w="2480" w:type="dxa"/>
            <w:vAlign w:val="bottom"/>
            <w:tcBorders>
              <w:top w:val="single" w:sz="8" w:color="0000EE"/>
              <w:bottom w:val="single" w:sz="8" w:color="0000EE"/>
            </w:tcBorders>
            <w:gridSpan w:val="16"/>
          </w:tcPr>
          <w:p>
            <w:pPr>
              <w:spacing w:after="0" w:line="169" w:lineRule="exact"/>
              <w:rPr>
                <w:rFonts w:ascii="Arial" w:cs="Arial" w:eastAsia="Arial" w:hAnsi="Arial"/>
                <w:sz w:val="16"/>
                <w:szCs w:val="16"/>
                <w:color w:val="0000EE"/>
              </w:rPr>
            </w:pPr>
            <w:hyperlink w:anchor="page51">
              <w:r>
                <w:rPr>
                  <w:rFonts w:ascii="Arial" w:cs="Arial" w:eastAsia="Arial" w:hAnsi="Arial"/>
                  <w:sz w:val="16"/>
                  <w:szCs w:val="16"/>
                  <w:color w:val="0000EE"/>
                </w:rPr>
                <w:t>How the Company Has Performed</w:t>
              </w:r>
            </w:hyperlink>
          </w:p>
        </w:tc>
        <w:tc>
          <w:tcPr>
            <w:tcW w:w="700" w:type="dxa"/>
            <w:vAlign w:val="bottom"/>
            <w:tcBorders>
              <w:top w:val="single" w:sz="8" w:color="0000EE"/>
            </w:tcBorders>
            <w:gridSpan w:val="7"/>
          </w:tcPr>
          <w:p>
            <w:pPr>
              <w:spacing w:after="0"/>
              <w:rPr>
                <w:sz w:val="14"/>
                <w:szCs w:val="14"/>
                <w:color w:val="auto"/>
              </w:rPr>
            </w:pPr>
          </w:p>
        </w:tc>
        <w:tc>
          <w:tcPr>
            <w:tcW w:w="3620" w:type="dxa"/>
            <w:vAlign w:val="bottom"/>
            <w:gridSpan w:val="1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40</w:t>
            </w:r>
          </w:p>
        </w:tc>
        <w:tc>
          <w:tcPr>
            <w:tcW w:w="0" w:type="dxa"/>
            <w:vAlign w:val="bottom"/>
          </w:tcPr>
          <w:p>
            <w:pPr>
              <w:spacing w:after="0"/>
              <w:rPr>
                <w:sz w:val="1"/>
                <w:szCs w:val="1"/>
                <w:color w:val="auto"/>
              </w:rPr>
            </w:pPr>
          </w:p>
        </w:tc>
      </w:tr>
      <w:tr>
        <w:trPr>
          <w:trHeight w:val="169"/>
        </w:trPr>
        <w:tc>
          <w:tcPr>
            <w:tcW w:w="2700" w:type="dxa"/>
            <w:vAlign w:val="bottom"/>
            <w:tcBorders>
              <w:bottom w:val="single" w:sz="8" w:color="0000EE"/>
            </w:tcBorders>
            <w:gridSpan w:val="17"/>
          </w:tcPr>
          <w:p>
            <w:pPr>
              <w:spacing w:after="0" w:line="169" w:lineRule="exact"/>
              <w:rPr>
                <w:rFonts w:ascii="Arial" w:cs="Arial" w:eastAsia="Arial" w:hAnsi="Arial"/>
                <w:sz w:val="16"/>
                <w:szCs w:val="16"/>
                <w:color w:val="0000EE"/>
              </w:rPr>
            </w:pPr>
            <w:hyperlink w:anchor="page52">
              <w:r>
                <w:rPr>
                  <w:rFonts w:ascii="Arial" w:cs="Arial" w:eastAsia="Arial" w:hAnsi="Arial"/>
                  <w:sz w:val="16"/>
                  <w:szCs w:val="16"/>
                  <w:color w:val="0000EE"/>
                </w:rPr>
                <w:t>How We Designed Incentives in 2020</w:t>
              </w:r>
            </w:hyperlink>
          </w:p>
        </w:tc>
        <w:tc>
          <w:tcPr>
            <w:tcW w:w="4100" w:type="dxa"/>
            <w:vAlign w:val="bottom"/>
            <w:gridSpan w:val="18"/>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41</w:t>
            </w:r>
          </w:p>
        </w:tc>
        <w:tc>
          <w:tcPr>
            <w:tcW w:w="0" w:type="dxa"/>
            <w:vAlign w:val="bottom"/>
          </w:tcPr>
          <w:p>
            <w:pPr>
              <w:spacing w:after="0"/>
              <w:rPr>
                <w:sz w:val="1"/>
                <w:szCs w:val="1"/>
                <w:color w:val="auto"/>
              </w:rPr>
            </w:pPr>
          </w:p>
        </w:tc>
      </w:tr>
      <w:tr>
        <w:trPr>
          <w:trHeight w:val="169"/>
        </w:trPr>
        <w:tc>
          <w:tcPr>
            <w:tcW w:w="6800" w:type="dxa"/>
            <w:vAlign w:val="bottom"/>
            <w:gridSpan w:val="35"/>
          </w:tcPr>
          <w:p>
            <w:pPr>
              <w:spacing w:after="0" w:line="169" w:lineRule="exact"/>
              <w:rPr>
                <w:rFonts w:ascii="Arial" w:cs="Arial" w:eastAsia="Arial" w:hAnsi="Arial"/>
                <w:sz w:val="16"/>
                <w:szCs w:val="16"/>
                <w:color w:val="0000EE"/>
              </w:rPr>
            </w:pPr>
            <w:hyperlink w:anchor="page59">
              <w:r>
                <w:rPr>
                  <w:rFonts w:ascii="Arial" w:cs="Arial" w:eastAsia="Arial" w:hAnsi="Arial"/>
                  <w:sz w:val="16"/>
                  <w:szCs w:val="16"/>
                  <w:color w:val="0000EE"/>
                </w:rPr>
                <w:t>Other Aspects of Our Executive Compensation</w:t>
              </w:r>
            </w:hyperlink>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48</w:t>
            </w:r>
          </w:p>
        </w:tc>
        <w:tc>
          <w:tcPr>
            <w:tcW w:w="0" w:type="dxa"/>
            <w:vAlign w:val="bottom"/>
          </w:tcPr>
          <w:p>
            <w:pPr>
              <w:spacing w:after="0"/>
              <w:rPr>
                <w:sz w:val="1"/>
                <w:szCs w:val="1"/>
                <w:color w:val="auto"/>
              </w:rPr>
            </w:pPr>
          </w:p>
        </w:tc>
      </w:tr>
      <w:tr>
        <w:trPr>
          <w:trHeight w:val="169"/>
        </w:trPr>
        <w:tc>
          <w:tcPr>
            <w:tcW w:w="3360" w:type="dxa"/>
            <w:vAlign w:val="bottom"/>
            <w:tcBorders>
              <w:top w:val="single" w:sz="8" w:color="0000EE"/>
            </w:tcBorders>
            <w:gridSpan w:val="27"/>
          </w:tcPr>
          <w:p>
            <w:pPr>
              <w:spacing w:after="0" w:line="169" w:lineRule="exact"/>
              <w:rPr>
                <w:rFonts w:ascii="Arial" w:cs="Arial" w:eastAsia="Arial" w:hAnsi="Arial"/>
                <w:sz w:val="16"/>
                <w:szCs w:val="16"/>
                <w:color w:val="0000EE"/>
              </w:rPr>
            </w:pPr>
            <w:hyperlink w:anchor="page59">
              <w:r>
                <w:rPr>
                  <w:rFonts w:ascii="Arial" w:cs="Arial" w:eastAsia="Arial" w:hAnsi="Arial"/>
                  <w:sz w:val="16"/>
                  <w:szCs w:val="16"/>
                  <w:color w:val="0000EE"/>
                </w:rPr>
                <w:t>Compensation Committee Report</w:t>
              </w:r>
            </w:hyperlink>
          </w:p>
        </w:tc>
        <w:tc>
          <w:tcPr>
            <w:tcW w:w="3440" w:type="dxa"/>
            <w:vAlign w:val="bottom"/>
            <w:gridSpan w:val="8"/>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48</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4000" w:type="dxa"/>
            <w:vAlign w:val="bottom"/>
            <w:tcBorders>
              <w:bottom w:val="single" w:sz="8" w:color="0000EE"/>
            </w:tcBorders>
            <w:gridSpan w:val="30"/>
          </w:tcPr>
          <w:p>
            <w:pPr>
              <w:spacing w:after="0"/>
              <w:rPr>
                <w:rFonts w:ascii="Arial" w:cs="Arial" w:eastAsia="Arial" w:hAnsi="Arial"/>
                <w:sz w:val="13"/>
                <w:szCs w:val="13"/>
                <w:b w:val="1"/>
                <w:bCs w:val="1"/>
                <w:color w:val="0000EE"/>
                <w:w w:val="95"/>
              </w:rPr>
            </w:pPr>
            <w:hyperlink w:anchor="page63">
              <w:r>
                <w:rPr>
                  <w:rFonts w:ascii="Arial" w:cs="Arial" w:eastAsia="Arial" w:hAnsi="Arial"/>
                  <w:sz w:val="13"/>
                  <w:szCs w:val="13"/>
                  <w:b w:val="1"/>
                  <w:bCs w:val="1"/>
                  <w:color w:val="0000EE"/>
                  <w:w w:val="95"/>
                </w:rPr>
                <w:t>EXECUTIVE COMPENSATION TABLES AND OTHER INFORMATION</w:t>
              </w:r>
            </w:hyperlink>
          </w:p>
        </w:tc>
        <w:tc>
          <w:tcPr>
            <w:tcW w:w="2800" w:type="dxa"/>
            <w:vAlign w:val="bottom"/>
            <w:gridSpan w:val="5"/>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333D3F"/>
              </w:rPr>
              <w:t>54</w:t>
            </w:r>
          </w:p>
        </w:tc>
        <w:tc>
          <w:tcPr>
            <w:tcW w:w="0" w:type="dxa"/>
            <w:vAlign w:val="bottom"/>
          </w:tcPr>
          <w:p>
            <w:pPr>
              <w:spacing w:after="0"/>
              <w:rPr>
                <w:sz w:val="1"/>
                <w:szCs w:val="1"/>
                <w:color w:val="auto"/>
              </w:rPr>
            </w:pPr>
          </w:p>
        </w:tc>
      </w:tr>
      <w:tr>
        <w:trPr>
          <w:trHeight w:val="155"/>
        </w:trPr>
        <w:tc>
          <w:tcPr>
            <w:tcW w:w="2220" w:type="dxa"/>
            <w:vAlign w:val="bottom"/>
            <w:tcBorders>
              <w:bottom w:val="single" w:sz="8" w:color="0000EE"/>
            </w:tcBorders>
            <w:gridSpan w:val="13"/>
          </w:tcPr>
          <w:p>
            <w:pPr>
              <w:spacing w:after="0" w:line="155" w:lineRule="exact"/>
              <w:rPr>
                <w:rFonts w:ascii="Arial" w:cs="Arial" w:eastAsia="Arial" w:hAnsi="Arial"/>
                <w:sz w:val="16"/>
                <w:szCs w:val="16"/>
                <w:color w:val="0000EE"/>
                <w:w w:val="99"/>
              </w:rPr>
            </w:pPr>
            <w:hyperlink w:anchor="page65">
              <w:r>
                <w:rPr>
                  <w:rFonts w:ascii="Arial" w:cs="Arial" w:eastAsia="Arial" w:hAnsi="Arial"/>
                  <w:sz w:val="16"/>
                  <w:szCs w:val="16"/>
                  <w:color w:val="0000EE"/>
                  <w:w w:val="99"/>
                </w:rPr>
                <w:t>Summary Compensation Table</w:t>
              </w:r>
            </w:hyperlink>
          </w:p>
        </w:tc>
        <w:tc>
          <w:tcPr>
            <w:tcW w:w="4580" w:type="dxa"/>
            <w:vAlign w:val="bottom"/>
            <w:gridSpan w:val="22"/>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0" w:type="dxa"/>
            <w:vAlign w:val="bottom"/>
            <w:gridSpan w:val="35"/>
          </w:tcPr>
          <w:p>
            <w:pPr>
              <w:spacing w:after="0" w:line="169" w:lineRule="exact"/>
              <w:rPr>
                <w:rFonts w:ascii="Arial" w:cs="Arial" w:eastAsia="Arial" w:hAnsi="Arial"/>
                <w:sz w:val="16"/>
                <w:szCs w:val="16"/>
                <w:color w:val="0000EE"/>
              </w:rPr>
            </w:pPr>
            <w:hyperlink w:anchor="page66">
              <w:r>
                <w:rPr>
                  <w:rFonts w:ascii="Arial" w:cs="Arial" w:eastAsia="Arial" w:hAnsi="Arial"/>
                  <w:sz w:val="16"/>
                  <w:szCs w:val="16"/>
                  <w:color w:val="0000EE"/>
                </w:rPr>
                <w:t>Discussion of Summary Compensation Table</w:t>
              </w:r>
            </w:hyperlink>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55</w:t>
            </w:r>
          </w:p>
        </w:tc>
        <w:tc>
          <w:tcPr>
            <w:tcW w:w="0" w:type="dxa"/>
            <w:vAlign w:val="bottom"/>
          </w:tcPr>
          <w:p>
            <w:pPr>
              <w:spacing w:after="0"/>
              <w:rPr>
                <w:sz w:val="1"/>
                <w:szCs w:val="1"/>
                <w:color w:val="auto"/>
              </w:rPr>
            </w:pPr>
          </w:p>
        </w:tc>
      </w:tr>
      <w:tr>
        <w:trPr>
          <w:trHeight w:val="169"/>
        </w:trPr>
        <w:tc>
          <w:tcPr>
            <w:tcW w:w="2980" w:type="dxa"/>
            <w:vAlign w:val="bottom"/>
            <w:tcBorders>
              <w:top w:val="single" w:sz="8" w:color="0000EE"/>
              <w:bottom w:val="single" w:sz="8" w:color="0000EE"/>
            </w:tcBorders>
            <w:gridSpan w:val="20"/>
          </w:tcPr>
          <w:p>
            <w:pPr>
              <w:spacing w:after="0" w:line="169" w:lineRule="exact"/>
              <w:rPr>
                <w:rFonts w:ascii="Arial" w:cs="Arial" w:eastAsia="Arial" w:hAnsi="Arial"/>
                <w:sz w:val="16"/>
                <w:szCs w:val="16"/>
                <w:color w:val="0000EE"/>
              </w:rPr>
            </w:pPr>
            <w:hyperlink w:anchor="page67">
              <w:r>
                <w:rPr>
                  <w:rFonts w:ascii="Arial" w:cs="Arial" w:eastAsia="Arial" w:hAnsi="Arial"/>
                  <w:sz w:val="16"/>
                  <w:szCs w:val="16"/>
                  <w:color w:val="0000EE"/>
                </w:rPr>
                <w:t>2020 Grants of Plan-Based Awards Table</w:t>
              </w:r>
            </w:hyperlink>
          </w:p>
        </w:tc>
        <w:tc>
          <w:tcPr>
            <w:tcW w:w="240" w:type="dxa"/>
            <w:vAlign w:val="bottom"/>
            <w:tcBorders>
              <w:top w:val="single" w:sz="8" w:color="0000EE"/>
            </w:tcBorders>
            <w:gridSpan w:val="4"/>
          </w:tcPr>
          <w:p>
            <w:pPr>
              <w:spacing w:after="0"/>
              <w:rPr>
                <w:sz w:val="14"/>
                <w:szCs w:val="14"/>
                <w:color w:val="auto"/>
              </w:rPr>
            </w:pPr>
          </w:p>
        </w:tc>
        <w:tc>
          <w:tcPr>
            <w:tcW w:w="3580" w:type="dxa"/>
            <w:vAlign w:val="bottom"/>
            <w:gridSpan w:val="11"/>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56</w:t>
            </w:r>
          </w:p>
        </w:tc>
        <w:tc>
          <w:tcPr>
            <w:tcW w:w="0" w:type="dxa"/>
            <w:vAlign w:val="bottom"/>
          </w:tcPr>
          <w:p>
            <w:pPr>
              <w:spacing w:after="0"/>
              <w:rPr>
                <w:sz w:val="1"/>
                <w:szCs w:val="1"/>
                <w:color w:val="auto"/>
              </w:rPr>
            </w:pPr>
          </w:p>
        </w:tc>
      </w:tr>
      <w:tr>
        <w:trPr>
          <w:trHeight w:val="169"/>
        </w:trPr>
        <w:tc>
          <w:tcPr>
            <w:tcW w:w="3320" w:type="dxa"/>
            <w:vAlign w:val="bottom"/>
            <w:tcBorders>
              <w:bottom w:val="single" w:sz="8" w:color="0000EE"/>
            </w:tcBorders>
            <w:gridSpan w:val="26"/>
          </w:tcPr>
          <w:p>
            <w:pPr>
              <w:spacing w:after="0" w:line="169" w:lineRule="exact"/>
              <w:rPr>
                <w:rFonts w:ascii="Arial" w:cs="Arial" w:eastAsia="Arial" w:hAnsi="Arial"/>
                <w:sz w:val="16"/>
                <w:szCs w:val="16"/>
                <w:color w:val="0000EE"/>
              </w:rPr>
            </w:pPr>
            <w:hyperlink w:anchor="page68">
              <w:r>
                <w:rPr>
                  <w:rFonts w:ascii="Arial" w:cs="Arial" w:eastAsia="Arial" w:hAnsi="Arial"/>
                  <w:sz w:val="16"/>
                  <w:szCs w:val="16"/>
                  <w:color w:val="0000EE"/>
                </w:rPr>
                <w:t>Outstanding Equity Awards at Fiscal Year-end</w:t>
              </w:r>
            </w:hyperlink>
          </w:p>
        </w:tc>
        <w:tc>
          <w:tcPr>
            <w:tcW w:w="3480" w:type="dxa"/>
            <w:vAlign w:val="bottom"/>
            <w:gridSpan w:val="9"/>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57</w:t>
            </w:r>
          </w:p>
        </w:tc>
        <w:tc>
          <w:tcPr>
            <w:tcW w:w="0" w:type="dxa"/>
            <w:vAlign w:val="bottom"/>
          </w:tcPr>
          <w:p>
            <w:pPr>
              <w:spacing w:after="0"/>
              <w:rPr>
                <w:sz w:val="1"/>
                <w:szCs w:val="1"/>
                <w:color w:val="auto"/>
              </w:rPr>
            </w:pPr>
          </w:p>
        </w:tc>
      </w:tr>
      <w:tr>
        <w:trPr>
          <w:trHeight w:val="169"/>
        </w:trPr>
        <w:tc>
          <w:tcPr>
            <w:tcW w:w="3120" w:type="dxa"/>
            <w:vAlign w:val="bottom"/>
            <w:tcBorders>
              <w:bottom w:val="single" w:sz="8" w:color="0000EE"/>
            </w:tcBorders>
            <w:gridSpan w:val="22"/>
          </w:tcPr>
          <w:p>
            <w:pPr>
              <w:spacing w:after="0" w:line="169" w:lineRule="exact"/>
              <w:rPr>
                <w:rFonts w:ascii="Arial" w:cs="Arial" w:eastAsia="Arial" w:hAnsi="Arial"/>
                <w:sz w:val="16"/>
                <w:szCs w:val="16"/>
                <w:color w:val="0000EE"/>
              </w:rPr>
            </w:pPr>
            <w:hyperlink w:anchor="page69">
              <w:r>
                <w:rPr>
                  <w:rFonts w:ascii="Arial" w:cs="Arial" w:eastAsia="Arial" w:hAnsi="Arial"/>
                  <w:sz w:val="16"/>
                  <w:szCs w:val="16"/>
                  <w:color w:val="0000EE"/>
                </w:rPr>
                <w:t>Option Exercises and Stock Vested in 2020</w:t>
              </w:r>
            </w:hyperlink>
          </w:p>
        </w:tc>
        <w:tc>
          <w:tcPr>
            <w:tcW w:w="3680" w:type="dxa"/>
            <w:vAlign w:val="bottom"/>
            <w:gridSpan w:val="13"/>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58</w:t>
            </w:r>
          </w:p>
        </w:tc>
        <w:tc>
          <w:tcPr>
            <w:tcW w:w="0" w:type="dxa"/>
            <w:vAlign w:val="bottom"/>
          </w:tcPr>
          <w:p>
            <w:pPr>
              <w:spacing w:after="0"/>
              <w:rPr>
                <w:sz w:val="1"/>
                <w:szCs w:val="1"/>
                <w:color w:val="auto"/>
              </w:rPr>
            </w:pPr>
          </w:p>
        </w:tc>
      </w:tr>
      <w:tr>
        <w:trPr>
          <w:trHeight w:val="169"/>
        </w:trPr>
        <w:tc>
          <w:tcPr>
            <w:tcW w:w="4260" w:type="dxa"/>
            <w:vAlign w:val="bottom"/>
            <w:tcBorders>
              <w:bottom w:val="single" w:sz="8" w:color="0000EE"/>
            </w:tcBorders>
            <w:gridSpan w:val="32"/>
          </w:tcPr>
          <w:p>
            <w:pPr>
              <w:spacing w:after="0" w:line="169" w:lineRule="exact"/>
              <w:rPr>
                <w:rFonts w:ascii="Arial" w:cs="Arial" w:eastAsia="Arial" w:hAnsi="Arial"/>
                <w:sz w:val="16"/>
                <w:szCs w:val="16"/>
                <w:color w:val="0000EE"/>
              </w:rPr>
            </w:pPr>
            <w:hyperlink w:anchor="page69">
              <w:r>
                <w:rPr>
                  <w:rFonts w:ascii="Arial" w:cs="Arial" w:eastAsia="Arial" w:hAnsi="Arial"/>
                  <w:sz w:val="16"/>
                  <w:szCs w:val="16"/>
                  <w:color w:val="0000EE"/>
                </w:rPr>
                <w:t>Potential Payments Upon Termination or Change in Control</w:t>
              </w:r>
            </w:hyperlink>
          </w:p>
        </w:tc>
        <w:tc>
          <w:tcPr>
            <w:tcW w:w="2540" w:type="dxa"/>
            <w:vAlign w:val="bottom"/>
            <w:gridSpan w:val="3"/>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58</w:t>
            </w:r>
          </w:p>
        </w:tc>
        <w:tc>
          <w:tcPr>
            <w:tcW w:w="0" w:type="dxa"/>
            <w:vAlign w:val="bottom"/>
          </w:tcPr>
          <w:p>
            <w:pPr>
              <w:spacing w:after="0"/>
              <w:rPr>
                <w:sz w:val="1"/>
                <w:szCs w:val="1"/>
                <w:color w:val="auto"/>
              </w:rPr>
            </w:pPr>
          </w:p>
        </w:tc>
      </w:tr>
      <w:tr>
        <w:trPr>
          <w:trHeight w:val="398"/>
        </w:trPr>
        <w:tc>
          <w:tcPr>
            <w:tcW w:w="6800" w:type="dxa"/>
            <w:vAlign w:val="bottom"/>
            <w:gridSpan w:val="35"/>
          </w:tcPr>
          <w:p>
            <w:pPr>
              <w:spacing w:after="0"/>
              <w:rPr>
                <w:rFonts w:ascii="Arial" w:cs="Arial" w:eastAsia="Arial" w:hAnsi="Arial"/>
                <w:sz w:val="13"/>
                <w:szCs w:val="13"/>
                <w:b w:val="1"/>
                <w:bCs w:val="1"/>
                <w:color w:val="0000EE"/>
              </w:rPr>
            </w:pPr>
            <w:hyperlink w:anchor="page73">
              <w:r>
                <w:rPr>
                  <w:rFonts w:ascii="Arial" w:cs="Arial" w:eastAsia="Arial" w:hAnsi="Arial"/>
                  <w:sz w:val="13"/>
                  <w:szCs w:val="13"/>
                  <w:b w:val="1"/>
                  <w:bCs w:val="1"/>
                  <w:color w:val="0000EE"/>
                </w:rPr>
                <w:t>CERTAIN RELATIONSHIPS AND TRANSACTIONS</w:t>
              </w:r>
            </w:hyperlink>
          </w:p>
        </w:tc>
        <w:tc>
          <w:tcPr>
            <w:tcW w:w="860" w:type="dxa"/>
            <w:vAlign w:val="bottom"/>
          </w:tcPr>
          <w:p>
            <w:pPr>
              <w:jc w:val="right"/>
              <w:spacing w:after="0"/>
              <w:rPr>
                <w:sz w:val="20"/>
                <w:szCs w:val="20"/>
                <w:color w:val="auto"/>
              </w:rPr>
            </w:pPr>
            <w:r>
              <w:rPr>
                <w:rFonts w:ascii="Arial" w:cs="Arial" w:eastAsia="Arial" w:hAnsi="Arial"/>
                <w:sz w:val="13"/>
                <w:szCs w:val="13"/>
                <w:b w:val="1"/>
                <w:bCs w:val="1"/>
                <w:color w:val="1C8C4F"/>
              </w:rPr>
              <w:t>62</w:t>
            </w:r>
          </w:p>
        </w:tc>
        <w:tc>
          <w:tcPr>
            <w:tcW w:w="0" w:type="dxa"/>
            <w:vAlign w:val="bottom"/>
          </w:tcPr>
          <w:p>
            <w:pPr>
              <w:spacing w:after="0"/>
              <w:rPr>
                <w:sz w:val="1"/>
                <w:szCs w:val="1"/>
                <w:color w:val="auto"/>
              </w:rPr>
            </w:pPr>
          </w:p>
        </w:tc>
      </w:tr>
      <w:tr>
        <w:trPr>
          <w:trHeight w:val="385"/>
        </w:trPr>
        <w:tc>
          <w:tcPr>
            <w:tcW w:w="1520" w:type="dxa"/>
            <w:vAlign w:val="bottom"/>
            <w:tcBorders>
              <w:top w:val="single" w:sz="8" w:color="0000EE"/>
              <w:bottom w:val="single" w:sz="8" w:color="0000EE"/>
            </w:tcBorders>
            <w:gridSpan w:val="7"/>
          </w:tcPr>
          <w:p>
            <w:pPr>
              <w:spacing w:after="0"/>
              <w:rPr>
                <w:rFonts w:ascii="Arial" w:cs="Arial" w:eastAsia="Arial" w:hAnsi="Arial"/>
                <w:sz w:val="13"/>
                <w:szCs w:val="13"/>
                <w:b w:val="1"/>
                <w:bCs w:val="1"/>
                <w:color w:val="0000EE"/>
                <w:w w:val="93"/>
              </w:rPr>
            </w:pPr>
            <w:hyperlink w:anchor="page74">
              <w:r>
                <w:rPr>
                  <w:rFonts w:ascii="Arial" w:cs="Arial" w:eastAsia="Arial" w:hAnsi="Arial"/>
                  <w:sz w:val="13"/>
                  <w:szCs w:val="13"/>
                  <w:b w:val="1"/>
                  <w:bCs w:val="1"/>
                  <w:color w:val="0000EE"/>
                  <w:w w:val="93"/>
                </w:rPr>
                <w:t>PAY RATIO DISCLOSURE</w:t>
              </w:r>
            </w:hyperlink>
          </w:p>
        </w:tc>
        <w:tc>
          <w:tcPr>
            <w:tcW w:w="1420" w:type="dxa"/>
            <w:vAlign w:val="bottom"/>
            <w:tcBorders>
              <w:top w:val="single" w:sz="8" w:color="0000EE"/>
            </w:tcBorders>
            <w:gridSpan w:val="12"/>
          </w:tcPr>
          <w:p>
            <w:pPr>
              <w:spacing w:after="0"/>
              <w:rPr>
                <w:sz w:val="24"/>
                <w:szCs w:val="24"/>
                <w:color w:val="auto"/>
              </w:rPr>
            </w:pPr>
          </w:p>
        </w:tc>
        <w:tc>
          <w:tcPr>
            <w:tcW w:w="3860" w:type="dxa"/>
            <w:vAlign w:val="bottom"/>
            <w:gridSpan w:val="16"/>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1C8C4F"/>
              </w:rPr>
              <w:t>63</w:t>
            </w:r>
          </w:p>
        </w:tc>
        <w:tc>
          <w:tcPr>
            <w:tcW w:w="0" w:type="dxa"/>
            <w:vAlign w:val="bottom"/>
          </w:tcPr>
          <w:p>
            <w:pPr>
              <w:spacing w:after="0"/>
              <w:rPr>
                <w:sz w:val="1"/>
                <w:szCs w:val="1"/>
                <w:color w:val="auto"/>
              </w:rPr>
            </w:pPr>
          </w:p>
        </w:tc>
      </w:tr>
      <w:tr>
        <w:trPr>
          <w:trHeight w:val="385"/>
        </w:trPr>
        <w:tc>
          <w:tcPr>
            <w:tcW w:w="1460" w:type="dxa"/>
            <w:vAlign w:val="bottom"/>
            <w:tcBorders>
              <w:bottom w:val="single" w:sz="8" w:color="0000EE"/>
            </w:tcBorders>
            <w:gridSpan w:val="5"/>
          </w:tcPr>
          <w:p>
            <w:pPr>
              <w:spacing w:after="0"/>
              <w:rPr>
                <w:rFonts w:ascii="Arial" w:cs="Arial" w:eastAsia="Arial" w:hAnsi="Arial"/>
                <w:sz w:val="13"/>
                <w:szCs w:val="13"/>
                <w:b w:val="1"/>
                <w:bCs w:val="1"/>
                <w:color w:val="0000EE"/>
                <w:w w:val="96"/>
              </w:rPr>
            </w:pPr>
            <w:hyperlink w:anchor="page75">
              <w:r>
                <w:rPr>
                  <w:rFonts w:ascii="Arial" w:cs="Arial" w:eastAsia="Arial" w:hAnsi="Arial"/>
                  <w:sz w:val="13"/>
                  <w:szCs w:val="13"/>
                  <w:b w:val="1"/>
                  <w:bCs w:val="1"/>
                  <w:color w:val="0000EE"/>
                  <w:w w:val="96"/>
                </w:rPr>
                <w:t>SECURITY OWNERSHIP</w:t>
              </w:r>
            </w:hyperlink>
          </w:p>
        </w:tc>
        <w:tc>
          <w:tcPr>
            <w:tcW w:w="5340" w:type="dxa"/>
            <w:vAlign w:val="bottom"/>
            <w:gridSpan w:val="30"/>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1C8C4F"/>
              </w:rPr>
              <w:t>64</w:t>
            </w:r>
          </w:p>
        </w:tc>
        <w:tc>
          <w:tcPr>
            <w:tcW w:w="0" w:type="dxa"/>
            <w:vAlign w:val="bottom"/>
          </w:tcPr>
          <w:p>
            <w:pPr>
              <w:spacing w:after="0"/>
              <w:rPr>
                <w:sz w:val="1"/>
                <w:szCs w:val="1"/>
                <w:color w:val="auto"/>
              </w:rPr>
            </w:pPr>
          </w:p>
        </w:tc>
      </w:tr>
      <w:tr>
        <w:trPr>
          <w:trHeight w:val="156"/>
        </w:trPr>
        <w:tc>
          <w:tcPr>
            <w:tcW w:w="3400" w:type="dxa"/>
            <w:vAlign w:val="bottom"/>
            <w:tcBorders>
              <w:bottom w:val="single" w:sz="8" w:color="0000EE"/>
            </w:tcBorders>
            <w:gridSpan w:val="29"/>
          </w:tcPr>
          <w:p>
            <w:pPr>
              <w:spacing w:after="0" w:line="155" w:lineRule="exact"/>
              <w:rPr>
                <w:rFonts w:ascii="Arial" w:cs="Arial" w:eastAsia="Arial" w:hAnsi="Arial"/>
                <w:sz w:val="16"/>
                <w:szCs w:val="16"/>
                <w:color w:val="0000EE"/>
              </w:rPr>
            </w:pPr>
            <w:hyperlink w:anchor="page75">
              <w:r>
                <w:rPr>
                  <w:rFonts w:ascii="Arial" w:cs="Arial" w:eastAsia="Arial" w:hAnsi="Arial"/>
                  <w:sz w:val="16"/>
                  <w:szCs w:val="16"/>
                  <w:color w:val="0000EE"/>
                </w:rPr>
                <w:t>Certain Beneficial Ownership and Management</w:t>
              </w:r>
            </w:hyperlink>
          </w:p>
        </w:tc>
        <w:tc>
          <w:tcPr>
            <w:tcW w:w="3400" w:type="dxa"/>
            <w:vAlign w:val="bottom"/>
            <w:gridSpan w:val="6"/>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color w:val="333D3F"/>
              </w:rPr>
              <w:t>64</w:t>
            </w:r>
          </w:p>
        </w:tc>
        <w:tc>
          <w:tcPr>
            <w:tcW w:w="0" w:type="dxa"/>
            <w:vAlign w:val="bottom"/>
          </w:tcPr>
          <w:p>
            <w:pPr>
              <w:spacing w:after="0"/>
              <w:rPr>
                <w:sz w:val="1"/>
                <w:szCs w:val="1"/>
                <w:color w:val="auto"/>
              </w:rPr>
            </w:pPr>
          </w:p>
        </w:tc>
      </w:tr>
      <w:tr>
        <w:trPr>
          <w:trHeight w:val="169"/>
        </w:trPr>
        <w:tc>
          <w:tcPr>
            <w:tcW w:w="6800" w:type="dxa"/>
            <w:vAlign w:val="bottom"/>
            <w:gridSpan w:val="35"/>
          </w:tcPr>
          <w:p>
            <w:pPr>
              <w:spacing w:after="0" w:line="169" w:lineRule="exact"/>
              <w:rPr>
                <w:rFonts w:ascii="Arial" w:cs="Arial" w:eastAsia="Arial" w:hAnsi="Arial"/>
                <w:sz w:val="16"/>
                <w:szCs w:val="16"/>
                <w:color w:val="0000EE"/>
              </w:rPr>
            </w:pPr>
            <w:hyperlink w:anchor="page76">
              <w:r>
                <w:rPr>
                  <w:rFonts w:ascii="Arial" w:cs="Arial" w:eastAsia="Arial" w:hAnsi="Arial"/>
                  <w:sz w:val="16"/>
                  <w:szCs w:val="16"/>
                  <w:color w:val="0000EE"/>
                </w:rPr>
                <w:t>Section 16(a) Beneficial Ownership Reporting Compliance</w:t>
              </w:r>
            </w:hyperlink>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65</w:t>
            </w:r>
          </w:p>
        </w:tc>
        <w:tc>
          <w:tcPr>
            <w:tcW w:w="0" w:type="dxa"/>
            <w:vAlign w:val="bottom"/>
          </w:tcPr>
          <w:p>
            <w:pPr>
              <w:spacing w:after="0"/>
              <w:rPr>
                <w:sz w:val="1"/>
                <w:szCs w:val="1"/>
                <w:color w:val="auto"/>
              </w:rPr>
            </w:pPr>
          </w:p>
        </w:tc>
      </w:tr>
      <w:tr>
        <w:trPr>
          <w:trHeight w:val="398"/>
        </w:trPr>
        <w:tc>
          <w:tcPr>
            <w:tcW w:w="1500" w:type="dxa"/>
            <w:vAlign w:val="bottom"/>
            <w:tcBorders>
              <w:top w:val="single" w:sz="8" w:color="0000EE"/>
              <w:bottom w:val="single" w:sz="8" w:color="0000EE"/>
            </w:tcBorders>
            <w:gridSpan w:val="6"/>
          </w:tcPr>
          <w:p>
            <w:pPr>
              <w:spacing w:after="0"/>
              <w:rPr>
                <w:rFonts w:ascii="Arial" w:cs="Arial" w:eastAsia="Arial" w:hAnsi="Arial"/>
                <w:sz w:val="13"/>
                <w:szCs w:val="13"/>
                <w:b w:val="1"/>
                <w:bCs w:val="1"/>
                <w:color w:val="0000EE"/>
                <w:w w:val="95"/>
              </w:rPr>
            </w:pPr>
            <w:hyperlink w:anchor="page79">
              <w:r>
                <w:rPr>
                  <w:rFonts w:ascii="Arial" w:cs="Arial" w:eastAsia="Arial" w:hAnsi="Arial"/>
                  <w:sz w:val="13"/>
                  <w:szCs w:val="13"/>
                  <w:b w:val="1"/>
                  <w:bCs w:val="1"/>
                  <w:color w:val="0000EE"/>
                  <w:w w:val="95"/>
                </w:rPr>
                <w:t>ITEMS TO BE VOTED ON</w:t>
              </w:r>
            </w:hyperlink>
          </w:p>
        </w:tc>
        <w:tc>
          <w:tcPr>
            <w:tcW w:w="2680" w:type="dxa"/>
            <w:vAlign w:val="bottom"/>
            <w:tcBorders>
              <w:top w:val="single" w:sz="8" w:color="0000EE"/>
            </w:tcBorders>
            <w:gridSpan w:val="25"/>
          </w:tcPr>
          <w:p>
            <w:pPr>
              <w:spacing w:after="0"/>
              <w:rPr>
                <w:sz w:val="24"/>
                <w:szCs w:val="24"/>
                <w:color w:val="auto"/>
              </w:rPr>
            </w:pPr>
          </w:p>
        </w:tc>
        <w:tc>
          <w:tcPr>
            <w:tcW w:w="2620" w:type="dxa"/>
            <w:vAlign w:val="bottom"/>
            <w:gridSpan w:val="4"/>
          </w:tcPr>
          <w:p>
            <w:pPr>
              <w:spacing w:after="0"/>
              <w:rPr>
                <w:sz w:val="24"/>
                <w:szCs w:val="2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333D3F"/>
              </w:rPr>
              <w:t>69</w:t>
            </w:r>
          </w:p>
        </w:tc>
        <w:tc>
          <w:tcPr>
            <w:tcW w:w="0" w:type="dxa"/>
            <w:vAlign w:val="bottom"/>
          </w:tcPr>
          <w:p>
            <w:pPr>
              <w:spacing w:after="0"/>
              <w:rPr>
                <w:sz w:val="1"/>
                <w:szCs w:val="1"/>
                <w:color w:val="auto"/>
              </w:rPr>
            </w:pPr>
          </w:p>
        </w:tc>
      </w:tr>
      <w:tr>
        <w:trPr>
          <w:trHeight w:val="155"/>
        </w:trPr>
        <w:tc>
          <w:tcPr>
            <w:tcW w:w="2320" w:type="dxa"/>
            <w:vAlign w:val="bottom"/>
            <w:tcBorders>
              <w:bottom w:val="single" w:sz="8" w:color="0000EE"/>
            </w:tcBorders>
            <w:gridSpan w:val="14"/>
          </w:tcPr>
          <w:p>
            <w:pPr>
              <w:spacing w:after="0" w:line="155" w:lineRule="exact"/>
              <w:rPr>
                <w:rFonts w:ascii="Arial" w:cs="Arial" w:eastAsia="Arial" w:hAnsi="Arial"/>
                <w:sz w:val="16"/>
                <w:szCs w:val="16"/>
                <w:color w:val="0000EE"/>
              </w:rPr>
            </w:pPr>
            <w:hyperlink w:anchor="page80">
              <w:r>
                <w:rPr>
                  <w:rFonts w:ascii="Arial" w:cs="Arial" w:eastAsia="Arial" w:hAnsi="Arial"/>
                  <w:sz w:val="16"/>
                  <w:szCs w:val="16"/>
                  <w:color w:val="0000EE"/>
                </w:rPr>
                <w:t>Proposal 1: Election of Directors</w:t>
              </w:r>
            </w:hyperlink>
          </w:p>
        </w:tc>
        <w:tc>
          <w:tcPr>
            <w:tcW w:w="4480" w:type="dxa"/>
            <w:vAlign w:val="bottom"/>
            <w:gridSpan w:val="21"/>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800" w:type="dxa"/>
            <w:vAlign w:val="bottom"/>
            <w:gridSpan w:val="35"/>
          </w:tcPr>
          <w:p>
            <w:pPr>
              <w:spacing w:after="0" w:line="169" w:lineRule="exact"/>
              <w:rPr>
                <w:rFonts w:ascii="Arial" w:cs="Arial" w:eastAsia="Arial" w:hAnsi="Arial"/>
                <w:sz w:val="16"/>
                <w:szCs w:val="16"/>
                <w:color w:val="0000EE"/>
              </w:rPr>
            </w:pPr>
            <w:hyperlink w:anchor="page80">
              <w:r>
                <w:rPr>
                  <w:rFonts w:ascii="Arial" w:cs="Arial" w:eastAsia="Arial" w:hAnsi="Arial"/>
                  <w:sz w:val="16"/>
                  <w:szCs w:val="16"/>
                  <w:color w:val="0000EE"/>
                </w:rPr>
                <w:t>Proposal 2: Ratification of Appointment of Independent Auditors</w:t>
              </w:r>
            </w:hyperlink>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69</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920" w:type="dxa"/>
            <w:vAlign w:val="bottom"/>
            <w:gridSpan w:val="9"/>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1260" w:type="dxa"/>
            <w:vAlign w:val="bottom"/>
            <w:gridSpan w:val="8"/>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0" w:type="dxa"/>
            <w:vAlign w:val="bottom"/>
            <w:gridSpan w:val="35"/>
          </w:tcPr>
          <w:p>
            <w:pPr>
              <w:spacing w:after="0" w:line="169" w:lineRule="exact"/>
              <w:rPr>
                <w:rFonts w:ascii="Arial" w:cs="Arial" w:eastAsia="Arial" w:hAnsi="Arial"/>
                <w:sz w:val="16"/>
                <w:szCs w:val="16"/>
                <w:color w:val="0000EE"/>
              </w:rPr>
            </w:pPr>
            <w:hyperlink w:anchor="page83">
              <w:r>
                <w:rPr>
                  <w:rFonts w:ascii="Arial" w:cs="Arial" w:eastAsia="Arial" w:hAnsi="Arial"/>
                  <w:sz w:val="16"/>
                  <w:szCs w:val="16"/>
                  <w:color w:val="0000EE"/>
                </w:rPr>
                <w:t>Proposal 3: Advisory Vote to Approve the Compensation of Named Executive Officers</w:t>
              </w:r>
            </w:hyperlink>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72</w:t>
            </w:r>
          </w:p>
        </w:tc>
        <w:tc>
          <w:tcPr>
            <w:tcW w:w="0" w:type="dxa"/>
            <w:vAlign w:val="bottom"/>
          </w:tcPr>
          <w:p>
            <w:pPr>
              <w:spacing w:after="0"/>
              <w:rPr>
                <w:sz w:val="1"/>
                <w:szCs w:val="1"/>
                <w:color w:val="auto"/>
              </w:rPr>
            </w:pPr>
          </w:p>
        </w:tc>
      </w:tr>
      <w:tr>
        <w:trPr>
          <w:trHeight w:val="398"/>
        </w:trPr>
        <w:tc>
          <w:tcPr>
            <w:tcW w:w="1540" w:type="dxa"/>
            <w:vAlign w:val="bottom"/>
            <w:tcBorders>
              <w:top w:val="single" w:sz="8" w:color="0000EE"/>
              <w:bottom w:val="single" w:sz="8" w:color="0000EE"/>
            </w:tcBorders>
            <w:gridSpan w:val="8"/>
          </w:tcPr>
          <w:p>
            <w:pPr>
              <w:spacing w:after="0"/>
              <w:rPr>
                <w:rFonts w:ascii="Arial" w:cs="Arial" w:eastAsia="Arial" w:hAnsi="Arial"/>
                <w:sz w:val="13"/>
                <w:szCs w:val="13"/>
                <w:b w:val="1"/>
                <w:bCs w:val="1"/>
                <w:color w:val="0000EE"/>
                <w:w w:val="95"/>
              </w:rPr>
            </w:pPr>
            <w:hyperlink w:anchor="page84">
              <w:r>
                <w:rPr>
                  <w:rFonts w:ascii="Arial" w:cs="Arial" w:eastAsia="Arial" w:hAnsi="Arial"/>
                  <w:sz w:val="13"/>
                  <w:szCs w:val="13"/>
                  <w:b w:val="1"/>
                  <w:bCs w:val="1"/>
                  <w:color w:val="0000EE"/>
                  <w:w w:val="95"/>
                </w:rPr>
                <w:t>GENERAL INFORMATION</w:t>
              </w:r>
            </w:hyperlink>
          </w:p>
        </w:tc>
        <w:tc>
          <w:tcPr>
            <w:tcW w:w="4600" w:type="dxa"/>
            <w:vAlign w:val="bottom"/>
            <w:tcBorders>
              <w:top w:val="single" w:sz="8" w:color="0000EE"/>
            </w:tcBorders>
            <w:gridSpan w:val="26"/>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1C8C4F"/>
              </w:rPr>
              <w:t>73</w:t>
            </w:r>
          </w:p>
        </w:tc>
        <w:tc>
          <w:tcPr>
            <w:tcW w:w="0" w:type="dxa"/>
            <w:vAlign w:val="bottom"/>
          </w:tcPr>
          <w:p>
            <w:pPr>
              <w:spacing w:after="0"/>
              <w:rPr>
                <w:sz w:val="1"/>
                <w:szCs w:val="1"/>
                <w:color w:val="auto"/>
              </w:rPr>
            </w:pPr>
          </w:p>
        </w:tc>
      </w:tr>
      <w:tr>
        <w:trPr>
          <w:trHeight w:val="155"/>
        </w:trPr>
        <w:tc>
          <w:tcPr>
            <w:tcW w:w="3040" w:type="dxa"/>
            <w:vAlign w:val="bottom"/>
            <w:tcBorders>
              <w:bottom w:val="single" w:sz="8" w:color="0000EE"/>
            </w:tcBorders>
            <w:gridSpan w:val="21"/>
          </w:tcPr>
          <w:p>
            <w:pPr>
              <w:spacing w:after="0" w:line="155" w:lineRule="exact"/>
              <w:rPr>
                <w:rFonts w:ascii="Arial" w:cs="Arial" w:eastAsia="Arial" w:hAnsi="Arial"/>
                <w:sz w:val="16"/>
                <w:szCs w:val="16"/>
                <w:color w:val="0000EE"/>
              </w:rPr>
            </w:pPr>
            <w:hyperlink w:anchor="page84">
              <w:r>
                <w:rPr>
                  <w:rFonts w:ascii="Arial" w:cs="Arial" w:eastAsia="Arial" w:hAnsi="Arial"/>
                  <w:sz w:val="16"/>
                  <w:szCs w:val="16"/>
                  <w:color w:val="0000EE"/>
                </w:rPr>
                <w:t>Our 2021 Annual Meeting of Shareholders</w:t>
              </w:r>
            </w:hyperlink>
          </w:p>
        </w:tc>
        <w:tc>
          <w:tcPr>
            <w:tcW w:w="3760" w:type="dxa"/>
            <w:vAlign w:val="bottom"/>
            <w:gridSpan w:val="14"/>
          </w:tcPr>
          <w:p>
            <w:pPr>
              <w:spacing w:after="0"/>
              <w:rPr>
                <w:sz w:val="13"/>
                <w:szCs w:val="13"/>
                <w:color w:val="auto"/>
              </w:rPr>
            </w:pPr>
          </w:p>
        </w:tc>
        <w:tc>
          <w:tcPr>
            <w:tcW w:w="860" w:type="dxa"/>
            <w:vAlign w:val="bottom"/>
          </w:tcPr>
          <w:p>
            <w:pPr>
              <w:jc w:val="right"/>
              <w:spacing w:after="0" w:line="155" w:lineRule="exact"/>
              <w:rPr>
                <w:sz w:val="20"/>
                <w:szCs w:val="20"/>
                <w:color w:val="auto"/>
              </w:rPr>
            </w:pPr>
            <w:r>
              <w:rPr>
                <w:rFonts w:ascii="Arial" w:cs="Arial" w:eastAsia="Arial" w:hAnsi="Arial"/>
                <w:sz w:val="16"/>
                <w:szCs w:val="16"/>
                <w:color w:val="333D3F"/>
              </w:rPr>
              <w:t>73</w:t>
            </w:r>
          </w:p>
        </w:tc>
        <w:tc>
          <w:tcPr>
            <w:tcW w:w="0" w:type="dxa"/>
            <w:vAlign w:val="bottom"/>
          </w:tcPr>
          <w:p>
            <w:pPr>
              <w:spacing w:after="0"/>
              <w:rPr>
                <w:sz w:val="1"/>
                <w:szCs w:val="1"/>
                <w:color w:val="auto"/>
              </w:rPr>
            </w:pPr>
          </w:p>
        </w:tc>
      </w:tr>
      <w:tr>
        <w:trPr>
          <w:trHeight w:val="169"/>
        </w:trPr>
        <w:tc>
          <w:tcPr>
            <w:tcW w:w="1600" w:type="dxa"/>
            <w:vAlign w:val="bottom"/>
            <w:tcBorders>
              <w:bottom w:val="single" w:sz="8" w:color="0000EE"/>
            </w:tcBorders>
            <w:gridSpan w:val="9"/>
          </w:tcPr>
          <w:p>
            <w:pPr>
              <w:spacing w:after="0" w:line="169" w:lineRule="exact"/>
              <w:rPr>
                <w:rFonts w:ascii="Arial" w:cs="Arial" w:eastAsia="Arial" w:hAnsi="Arial"/>
                <w:sz w:val="16"/>
                <w:szCs w:val="16"/>
                <w:color w:val="0000EE"/>
                <w:w w:val="99"/>
              </w:rPr>
            </w:pPr>
            <w:hyperlink w:anchor="page84">
              <w:r>
                <w:rPr>
                  <w:rFonts w:ascii="Arial" w:cs="Arial" w:eastAsia="Arial" w:hAnsi="Arial"/>
                  <w:sz w:val="16"/>
                  <w:szCs w:val="16"/>
                  <w:color w:val="0000EE"/>
                  <w:w w:val="99"/>
                </w:rPr>
                <w:t>Voting and Solicitation</w:t>
              </w:r>
            </w:hyperlink>
          </w:p>
        </w:tc>
        <w:tc>
          <w:tcPr>
            <w:tcW w:w="5200" w:type="dxa"/>
            <w:vAlign w:val="bottom"/>
            <w:gridSpan w:val="26"/>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73</w:t>
            </w:r>
          </w:p>
        </w:tc>
        <w:tc>
          <w:tcPr>
            <w:tcW w:w="0" w:type="dxa"/>
            <w:vAlign w:val="bottom"/>
          </w:tcPr>
          <w:p>
            <w:pPr>
              <w:spacing w:after="0"/>
              <w:rPr>
                <w:sz w:val="1"/>
                <w:szCs w:val="1"/>
                <w:color w:val="auto"/>
              </w:rPr>
            </w:pPr>
          </w:p>
        </w:tc>
      </w:tr>
      <w:tr>
        <w:trPr>
          <w:trHeight w:val="169"/>
        </w:trPr>
        <w:tc>
          <w:tcPr>
            <w:tcW w:w="1360" w:type="dxa"/>
            <w:vAlign w:val="bottom"/>
            <w:tcBorders>
              <w:bottom w:val="single" w:sz="8" w:color="0000EE"/>
            </w:tcBorders>
            <w:gridSpan w:val="4"/>
          </w:tcPr>
          <w:p>
            <w:pPr>
              <w:spacing w:after="0" w:line="169" w:lineRule="exact"/>
              <w:rPr>
                <w:rFonts w:ascii="Arial" w:cs="Arial" w:eastAsia="Arial" w:hAnsi="Arial"/>
                <w:sz w:val="16"/>
                <w:szCs w:val="16"/>
                <w:color w:val="0000EE"/>
                <w:w w:val="98"/>
              </w:rPr>
            </w:pPr>
            <w:hyperlink w:anchor="page85">
              <w:r>
                <w:rPr>
                  <w:rFonts w:ascii="Arial" w:cs="Arial" w:eastAsia="Arial" w:hAnsi="Arial"/>
                  <w:sz w:val="16"/>
                  <w:szCs w:val="16"/>
                  <w:color w:val="0000EE"/>
                  <w:w w:val="98"/>
                </w:rPr>
                <w:t>How You Can Vote</w:t>
              </w:r>
            </w:hyperlink>
          </w:p>
        </w:tc>
        <w:tc>
          <w:tcPr>
            <w:tcW w:w="5440" w:type="dxa"/>
            <w:vAlign w:val="bottom"/>
            <w:gridSpan w:val="31"/>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74</w:t>
            </w:r>
          </w:p>
        </w:tc>
        <w:tc>
          <w:tcPr>
            <w:tcW w:w="0" w:type="dxa"/>
            <w:vAlign w:val="bottom"/>
          </w:tcPr>
          <w:p>
            <w:pPr>
              <w:spacing w:after="0"/>
              <w:rPr>
                <w:sz w:val="1"/>
                <w:szCs w:val="1"/>
                <w:color w:val="auto"/>
              </w:rPr>
            </w:pPr>
          </w:p>
        </w:tc>
      </w:tr>
      <w:tr>
        <w:trPr>
          <w:trHeight w:val="169"/>
        </w:trPr>
        <w:tc>
          <w:tcPr>
            <w:tcW w:w="6800" w:type="dxa"/>
            <w:vAlign w:val="bottom"/>
            <w:gridSpan w:val="35"/>
          </w:tcPr>
          <w:p>
            <w:pPr>
              <w:spacing w:after="0" w:line="169" w:lineRule="exact"/>
              <w:rPr>
                <w:rFonts w:ascii="Arial" w:cs="Arial" w:eastAsia="Arial" w:hAnsi="Arial"/>
                <w:sz w:val="16"/>
                <w:szCs w:val="16"/>
                <w:color w:val="0000EE"/>
              </w:rPr>
            </w:pPr>
            <w:hyperlink w:anchor="page85">
              <w:r>
                <w:rPr>
                  <w:rFonts w:ascii="Arial" w:cs="Arial" w:eastAsia="Arial" w:hAnsi="Arial"/>
                  <w:sz w:val="16"/>
                  <w:szCs w:val="16"/>
                  <w:color w:val="0000EE"/>
                </w:rPr>
                <w:t>Revocability of Proxies</w:t>
              </w:r>
            </w:hyperlink>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74</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gridSpan w:val="13"/>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0" w:type="dxa"/>
            <w:vAlign w:val="bottom"/>
            <w:gridSpan w:val="35"/>
          </w:tcPr>
          <w:p>
            <w:pPr>
              <w:spacing w:after="0" w:line="169" w:lineRule="exact"/>
              <w:rPr>
                <w:rFonts w:ascii="Arial" w:cs="Arial" w:eastAsia="Arial" w:hAnsi="Arial"/>
                <w:sz w:val="16"/>
                <w:szCs w:val="16"/>
                <w:color w:val="0000EE"/>
              </w:rPr>
            </w:pPr>
            <w:hyperlink w:anchor="page85">
              <w:r>
                <w:rPr>
                  <w:rFonts w:ascii="Arial" w:cs="Arial" w:eastAsia="Arial" w:hAnsi="Arial"/>
                  <w:sz w:val="16"/>
                  <w:szCs w:val="16"/>
                  <w:color w:val="0000EE"/>
                </w:rPr>
                <w:t>Attending the Annual Meeting</w:t>
              </w:r>
            </w:hyperlink>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74</w:t>
            </w: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8"/>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180" w:type="dxa"/>
            <w:vAlign w:val="bottom"/>
            <w:gridSpan w:val="13"/>
          </w:tcPr>
          <w:p>
            <w:pPr>
              <w:spacing w:after="0" w:line="20" w:lineRule="exact"/>
              <w:rPr>
                <w:sz w:val="1"/>
                <w:szCs w:val="1"/>
                <w:color w:val="auto"/>
              </w:rPr>
            </w:pPr>
          </w:p>
        </w:tc>
        <w:tc>
          <w:tcPr>
            <w:tcW w:w="3500" w:type="dxa"/>
            <w:vAlign w:val="bottom"/>
            <w:gridSpan w:val="1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tcBorders>
              <w:bottom w:val="single" w:sz="8" w:color="0000EE"/>
            </w:tcBorders>
            <w:gridSpan w:val="25"/>
          </w:tcPr>
          <w:p>
            <w:pPr>
              <w:spacing w:after="0" w:line="169" w:lineRule="exact"/>
              <w:rPr>
                <w:rFonts w:ascii="Arial" w:cs="Arial" w:eastAsia="Arial" w:hAnsi="Arial"/>
                <w:sz w:val="16"/>
                <w:szCs w:val="16"/>
                <w:color w:val="0000EE"/>
              </w:rPr>
            </w:pPr>
            <w:hyperlink w:anchor="page86">
              <w:r>
                <w:rPr>
                  <w:rFonts w:ascii="Arial" w:cs="Arial" w:eastAsia="Arial" w:hAnsi="Arial"/>
                  <w:sz w:val="16"/>
                  <w:szCs w:val="16"/>
                  <w:color w:val="0000EE"/>
                </w:rPr>
                <w:t>Proxy Procedure and Expenses of Solicitation</w:t>
              </w:r>
            </w:hyperlink>
          </w:p>
        </w:tc>
        <w:tc>
          <w:tcPr>
            <w:tcW w:w="3500" w:type="dxa"/>
            <w:vAlign w:val="bottom"/>
            <w:gridSpan w:val="10"/>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75</w:t>
            </w:r>
          </w:p>
        </w:tc>
        <w:tc>
          <w:tcPr>
            <w:tcW w:w="0" w:type="dxa"/>
            <w:vAlign w:val="bottom"/>
          </w:tcPr>
          <w:p>
            <w:pPr>
              <w:spacing w:after="0"/>
              <w:rPr>
                <w:sz w:val="1"/>
                <w:szCs w:val="1"/>
                <w:color w:val="auto"/>
              </w:rPr>
            </w:pPr>
          </w:p>
        </w:tc>
      </w:tr>
      <w:tr>
        <w:trPr>
          <w:trHeight w:val="169"/>
        </w:trPr>
        <w:tc>
          <w:tcPr>
            <w:tcW w:w="1660" w:type="dxa"/>
            <w:vAlign w:val="bottom"/>
            <w:tcBorders>
              <w:bottom w:val="single" w:sz="8" w:color="0000EE"/>
            </w:tcBorders>
            <w:gridSpan w:val="11"/>
          </w:tcPr>
          <w:p>
            <w:pPr>
              <w:spacing w:after="0" w:line="169" w:lineRule="exact"/>
              <w:rPr>
                <w:rFonts w:ascii="Arial" w:cs="Arial" w:eastAsia="Arial" w:hAnsi="Arial"/>
                <w:sz w:val="16"/>
                <w:szCs w:val="16"/>
                <w:color w:val="0000EE"/>
              </w:rPr>
            </w:pPr>
            <w:hyperlink w:anchor="page86">
              <w:r>
                <w:rPr>
                  <w:rFonts w:ascii="Arial" w:cs="Arial" w:eastAsia="Arial" w:hAnsi="Arial"/>
                  <w:sz w:val="16"/>
                  <w:szCs w:val="16"/>
                  <w:color w:val="0000EE"/>
                </w:rPr>
                <w:t>Shareholder Proposals</w:t>
              </w:r>
            </w:hyperlink>
          </w:p>
        </w:tc>
        <w:tc>
          <w:tcPr>
            <w:tcW w:w="5140" w:type="dxa"/>
            <w:vAlign w:val="bottom"/>
            <w:gridSpan w:val="24"/>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75</w:t>
            </w:r>
          </w:p>
        </w:tc>
        <w:tc>
          <w:tcPr>
            <w:tcW w:w="0" w:type="dxa"/>
            <w:vAlign w:val="bottom"/>
          </w:tcPr>
          <w:p>
            <w:pPr>
              <w:spacing w:after="0"/>
              <w:rPr>
                <w:sz w:val="1"/>
                <w:szCs w:val="1"/>
                <w:color w:val="auto"/>
              </w:rPr>
            </w:pPr>
          </w:p>
        </w:tc>
      </w:tr>
      <w:tr>
        <w:trPr>
          <w:trHeight w:val="169"/>
        </w:trPr>
        <w:tc>
          <w:tcPr>
            <w:tcW w:w="1040" w:type="dxa"/>
            <w:vAlign w:val="bottom"/>
            <w:tcBorders>
              <w:bottom w:val="single" w:sz="8" w:color="0000EE"/>
            </w:tcBorders>
            <w:gridSpan w:val="2"/>
          </w:tcPr>
          <w:p>
            <w:pPr>
              <w:spacing w:after="0" w:line="169" w:lineRule="exact"/>
              <w:rPr>
                <w:rFonts w:ascii="Arial" w:cs="Arial" w:eastAsia="Arial" w:hAnsi="Arial"/>
                <w:sz w:val="16"/>
                <w:szCs w:val="16"/>
                <w:color w:val="0000EE"/>
                <w:w w:val="99"/>
              </w:rPr>
            </w:pPr>
            <w:hyperlink w:anchor="page87">
              <w:r>
                <w:rPr>
                  <w:rFonts w:ascii="Arial" w:cs="Arial" w:eastAsia="Arial" w:hAnsi="Arial"/>
                  <w:sz w:val="16"/>
                  <w:szCs w:val="16"/>
                  <w:color w:val="0000EE"/>
                  <w:w w:val="99"/>
                </w:rPr>
                <w:t>Annual Report</w:t>
              </w:r>
            </w:hyperlink>
          </w:p>
        </w:tc>
        <w:tc>
          <w:tcPr>
            <w:tcW w:w="5760" w:type="dxa"/>
            <w:vAlign w:val="bottom"/>
            <w:gridSpan w:val="33"/>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76</w:t>
            </w:r>
          </w:p>
        </w:tc>
        <w:tc>
          <w:tcPr>
            <w:tcW w:w="0" w:type="dxa"/>
            <w:vAlign w:val="bottom"/>
          </w:tcPr>
          <w:p>
            <w:pPr>
              <w:spacing w:after="0"/>
              <w:rPr>
                <w:sz w:val="1"/>
                <w:szCs w:val="1"/>
                <w:color w:val="auto"/>
              </w:rPr>
            </w:pPr>
          </w:p>
        </w:tc>
      </w:tr>
      <w:tr>
        <w:trPr>
          <w:trHeight w:val="169"/>
        </w:trPr>
        <w:tc>
          <w:tcPr>
            <w:tcW w:w="1000" w:type="dxa"/>
            <w:vAlign w:val="bottom"/>
            <w:tcBorders>
              <w:bottom w:val="single" w:sz="8" w:color="0000EE"/>
            </w:tcBorders>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Householding</w:t>
              </w:r>
            </w:hyperlink>
          </w:p>
        </w:tc>
        <w:tc>
          <w:tcPr>
            <w:tcW w:w="5800" w:type="dxa"/>
            <w:vAlign w:val="bottom"/>
            <w:gridSpan w:val="34"/>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76</w:t>
            </w:r>
          </w:p>
        </w:tc>
        <w:tc>
          <w:tcPr>
            <w:tcW w:w="0" w:type="dxa"/>
            <w:vAlign w:val="bottom"/>
          </w:tcPr>
          <w:p>
            <w:pPr>
              <w:spacing w:after="0"/>
              <w:rPr>
                <w:sz w:val="1"/>
                <w:szCs w:val="1"/>
                <w:color w:val="auto"/>
              </w:rPr>
            </w:pPr>
          </w:p>
        </w:tc>
      </w:tr>
      <w:tr>
        <w:trPr>
          <w:trHeight w:val="169"/>
        </w:trPr>
        <w:tc>
          <w:tcPr>
            <w:tcW w:w="1120" w:type="dxa"/>
            <w:vAlign w:val="bottom"/>
            <w:tcBorders>
              <w:bottom w:val="single" w:sz="8" w:color="0000EE"/>
            </w:tcBorders>
            <w:gridSpan w:val="3"/>
          </w:tcPr>
          <w:p>
            <w:pPr>
              <w:spacing w:after="0" w:line="169" w:lineRule="exact"/>
              <w:rPr>
                <w:rFonts w:ascii="Arial" w:cs="Arial" w:eastAsia="Arial" w:hAnsi="Arial"/>
                <w:sz w:val="16"/>
                <w:szCs w:val="16"/>
                <w:color w:val="0000EE"/>
              </w:rPr>
            </w:pPr>
            <w:hyperlink w:anchor="page87">
              <w:r>
                <w:rPr>
                  <w:rFonts w:ascii="Arial" w:cs="Arial" w:eastAsia="Arial" w:hAnsi="Arial"/>
                  <w:sz w:val="16"/>
                  <w:szCs w:val="16"/>
                  <w:color w:val="0000EE"/>
                </w:rPr>
                <w:t>Other Business</w:t>
              </w:r>
            </w:hyperlink>
          </w:p>
        </w:tc>
        <w:tc>
          <w:tcPr>
            <w:tcW w:w="5680" w:type="dxa"/>
            <w:vAlign w:val="bottom"/>
            <w:gridSpan w:val="32"/>
          </w:tcPr>
          <w:p>
            <w:pPr>
              <w:spacing w:after="0"/>
              <w:rPr>
                <w:sz w:val="14"/>
                <w:szCs w:val="14"/>
                <w:color w:val="auto"/>
              </w:rPr>
            </w:pPr>
          </w:p>
        </w:tc>
        <w:tc>
          <w:tcPr>
            <w:tcW w:w="860" w:type="dxa"/>
            <w:vAlign w:val="bottom"/>
          </w:tcPr>
          <w:p>
            <w:pPr>
              <w:jc w:val="right"/>
              <w:spacing w:after="0" w:line="169" w:lineRule="exact"/>
              <w:rPr>
                <w:sz w:val="20"/>
                <w:szCs w:val="20"/>
                <w:color w:val="auto"/>
              </w:rPr>
            </w:pPr>
            <w:r>
              <w:rPr>
                <w:rFonts w:ascii="Arial" w:cs="Arial" w:eastAsia="Arial" w:hAnsi="Arial"/>
                <w:sz w:val="16"/>
                <w:szCs w:val="16"/>
                <w:color w:val="333D3F"/>
              </w:rPr>
              <w:t>76</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357505</wp:posOffset>
            </wp:positionV>
            <wp:extent cx="7029450" cy="915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Introduction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this section, Wynn Resorts, Limited (the “Company,” “Wynn Resorts,” or “we”) will tell you about: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Board Composition and Diversity</w:t>
      </w:r>
    </w:p>
    <w:p>
      <w:pPr>
        <w:ind w:left="120"/>
        <w:spacing w:after="0" w:line="234" w:lineRule="auto"/>
        <w:rPr>
          <w:sz w:val="20"/>
          <w:szCs w:val="20"/>
          <w:color w:val="auto"/>
        </w:rPr>
      </w:pPr>
      <w:r>
        <w:rPr>
          <w:rFonts w:ascii="Arial" w:cs="Arial" w:eastAsia="Arial" w:hAnsi="Arial"/>
          <w:sz w:val="18"/>
          <w:szCs w:val="18"/>
          <w:color w:val="auto"/>
        </w:rPr>
        <w:t>–   Director Skills and Experience</w:t>
      </w:r>
    </w:p>
    <w:p>
      <w:pPr>
        <w:ind w:left="120"/>
        <w:spacing w:after="0" w:line="234" w:lineRule="auto"/>
        <w:rPr>
          <w:sz w:val="20"/>
          <w:szCs w:val="20"/>
          <w:color w:val="auto"/>
        </w:rPr>
      </w:pPr>
      <w:r>
        <w:rPr>
          <w:rFonts w:ascii="Arial" w:cs="Arial" w:eastAsia="Arial" w:hAnsi="Arial"/>
          <w:sz w:val="18"/>
          <w:szCs w:val="18"/>
          <w:color w:val="auto"/>
        </w:rPr>
        <w:t>–   Director Biographies</w:t>
      </w:r>
    </w:p>
    <w:p>
      <w:pPr>
        <w:ind w:left="120"/>
        <w:spacing w:after="0" w:line="234" w:lineRule="auto"/>
        <w:rPr>
          <w:sz w:val="20"/>
          <w:szCs w:val="20"/>
          <w:color w:val="auto"/>
        </w:rPr>
      </w:pPr>
      <w:r>
        <w:rPr>
          <w:rFonts w:ascii="Arial" w:cs="Arial" w:eastAsia="Arial" w:hAnsi="Arial"/>
          <w:sz w:val="18"/>
          <w:szCs w:val="18"/>
          <w:color w:val="auto"/>
        </w:rPr>
        <w:t>–   Why Our Board Governance is Effective</w:t>
      </w:r>
    </w:p>
    <w:p>
      <w:pPr>
        <w:ind w:left="120"/>
        <w:spacing w:after="0" w:line="234" w:lineRule="auto"/>
        <w:rPr>
          <w:sz w:val="20"/>
          <w:szCs w:val="20"/>
          <w:color w:val="auto"/>
        </w:rPr>
      </w:pPr>
      <w:r>
        <w:rPr>
          <w:rFonts w:ascii="Arial" w:cs="Arial" w:eastAsia="Arial" w:hAnsi="Arial"/>
          <w:sz w:val="18"/>
          <w:szCs w:val="18"/>
          <w:color w:val="auto"/>
        </w:rPr>
        <w:t>–   Board Committees</w:t>
      </w:r>
    </w:p>
    <w:p>
      <w:pPr>
        <w:ind w:left="120"/>
        <w:spacing w:after="0" w:line="234" w:lineRule="auto"/>
        <w:rPr>
          <w:sz w:val="20"/>
          <w:szCs w:val="20"/>
          <w:color w:val="auto"/>
        </w:rPr>
      </w:pPr>
      <w:r>
        <w:rPr>
          <w:rFonts w:ascii="Arial" w:cs="Arial" w:eastAsia="Arial" w:hAnsi="Arial"/>
          <w:sz w:val="18"/>
          <w:szCs w:val="18"/>
          <w:color w:val="auto"/>
        </w:rPr>
        <w:t>–   Board Governance</w:t>
      </w:r>
    </w:p>
    <w:p>
      <w:pPr>
        <w:ind w:left="120"/>
        <w:spacing w:after="0" w:line="234" w:lineRule="auto"/>
        <w:rPr>
          <w:sz w:val="20"/>
          <w:szCs w:val="20"/>
          <w:color w:val="auto"/>
        </w:rPr>
      </w:pPr>
      <w:r>
        <w:rPr>
          <w:rFonts w:ascii="Arial" w:cs="Arial" w:eastAsia="Arial" w:hAnsi="Arial"/>
          <w:sz w:val="18"/>
          <w:szCs w:val="18"/>
          <w:color w:val="auto"/>
        </w:rPr>
        <w:t>–   Board Role in Risk Oversight</w:t>
      </w:r>
    </w:p>
    <w:p>
      <w:pPr>
        <w:ind w:left="120"/>
        <w:spacing w:after="0" w:line="234" w:lineRule="auto"/>
        <w:rPr>
          <w:sz w:val="20"/>
          <w:szCs w:val="20"/>
          <w:color w:val="auto"/>
        </w:rPr>
      </w:pPr>
      <w:r>
        <w:rPr>
          <w:rFonts w:ascii="Arial" w:cs="Arial" w:eastAsia="Arial" w:hAnsi="Arial"/>
          <w:sz w:val="18"/>
          <w:szCs w:val="18"/>
          <w:color w:val="auto"/>
        </w:rPr>
        <w:t>–   Board Meetings/Annual Meeting</w:t>
      </w:r>
    </w:p>
    <w:p>
      <w:pPr>
        <w:ind w:left="120"/>
        <w:spacing w:after="0" w:line="234" w:lineRule="auto"/>
        <w:rPr>
          <w:sz w:val="20"/>
          <w:szCs w:val="20"/>
          <w:color w:val="auto"/>
        </w:rPr>
      </w:pPr>
      <w:r>
        <w:rPr>
          <w:rFonts w:ascii="Arial" w:cs="Arial" w:eastAsia="Arial" w:hAnsi="Arial"/>
          <w:sz w:val="18"/>
          <w:szCs w:val="18"/>
          <w:color w:val="auto"/>
        </w:rPr>
        <w:t>–   Board Communication and Engagement</w:t>
      </w:r>
    </w:p>
    <w:p>
      <w:pPr>
        <w:ind w:left="120"/>
        <w:spacing w:after="0" w:line="234" w:lineRule="auto"/>
        <w:rPr>
          <w:sz w:val="20"/>
          <w:szCs w:val="20"/>
          <w:color w:val="auto"/>
        </w:rPr>
      </w:pPr>
      <w:r>
        <w:rPr>
          <w:rFonts w:ascii="Arial" w:cs="Arial" w:eastAsia="Arial" w:hAnsi="Arial"/>
          <w:sz w:val="18"/>
          <w:szCs w:val="18"/>
          <w:color w:val="auto"/>
        </w:rPr>
        <w:t>–   Shareholder Engagement</w:t>
      </w:r>
    </w:p>
    <w:p>
      <w:pPr>
        <w:ind w:left="120"/>
        <w:spacing w:after="0"/>
        <w:rPr>
          <w:sz w:val="20"/>
          <w:szCs w:val="20"/>
          <w:color w:val="auto"/>
        </w:rPr>
      </w:pPr>
      <w:r>
        <w:rPr>
          <w:rFonts w:ascii="Arial" w:cs="Arial" w:eastAsia="Arial" w:hAnsi="Arial"/>
          <w:sz w:val="18"/>
          <w:szCs w:val="18"/>
          <w:color w:val="auto"/>
        </w:rPr>
        <w:t>–   Board Compensation</w:t>
      </w:r>
    </w:p>
    <w:p>
      <w:pPr>
        <w:spacing w:after="0" w:line="200" w:lineRule="exact"/>
        <w:rPr>
          <w:sz w:val="20"/>
          <w:szCs w:val="20"/>
          <w:color w:val="auto"/>
        </w:rPr>
      </w:pPr>
    </w:p>
    <w:p>
      <w:pPr>
        <w:spacing w:after="0" w:line="288"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Board composition and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7029450" cy="1834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0" cy="183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120" w:right="140"/>
        <w:spacing w:after="0"/>
        <w:rPr>
          <w:sz w:val="20"/>
          <w:szCs w:val="20"/>
          <w:color w:val="auto"/>
        </w:rPr>
      </w:pPr>
      <w:r>
        <w:rPr>
          <w:rFonts w:ascii="Arial" w:cs="Arial" w:eastAsia="Arial" w:hAnsi="Arial"/>
          <w:sz w:val="18"/>
          <w:szCs w:val="18"/>
          <w:color w:val="auto"/>
        </w:rPr>
        <w:t>Our Nominating and Corporate Governance Committee is committed to maintaining a Board of Directors (“Board”) with a broad spectrum of experience and expertise that will promote the presentation and consideration of different points of view, meet the Company’s evolving needs and strengthen our diversity.</w:t>
      </w:r>
    </w:p>
    <w:p>
      <w:pPr>
        <w:spacing w:after="0" w:line="20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2019, the Nominating and Corporate Governance Committee reinforced the Board’s commitment to diversity of experiences and perspectives among its members. The Nominating and Corporate Governance Committee amended the Company’s Corporate Governance Guidelines to adopt an NFL-style “Rooney Rule” policy to include, and have any search firm that it engages to include, candidates with a diverse – race, gender, and ethnicity – background when evaluating new candidates for the Board. At that time, the Nominating and Corporate Governance Committee had also established a goal of achieving 50% diversity among Board members. These considerations have been important factors in recent additions to the Board, including the appointment of Mr. Strom to the Board.</w:t>
      </w:r>
    </w:p>
    <w:p>
      <w:pPr>
        <w:spacing w:after="0" w:line="205" w:lineRule="exact"/>
        <w:rPr>
          <w:sz w:val="20"/>
          <w:szCs w:val="20"/>
          <w:color w:val="auto"/>
        </w:rPr>
      </w:pPr>
    </w:p>
    <w:p>
      <w:pPr>
        <w:ind w:left="120" w:right="3060"/>
        <w:spacing w:after="0" w:line="246" w:lineRule="auto"/>
        <w:rPr>
          <w:sz w:val="20"/>
          <w:szCs w:val="20"/>
          <w:color w:val="auto"/>
        </w:rPr>
      </w:pPr>
      <w:r>
        <w:rPr>
          <w:rFonts w:ascii="Arial" w:cs="Arial" w:eastAsia="Arial" w:hAnsi="Arial"/>
          <w:sz w:val="18"/>
          <w:szCs w:val="18"/>
          <w:color w:val="auto"/>
        </w:rPr>
        <w:t>As of the 2021 Annual Meeting, our board is 50% diverse, with four female directors and one racially diverse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802640</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0" w:hanging="164"/>
        <w:spacing w:after="0"/>
        <w:tabs>
          <w:tab w:leader="none" w:pos="280" w:val="left"/>
        </w:tabs>
        <w:numPr>
          <w:ilvl w:val="0"/>
          <w:numId w:val="6"/>
        </w:numPr>
        <w:rPr>
          <w:rFonts w:ascii="Arial" w:cs="Arial" w:eastAsia="Arial" w:hAnsi="Arial"/>
          <w:sz w:val="11"/>
          <w:szCs w:val="11"/>
          <w:color w:val="auto"/>
        </w:rPr>
      </w:pPr>
      <w:r>
        <w:rPr>
          <w:rFonts w:ascii="Arial" w:cs="Arial" w:eastAsia="Arial" w:hAnsi="Arial"/>
          <w:sz w:val="13"/>
          <w:szCs w:val="13"/>
          <w:color w:val="auto"/>
        </w:rPr>
        <w:t>Comparisons are based on information contained in the 2020 US Spencer Stuart Board Index.</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1</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Director skills and experience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current directors exhibit an effective mix of skills, experience and diversity: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54"/>
          <w:szCs w:val="54"/>
          <w:color w:val="1C8C4F"/>
        </w:rPr>
        <w:t>Wynn Resorts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54"/>
          <w:szCs w:val="54"/>
          <w:color w:val="1C8C4F"/>
        </w:rPr>
        <w:t>board qualifications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54"/>
          <w:szCs w:val="54"/>
          <w:color w:val="1C8C4F"/>
        </w:rPr>
        <w:t>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6995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596900</wp:posOffset>
            </wp:positionV>
            <wp:extent cx="5554980" cy="3128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5498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800" w:hanging="684"/>
        <w:spacing w:after="0"/>
        <w:tabs>
          <w:tab w:leader="none" w:pos="800" w:val="left"/>
        </w:tabs>
        <w:numPr>
          <w:ilvl w:val="0"/>
          <w:numId w:val="7"/>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0139"/>
          </w:cols>
          <w:pgMar w:left="320" w:top="45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302"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 xml:space="preserve">Director biographies </w:t>
      </w:r>
      <w:r>
        <w:rPr>
          <w:rFonts w:ascii="Arial" w:cs="Arial" w:eastAsia="Arial" w:hAnsi="Arial"/>
          <w:sz w:val="14"/>
          <w:szCs w:val="14"/>
          <w:color w:val="333D3F"/>
        </w:rPr>
        <w:t>Biographical and other information for our directors is provided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99695</wp:posOffset>
            </wp:positionV>
            <wp:extent cx="69951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32"/>
          <w:szCs w:val="32"/>
          <w:color w:val="1C8C4F"/>
        </w:rPr>
        <w:t xml:space="preserve">Betsy S. Atkins </w:t>
      </w:r>
      <w:r>
        <w:rPr>
          <w:rFonts w:ascii="Arial" w:cs="Arial" w:eastAsia="Arial" w:hAnsi="Arial"/>
          <w:sz w:val="14"/>
          <w:szCs w:val="14"/>
          <w:i w:val="1"/>
          <w:iCs w:val="1"/>
          <w:color w:val="333D3F"/>
        </w:rPr>
        <w:t>Chief Executive Officer and Founder, Baja Corporation</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Ms. Atkins has been the Chief Executive Officer of Baja Corporation, an independent venture capital firm focused on technology,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renewable energy and life sciences, since 1994. Ms. Atkins currently serves on the Board of SL Green Realty (since April 2015), and other private companies.</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1680210" cy="27857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ind w:left="3260" w:hanging="120"/>
        <w:spacing w:after="0"/>
        <w:tabs>
          <w:tab w:leader="none" w:pos="3260" w:val="left"/>
        </w:tabs>
        <w:numPr>
          <w:ilvl w:val="0"/>
          <w:numId w:val="8"/>
        </w:numPr>
        <w:rPr>
          <w:rFonts w:ascii="Arial" w:cs="Arial" w:eastAsia="Arial" w:hAnsi="Arial"/>
          <w:sz w:val="14"/>
          <w:szCs w:val="14"/>
          <w:color w:val="1C8C4F"/>
        </w:rPr>
      </w:pPr>
      <w:r>
        <w:rPr>
          <w:rFonts w:ascii="Arial" w:cs="Arial" w:eastAsia="Arial" w:hAnsi="Arial"/>
          <w:sz w:val="14"/>
          <w:szCs w:val="14"/>
          <w:color w:val="auto"/>
        </w:rPr>
        <w:t>2016 to October 2018: Director, Cognizant Technology Solutions</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8"/>
        </w:numPr>
        <w:rPr>
          <w:rFonts w:ascii="Arial" w:cs="Arial" w:eastAsia="Arial" w:hAnsi="Arial"/>
          <w:sz w:val="14"/>
          <w:szCs w:val="14"/>
          <w:color w:val="1C8C4F"/>
        </w:rPr>
      </w:pPr>
      <w:r>
        <w:rPr>
          <w:rFonts w:ascii="Arial" w:cs="Arial" w:eastAsia="Arial" w:hAnsi="Arial"/>
          <w:sz w:val="14"/>
          <w:szCs w:val="14"/>
          <w:color w:val="auto"/>
        </w:rPr>
        <w:t>2013 to 2016: Chair, APX Labs (a Google Glass enterprise software company)</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8"/>
        </w:numPr>
        <w:rPr>
          <w:rFonts w:ascii="Arial" w:cs="Arial" w:eastAsia="Arial" w:hAnsi="Arial"/>
          <w:sz w:val="14"/>
          <w:szCs w:val="14"/>
          <w:color w:val="1C8C4F"/>
        </w:rPr>
      </w:pPr>
      <w:r>
        <w:rPr>
          <w:rFonts w:ascii="Arial" w:cs="Arial" w:eastAsia="Arial" w:hAnsi="Arial"/>
          <w:sz w:val="14"/>
          <w:szCs w:val="14"/>
          <w:color w:val="auto"/>
        </w:rPr>
        <w:t>February 2009 to August 2009: Chair and Chief Executive Officer, Clear Standards (until acquired by SAP)</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8"/>
        </w:numPr>
        <w:rPr>
          <w:rFonts w:ascii="Arial" w:cs="Arial" w:eastAsia="Arial" w:hAnsi="Arial"/>
          <w:sz w:val="14"/>
          <w:szCs w:val="14"/>
          <w:color w:val="1C8C4F"/>
        </w:rPr>
      </w:pPr>
      <w:r>
        <w:rPr>
          <w:rFonts w:ascii="Arial" w:cs="Arial" w:eastAsia="Arial" w:hAnsi="Arial"/>
          <w:sz w:val="14"/>
          <w:szCs w:val="14"/>
          <w:color w:val="auto"/>
        </w:rPr>
        <w:t>1991 to 1993: Chair and Chief Executive Officer, NCI</w:t>
      </w:r>
    </w:p>
    <w:p>
      <w:pPr>
        <w:spacing w:after="0" w:line="82" w:lineRule="exact"/>
        <w:rPr>
          <w:rFonts w:ascii="Arial" w:cs="Arial" w:eastAsia="Arial" w:hAnsi="Arial"/>
          <w:sz w:val="14"/>
          <w:szCs w:val="14"/>
          <w:color w:val="1C8C4F"/>
        </w:rPr>
      </w:pPr>
    </w:p>
    <w:p>
      <w:pPr>
        <w:ind w:left="3280" w:right="700" w:hanging="140"/>
        <w:spacing w:after="0" w:line="258" w:lineRule="auto"/>
        <w:tabs>
          <w:tab w:leader="none" w:pos="3265" w:val="left"/>
        </w:tabs>
        <w:numPr>
          <w:ilvl w:val="0"/>
          <w:numId w:val="8"/>
        </w:numPr>
        <w:rPr>
          <w:rFonts w:ascii="Arial" w:cs="Arial" w:eastAsia="Arial" w:hAnsi="Arial"/>
          <w:sz w:val="14"/>
          <w:szCs w:val="14"/>
          <w:color w:val="1C8C4F"/>
        </w:rPr>
      </w:pPr>
      <w:r>
        <w:rPr>
          <w:rFonts w:ascii="Arial" w:cs="Arial" w:eastAsia="Arial" w:hAnsi="Arial"/>
          <w:sz w:val="14"/>
          <w:szCs w:val="14"/>
          <w:color w:val="auto"/>
        </w:rPr>
        <w:t>1989 to 1999: Co-founder, Director, Executive Vice President Sales, Marketing, International Operations, Ascend Communications (until acquired by Lucent Technologies)</w:t>
      </w:r>
    </w:p>
    <w:p>
      <w:pPr>
        <w:spacing w:after="0" w:line="58" w:lineRule="exact"/>
        <w:rPr>
          <w:rFonts w:ascii="Arial" w:cs="Arial" w:eastAsia="Arial" w:hAnsi="Arial"/>
          <w:sz w:val="14"/>
          <w:szCs w:val="14"/>
          <w:color w:val="1C8C4F"/>
        </w:rPr>
      </w:pPr>
    </w:p>
    <w:p>
      <w:pPr>
        <w:ind w:left="3280" w:right="400" w:hanging="140"/>
        <w:spacing w:after="0" w:line="258" w:lineRule="auto"/>
        <w:tabs>
          <w:tab w:leader="none" w:pos="3265" w:val="left"/>
        </w:tabs>
        <w:numPr>
          <w:ilvl w:val="0"/>
          <w:numId w:val="8"/>
        </w:numPr>
        <w:rPr>
          <w:rFonts w:ascii="Arial" w:cs="Arial" w:eastAsia="Arial" w:hAnsi="Arial"/>
          <w:sz w:val="14"/>
          <w:szCs w:val="14"/>
          <w:color w:val="1C8C4F"/>
        </w:rPr>
      </w:pPr>
      <w:r>
        <w:rPr>
          <w:rFonts w:ascii="Arial" w:cs="Arial" w:eastAsia="Arial" w:hAnsi="Arial"/>
          <w:sz w:val="14"/>
          <w:szCs w:val="14"/>
          <w:color w:val="auto"/>
        </w:rPr>
        <w:t>Previously served on the boards of Schneider Electric, HD Supply Holdings, Polycom, SunPower, Chico’s FAS, Ciber, Darden Restaurants</w:t>
      </w:r>
    </w:p>
    <w:p>
      <w:pPr>
        <w:spacing w:after="0" w:line="58" w:lineRule="exact"/>
        <w:rPr>
          <w:rFonts w:ascii="Arial" w:cs="Arial" w:eastAsia="Arial" w:hAnsi="Arial"/>
          <w:sz w:val="14"/>
          <w:szCs w:val="14"/>
          <w:color w:val="1C8C4F"/>
        </w:rPr>
      </w:pPr>
    </w:p>
    <w:p>
      <w:pPr>
        <w:ind w:left="3280" w:right="240" w:hanging="140"/>
        <w:spacing w:after="0" w:line="258" w:lineRule="auto"/>
        <w:tabs>
          <w:tab w:leader="none" w:pos="3265" w:val="left"/>
        </w:tabs>
        <w:numPr>
          <w:ilvl w:val="0"/>
          <w:numId w:val="8"/>
        </w:numPr>
        <w:rPr>
          <w:rFonts w:ascii="Arial" w:cs="Arial" w:eastAsia="Arial" w:hAnsi="Arial"/>
          <w:sz w:val="14"/>
          <w:szCs w:val="14"/>
          <w:color w:val="1C8C4F"/>
        </w:rPr>
      </w:pPr>
      <w:r>
        <w:rPr>
          <w:rFonts w:ascii="Arial" w:cs="Arial" w:eastAsia="Arial" w:hAnsi="Arial"/>
          <w:sz w:val="14"/>
          <w:szCs w:val="14"/>
          <w:color w:val="auto"/>
        </w:rPr>
        <w:t>Formerly Chairman, Executive Advisory Board, SAP, AG, an advisor to British Telecom and presidential-appointee to the Pension Benefit Guaranty Corporation advisory committee</w:t>
      </w:r>
    </w:p>
    <w:p>
      <w:pPr>
        <w:spacing w:after="0" w:line="16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EDUCATION</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Ms. Atkins graduated with a B.A. from the University of Massachusetts.</w:t>
      </w:r>
    </w:p>
    <w:p>
      <w:pPr>
        <w:spacing w:after="0" w:line="18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EXPERTISE</w:t>
      </w:r>
    </w:p>
    <w:p>
      <w:pPr>
        <w:spacing w:after="0" w:line="19" w:lineRule="exact"/>
        <w:rPr>
          <w:sz w:val="20"/>
          <w:szCs w:val="20"/>
          <w:color w:val="auto"/>
        </w:rPr>
      </w:pPr>
    </w:p>
    <w:p>
      <w:pPr>
        <w:jc w:val="both"/>
        <w:ind w:left="3140" w:right="80"/>
        <w:spacing w:after="0" w:line="249" w:lineRule="auto"/>
        <w:rPr>
          <w:sz w:val="20"/>
          <w:szCs w:val="20"/>
          <w:color w:val="auto"/>
        </w:rPr>
      </w:pPr>
      <w:r>
        <w:rPr>
          <w:rFonts w:ascii="Arial" w:cs="Arial" w:eastAsia="Arial" w:hAnsi="Arial"/>
          <w:sz w:val="14"/>
          <w:szCs w:val="14"/>
          <w:color w:val="auto"/>
        </w:rPr>
        <w:t>Ms. Atkins brings to our Board executive leadership and operational experience in various technology, food &amp; beverage and retail industries, as well as significant public board experience and executive compensation, sustainability and enterprise risk management expertise.</w:t>
      </w:r>
    </w:p>
    <w:p>
      <w:pPr>
        <w:spacing w:after="0" w:line="66"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Media/Investor Relations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International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Technology/Digital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Environmental, Social &amp; Governance experience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3</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32"/>
          <w:szCs w:val="32"/>
          <w:color w:val="1C8C4F"/>
        </w:rPr>
        <w:t xml:space="preserve">Richard J. Byrne </w:t>
      </w:r>
      <w:r>
        <w:rPr>
          <w:rFonts w:ascii="Arial" w:cs="Arial" w:eastAsia="Arial" w:hAnsi="Arial"/>
          <w:sz w:val="14"/>
          <w:szCs w:val="14"/>
          <w:i w:val="1"/>
          <w:iCs w:val="1"/>
          <w:color w:val="333D3F"/>
        </w:rPr>
        <w:t>President, Benefit Street Partners</w:t>
      </w:r>
    </w:p>
    <w:p>
      <w:pPr>
        <w:spacing w:after="0" w:line="223" w:lineRule="exact"/>
        <w:rPr>
          <w:sz w:val="20"/>
          <w:szCs w:val="20"/>
          <w:color w:val="auto"/>
        </w:rPr>
      </w:pPr>
    </w:p>
    <w:p>
      <w:pPr>
        <w:ind w:left="120" w:right="60"/>
        <w:spacing w:after="0" w:line="247" w:lineRule="auto"/>
        <w:rPr>
          <w:sz w:val="20"/>
          <w:szCs w:val="20"/>
          <w:color w:val="auto"/>
        </w:rPr>
      </w:pPr>
      <w:r>
        <w:rPr>
          <w:rFonts w:ascii="Arial" w:cs="Arial" w:eastAsia="Arial" w:hAnsi="Arial"/>
          <w:sz w:val="14"/>
          <w:szCs w:val="14"/>
          <w:color w:val="auto"/>
        </w:rPr>
        <w:t>Mr. Byrne has been the President of Benefit Street Partners since 2013. He also serves as Chairman and Chief Executive Officer of Business Development Corporation of America and Chairman and Chief Executive Officer of Benefit Street Partners Realty Trust, Inc. since 2016. Mr. Byrne is also the Chairman and Chief Executive Officer of Broadtree Residential, Inc. and Broadstone Real Estate Access Fund, since 2020. He currently serves on the Board of New York Road Runners (since 2009). He is also the Founder and Chief Executive Officer of Kasai Elite Grappling Championships.</w:t>
      </w:r>
    </w:p>
    <w:p>
      <w:pPr>
        <w:spacing w:after="0" w:line="183"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1680210" cy="27857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ind w:left="3280" w:right="120" w:hanging="140"/>
        <w:spacing w:after="0" w:line="249" w:lineRule="auto"/>
        <w:tabs>
          <w:tab w:leader="none" w:pos="3265" w:val="left"/>
        </w:tabs>
        <w:numPr>
          <w:ilvl w:val="0"/>
          <w:numId w:val="9"/>
        </w:numPr>
        <w:rPr>
          <w:rFonts w:ascii="Arial" w:cs="Arial" w:eastAsia="Arial" w:hAnsi="Arial"/>
          <w:sz w:val="14"/>
          <w:szCs w:val="14"/>
          <w:color w:val="1C8C4F"/>
        </w:rPr>
      </w:pPr>
      <w:r>
        <w:rPr>
          <w:rFonts w:ascii="Arial" w:cs="Arial" w:eastAsia="Arial" w:hAnsi="Arial"/>
          <w:sz w:val="14"/>
          <w:szCs w:val="14"/>
          <w:color w:val="auto"/>
        </w:rPr>
        <w:t>1999 to 2013: Chief Executive Officer, Deutsche Bank Securities, Inc. (2008-2013); Global Co-Head of Capital Markets at Deutsche Bank (2006-2013); member of the Global Banking Executive Committee and the Global Markets Executive Committee (2001-2010)</w:t>
      </w:r>
    </w:p>
    <w:p>
      <w:pPr>
        <w:spacing w:after="0" w:line="65" w:lineRule="exact"/>
        <w:rPr>
          <w:rFonts w:ascii="Arial" w:cs="Arial" w:eastAsia="Arial" w:hAnsi="Arial"/>
          <w:sz w:val="14"/>
          <w:szCs w:val="14"/>
          <w:color w:val="1C8C4F"/>
        </w:rPr>
      </w:pPr>
    </w:p>
    <w:p>
      <w:pPr>
        <w:ind w:left="3260" w:hanging="120"/>
        <w:spacing w:after="0"/>
        <w:tabs>
          <w:tab w:leader="none" w:pos="3260" w:val="left"/>
        </w:tabs>
        <w:numPr>
          <w:ilvl w:val="0"/>
          <w:numId w:val="9"/>
        </w:numPr>
        <w:rPr>
          <w:rFonts w:ascii="Arial" w:cs="Arial" w:eastAsia="Arial" w:hAnsi="Arial"/>
          <w:sz w:val="14"/>
          <w:szCs w:val="14"/>
          <w:color w:val="1C8C4F"/>
        </w:rPr>
      </w:pPr>
      <w:r>
        <w:rPr>
          <w:rFonts w:ascii="Arial" w:cs="Arial" w:eastAsia="Arial" w:hAnsi="Arial"/>
          <w:sz w:val="14"/>
          <w:szCs w:val="14"/>
          <w:color w:val="auto"/>
        </w:rPr>
        <w:t>1985 to 1999: Global Co-Head of the Leveraged Finance Group and Global Head of Credit Research at Merrill Lynch &amp; Co.</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9"/>
        </w:numPr>
        <w:rPr>
          <w:rFonts w:ascii="Arial" w:cs="Arial" w:eastAsia="Arial" w:hAnsi="Arial"/>
          <w:sz w:val="14"/>
          <w:szCs w:val="14"/>
          <w:color w:val="1C8C4F"/>
        </w:rPr>
      </w:pPr>
      <w:r>
        <w:rPr>
          <w:rFonts w:ascii="Arial" w:cs="Arial" w:eastAsia="Arial" w:hAnsi="Arial"/>
          <w:sz w:val="14"/>
          <w:szCs w:val="14"/>
          <w:color w:val="auto"/>
        </w:rPr>
        <w:t>Highly-ranked credit research analyst, principally in the gaming, lodging and leisure sector</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EDUCATION</w:t>
      </w:r>
    </w:p>
    <w:p>
      <w:pPr>
        <w:spacing w:after="0" w:line="19" w:lineRule="exact"/>
        <w:rPr>
          <w:sz w:val="20"/>
          <w:szCs w:val="20"/>
          <w:color w:val="auto"/>
        </w:rPr>
      </w:pPr>
    </w:p>
    <w:p>
      <w:pPr>
        <w:ind w:left="3140" w:right="300"/>
        <w:spacing w:after="0" w:line="258" w:lineRule="auto"/>
        <w:rPr>
          <w:sz w:val="20"/>
          <w:szCs w:val="20"/>
          <w:color w:val="auto"/>
        </w:rPr>
      </w:pPr>
      <w:r>
        <w:rPr>
          <w:rFonts w:ascii="Arial" w:cs="Arial" w:eastAsia="Arial" w:hAnsi="Arial"/>
          <w:sz w:val="14"/>
          <w:szCs w:val="14"/>
          <w:color w:val="auto"/>
        </w:rPr>
        <w:t>Mr. Byrne graduated with a B.A. from Binghamton University and a Masters of Business Administration (M.B.A.) from the Kellogg School of Management at Northwestern University.</w:t>
      </w:r>
    </w:p>
    <w:p>
      <w:pPr>
        <w:spacing w:after="0" w:line="17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EXPERTISE</w:t>
      </w:r>
    </w:p>
    <w:p>
      <w:pPr>
        <w:spacing w:after="0" w:line="19" w:lineRule="exact"/>
        <w:rPr>
          <w:sz w:val="20"/>
          <w:szCs w:val="20"/>
          <w:color w:val="auto"/>
        </w:rPr>
      </w:pPr>
    </w:p>
    <w:p>
      <w:pPr>
        <w:ind w:left="3140"/>
        <w:spacing w:after="0" w:line="249" w:lineRule="auto"/>
        <w:rPr>
          <w:sz w:val="20"/>
          <w:szCs w:val="20"/>
          <w:color w:val="auto"/>
        </w:rPr>
      </w:pPr>
      <w:r>
        <w:rPr>
          <w:rFonts w:ascii="Arial" w:cs="Arial" w:eastAsia="Arial" w:hAnsi="Arial"/>
          <w:sz w:val="14"/>
          <w:szCs w:val="14"/>
          <w:color w:val="auto"/>
        </w:rPr>
        <w:t>Mr. Byrne has extensive high-level experience in the investment banking and financial services industries, adding expertise in corporate finance and substantial knowledge of the public and private capital markets to our Board. Mr. Byrne also has a deep background in the casino industry.</w:t>
      </w:r>
    </w:p>
    <w:p>
      <w:pPr>
        <w:spacing w:after="0" w:line="66"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Financial/Accounting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International experience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800" w:hanging="684"/>
        <w:spacing w:after="0"/>
        <w:tabs>
          <w:tab w:leader="none" w:pos="800" w:val="left"/>
        </w:tabs>
        <w:numPr>
          <w:ilvl w:val="0"/>
          <w:numId w:val="10"/>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32"/>
          <w:szCs w:val="32"/>
          <w:color w:val="1C8C4F"/>
        </w:rPr>
        <w:t xml:space="preserve">Jay L. Johnson </w:t>
      </w:r>
      <w:r>
        <w:rPr>
          <w:rFonts w:ascii="Arial" w:cs="Arial" w:eastAsia="Arial" w:hAnsi="Arial"/>
          <w:sz w:val="14"/>
          <w:szCs w:val="14"/>
          <w:i w:val="1"/>
          <w:iCs w:val="1"/>
          <w:color w:val="333D3F"/>
        </w:rPr>
        <w:t>Retired</w:t>
      </w:r>
    </w:p>
    <w:p>
      <w:pPr>
        <w:spacing w:after="0" w:line="223" w:lineRule="exact"/>
        <w:rPr>
          <w:sz w:val="20"/>
          <w:szCs w:val="20"/>
          <w:color w:val="auto"/>
        </w:rPr>
      </w:pPr>
    </w:p>
    <w:p>
      <w:pPr>
        <w:ind w:left="120" w:right="280"/>
        <w:spacing w:after="0" w:line="249" w:lineRule="auto"/>
        <w:rPr>
          <w:sz w:val="20"/>
          <w:szCs w:val="20"/>
          <w:color w:val="auto"/>
        </w:rPr>
      </w:pPr>
      <w:r>
        <w:rPr>
          <w:rFonts w:ascii="Arial" w:cs="Arial" w:eastAsia="Arial" w:hAnsi="Arial"/>
          <w:sz w:val="14"/>
          <w:szCs w:val="14"/>
          <w:color w:val="auto"/>
        </w:rPr>
        <w:t>Admiral Johnson retired as Chairman and Chief Executive Officer of General Dynamics Corporation, a publicly traded manufacturer of defense, aerospace, and other technology products, in December 2012. Admiral Johnson is a member of the Council on Foreign Relations and currently serves as a director of the U.S. Naval Academy Foundation and The Peregrine Fund.</w:t>
      </w:r>
    </w:p>
    <w:p>
      <w:pPr>
        <w:spacing w:after="0" w:line="183"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1680210" cy="26657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80210" cy="2665730"/>
                    </a:xfrm>
                    <a:prstGeom prst="rect">
                      <a:avLst/>
                    </a:prstGeom>
                    <a:noFill/>
                  </pic:spPr>
                </pic:pic>
              </a:graphicData>
            </a:graphic>
          </wp:anchor>
        </w:drawing>
      </w:r>
    </w:p>
    <w:p>
      <w:pPr>
        <w:ind w:left="3280" w:right="180" w:hanging="140"/>
        <w:spacing w:after="0" w:line="258" w:lineRule="auto"/>
        <w:tabs>
          <w:tab w:leader="none" w:pos="3265" w:val="left"/>
        </w:tabs>
        <w:numPr>
          <w:ilvl w:val="0"/>
          <w:numId w:val="11"/>
        </w:numPr>
        <w:rPr>
          <w:rFonts w:ascii="Arial" w:cs="Arial" w:eastAsia="Arial" w:hAnsi="Arial"/>
          <w:sz w:val="14"/>
          <w:szCs w:val="14"/>
          <w:color w:val="1C8C4F"/>
        </w:rPr>
      </w:pPr>
      <w:r>
        <w:rPr>
          <w:rFonts w:ascii="Arial" w:cs="Arial" w:eastAsia="Arial" w:hAnsi="Arial"/>
          <w:sz w:val="14"/>
          <w:szCs w:val="14"/>
          <w:color w:val="auto"/>
        </w:rPr>
        <w:t>2000 to 2008: various senior executive roles at Dominion Resources Inc., a publicly traded energy company, including as CEO of Dominion Virginia Power</w:t>
      </w:r>
    </w:p>
    <w:p>
      <w:pPr>
        <w:spacing w:after="0" w:line="58" w:lineRule="exact"/>
        <w:rPr>
          <w:rFonts w:ascii="Arial" w:cs="Arial" w:eastAsia="Arial" w:hAnsi="Arial"/>
          <w:sz w:val="14"/>
          <w:szCs w:val="14"/>
          <w:color w:val="1C8C4F"/>
        </w:rPr>
      </w:pPr>
    </w:p>
    <w:p>
      <w:pPr>
        <w:ind w:left="3280" w:right="220" w:hanging="140"/>
        <w:spacing w:after="0" w:line="258" w:lineRule="auto"/>
        <w:tabs>
          <w:tab w:leader="none" w:pos="3265" w:val="left"/>
        </w:tabs>
        <w:numPr>
          <w:ilvl w:val="0"/>
          <w:numId w:val="11"/>
        </w:numPr>
        <w:rPr>
          <w:rFonts w:ascii="Arial" w:cs="Arial" w:eastAsia="Arial" w:hAnsi="Arial"/>
          <w:sz w:val="14"/>
          <w:szCs w:val="14"/>
          <w:color w:val="1C8C4F"/>
        </w:rPr>
      </w:pPr>
      <w:r>
        <w:rPr>
          <w:rFonts w:ascii="Arial" w:cs="Arial" w:eastAsia="Arial" w:hAnsi="Arial"/>
          <w:sz w:val="14"/>
          <w:szCs w:val="14"/>
          <w:color w:val="auto"/>
        </w:rPr>
        <w:t>Prior to 2000: 32-year career in the U.S. Navy, serving as Chief of Naval Operations and a member of the Joint Chiefs of Staff since 1996</w:t>
      </w:r>
    </w:p>
    <w:p>
      <w:pPr>
        <w:spacing w:after="0" w:line="58" w:lineRule="exact"/>
        <w:rPr>
          <w:rFonts w:ascii="Arial" w:cs="Arial" w:eastAsia="Arial" w:hAnsi="Arial"/>
          <w:sz w:val="14"/>
          <w:szCs w:val="14"/>
          <w:color w:val="1C8C4F"/>
        </w:rPr>
      </w:pPr>
    </w:p>
    <w:p>
      <w:pPr>
        <w:ind w:left="3260" w:hanging="120"/>
        <w:spacing w:after="0"/>
        <w:tabs>
          <w:tab w:leader="none" w:pos="3260" w:val="left"/>
        </w:tabs>
        <w:numPr>
          <w:ilvl w:val="0"/>
          <w:numId w:val="11"/>
        </w:numPr>
        <w:rPr>
          <w:rFonts w:ascii="Arial" w:cs="Arial" w:eastAsia="Arial" w:hAnsi="Arial"/>
          <w:sz w:val="14"/>
          <w:szCs w:val="14"/>
          <w:color w:val="1C8C4F"/>
        </w:rPr>
      </w:pPr>
      <w:r>
        <w:rPr>
          <w:rFonts w:ascii="Arial" w:cs="Arial" w:eastAsia="Arial" w:hAnsi="Arial"/>
          <w:sz w:val="14"/>
          <w:szCs w:val="14"/>
          <w:color w:val="auto"/>
        </w:rPr>
        <w:t>Previously served on the boards of International Paper and USAA</w:t>
      </w:r>
    </w:p>
    <w:p>
      <w:pPr>
        <w:spacing w:after="0" w:line="18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EDUCATION</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Admiral Johnson graduated with a B.S. from the United States Naval Academy.</w:t>
      </w:r>
    </w:p>
    <w:p>
      <w:pPr>
        <w:spacing w:after="0" w:line="18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EXPERTISE</w:t>
      </w:r>
    </w:p>
    <w:p>
      <w:pPr>
        <w:spacing w:after="0" w:line="19" w:lineRule="exact"/>
        <w:rPr>
          <w:sz w:val="20"/>
          <w:szCs w:val="20"/>
          <w:color w:val="auto"/>
        </w:rPr>
      </w:pPr>
    </w:p>
    <w:p>
      <w:pPr>
        <w:jc w:val="both"/>
        <w:ind w:left="3140" w:right="180"/>
        <w:spacing w:after="0" w:line="247" w:lineRule="auto"/>
        <w:rPr>
          <w:sz w:val="20"/>
          <w:szCs w:val="20"/>
          <w:color w:val="auto"/>
        </w:rPr>
      </w:pPr>
      <w:r>
        <w:rPr>
          <w:rFonts w:ascii="Arial" w:cs="Arial" w:eastAsia="Arial" w:hAnsi="Arial"/>
          <w:sz w:val="14"/>
          <w:szCs w:val="14"/>
          <w:color w:val="auto"/>
        </w:rPr>
        <w:t>Admiral Johnson’s experience as an executive and director of various public companies contributes to the Board’s ability to guide corporate strategy and oversee public company governance. Additionally, the Board benefits from Admiral Johnson’s distinguished 32-year military career, which provides valuable public policy and government relations experience as well as extensive leadership and strategic skills.</w:t>
      </w:r>
    </w:p>
    <w:p>
      <w:pPr>
        <w:spacing w:after="0" w:line="66"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Financial/Accounting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International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Geopolitical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Environmental, Social &amp; Governance experience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rPr>
          <w:sz w:val="20"/>
          <w:szCs w:val="20"/>
          <w:color w:val="auto"/>
        </w:rPr>
      </w:pPr>
      <w:r>
        <w:rPr>
          <w:rFonts w:ascii="Arial" w:cs="Arial" w:eastAsia="Arial" w:hAnsi="Arial"/>
          <w:sz w:val="32"/>
          <w:szCs w:val="32"/>
          <w:color w:val="1C8C4F"/>
        </w:rPr>
        <w:t xml:space="preserve">Matt Maddox </w:t>
      </w:r>
      <w:r>
        <w:rPr>
          <w:rFonts w:ascii="Arial" w:cs="Arial" w:eastAsia="Arial" w:hAnsi="Arial"/>
          <w:sz w:val="14"/>
          <w:szCs w:val="14"/>
          <w:i w:val="1"/>
          <w:iCs w:val="1"/>
          <w:color w:val="333D3F"/>
        </w:rPr>
        <w:t>Chief Executive Officer, Wynn Resorts, Limited</w:t>
      </w:r>
    </w:p>
    <w:p>
      <w:pPr>
        <w:spacing w:after="0" w:line="210" w:lineRule="exact"/>
        <w:rPr>
          <w:sz w:val="20"/>
          <w:szCs w:val="20"/>
          <w:color w:val="auto"/>
        </w:rPr>
      </w:pPr>
    </w:p>
    <w:p>
      <w:pPr>
        <w:ind w:left="120" w:right="60"/>
        <w:spacing w:after="0" w:line="244" w:lineRule="auto"/>
        <w:rPr>
          <w:sz w:val="20"/>
          <w:szCs w:val="20"/>
          <w:color w:val="auto"/>
        </w:rPr>
      </w:pPr>
      <w:r>
        <w:rPr>
          <w:rFonts w:ascii="Arial" w:cs="Arial" w:eastAsia="Arial" w:hAnsi="Arial"/>
          <w:sz w:val="14"/>
          <w:szCs w:val="14"/>
          <w:color w:val="auto"/>
        </w:rPr>
        <w:t>Mr. Maddox has served as the Company’s Chief Executive Officer since February 2018 and served as President from November 2013 to May 2019. He has been a member of the Board of Directors of Wynn Resorts, Limited since August 3, 2018. He was a non-executive Director of Wynn Macau, Limited from March 28, 2013 until he was re-designated as an Executive Director, upon his appointment as CEO of Wynn Macau, Limited, in February 2018. From March 2008 to May 2014, Mr. Maddox was the Company’s Chief Financial Officer. Since joining Wynn Resorts in 2002, Mr. Maddox has served as the Company’s Senior Vice President of Business Development and Treasurer, as the Senior Vice President of Business Development for Wynn Las Vegas, as the Chief Financial Officer of Wynn Resorts (Macau), S.A., and as the Company’s Treasurer and Vice President-Investor Relations. Mr. Maddox also serves as an officer of several of the Company’s subsidiaries.</w:t>
      </w:r>
    </w:p>
    <w:p>
      <w:pPr>
        <w:spacing w:after="0" w:line="188"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1680210" cy="21856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80210" cy="2185670"/>
                    </a:xfrm>
                    <a:prstGeom prst="rect">
                      <a:avLst/>
                    </a:prstGeom>
                    <a:noFill/>
                  </pic:spPr>
                </pic:pic>
              </a:graphicData>
            </a:graphic>
          </wp:anchor>
        </w:drawing>
      </w:r>
    </w:p>
    <w:p>
      <w:pPr>
        <w:ind w:left="3280" w:right="4080" w:hanging="140"/>
        <w:spacing w:after="0" w:line="258" w:lineRule="auto"/>
        <w:tabs>
          <w:tab w:leader="none" w:pos="3265" w:val="left"/>
        </w:tabs>
        <w:numPr>
          <w:ilvl w:val="0"/>
          <w:numId w:val="12"/>
        </w:numPr>
        <w:rPr>
          <w:rFonts w:ascii="Arial" w:cs="Arial" w:eastAsia="Arial" w:hAnsi="Arial"/>
          <w:sz w:val="14"/>
          <w:szCs w:val="14"/>
          <w:color w:val="1C8C4F"/>
        </w:rPr>
      </w:pPr>
      <w:r>
        <w:rPr>
          <w:rFonts w:ascii="Arial" w:cs="Arial" w:eastAsia="Arial" w:hAnsi="Arial"/>
          <w:sz w:val="14"/>
          <w:szCs w:val="14"/>
          <w:color w:val="auto"/>
        </w:rPr>
        <w:t>Previously, Corporate Finance, Caesars Entertainment, Inc. (formerly Park Place Entertainment, Inc.)</w:t>
      </w:r>
    </w:p>
    <w:p>
      <w:pPr>
        <w:spacing w:after="0" w:line="58" w:lineRule="exact"/>
        <w:rPr>
          <w:rFonts w:ascii="Arial" w:cs="Arial" w:eastAsia="Arial" w:hAnsi="Arial"/>
          <w:sz w:val="14"/>
          <w:szCs w:val="14"/>
          <w:color w:val="1C8C4F"/>
        </w:rPr>
      </w:pPr>
    </w:p>
    <w:p>
      <w:pPr>
        <w:ind w:left="3260" w:hanging="120"/>
        <w:spacing w:after="0"/>
        <w:tabs>
          <w:tab w:leader="none" w:pos="3260" w:val="left"/>
        </w:tabs>
        <w:numPr>
          <w:ilvl w:val="0"/>
          <w:numId w:val="12"/>
        </w:numPr>
        <w:rPr>
          <w:rFonts w:ascii="Arial" w:cs="Arial" w:eastAsia="Arial" w:hAnsi="Arial"/>
          <w:sz w:val="14"/>
          <w:szCs w:val="14"/>
          <w:color w:val="1C8C4F"/>
        </w:rPr>
      </w:pPr>
      <w:r>
        <w:rPr>
          <w:rFonts w:ascii="Arial" w:cs="Arial" w:eastAsia="Arial" w:hAnsi="Arial"/>
          <w:sz w:val="14"/>
          <w:szCs w:val="14"/>
          <w:color w:val="auto"/>
        </w:rPr>
        <w:t>Previously M&amp;A banker, Bank of America Securities</w:t>
      </w:r>
    </w:p>
    <w:p>
      <w:pPr>
        <w:spacing w:after="0" w:line="18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EDUCATION</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Mr. Maddox graduated with a B.B.A. in finance from Southern Methodist University.</w:t>
      </w:r>
    </w:p>
    <w:p>
      <w:pPr>
        <w:spacing w:after="0" w:line="18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EXPERTISE</w:t>
      </w:r>
    </w:p>
    <w:p>
      <w:pPr>
        <w:spacing w:after="0" w:line="19" w:lineRule="exact"/>
        <w:rPr>
          <w:sz w:val="20"/>
          <w:szCs w:val="20"/>
          <w:color w:val="auto"/>
        </w:rPr>
      </w:pPr>
    </w:p>
    <w:p>
      <w:pPr>
        <w:jc w:val="both"/>
        <w:ind w:left="3140" w:right="460"/>
        <w:spacing w:after="0" w:line="247" w:lineRule="auto"/>
        <w:rPr>
          <w:sz w:val="20"/>
          <w:szCs w:val="20"/>
          <w:color w:val="auto"/>
        </w:rPr>
      </w:pPr>
      <w:r>
        <w:rPr>
          <w:rFonts w:ascii="Arial" w:cs="Arial" w:eastAsia="Arial" w:hAnsi="Arial"/>
          <w:sz w:val="14"/>
          <w:szCs w:val="14"/>
          <w:color w:val="auto"/>
        </w:rPr>
        <w:t>Mr. Maddox contributes a deep understanding of the Company, global gaming expertise stemming from his roles in the development of Wynn Resorts (Macau), S.A. and Wynn Palace, and financial acumen developed being responsible for helping secure the financing to build Wynn Las Vegas and serving as the first Chief Financial Officer of Wynn Resorts (Macau), S.A.</w:t>
      </w:r>
    </w:p>
    <w:p>
      <w:pPr>
        <w:spacing w:after="0" w:line="66"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Financial/Accounting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International experience</w:t>
      </w: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5</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1" w:lineRule="exact"/>
        <w:rPr>
          <w:sz w:val="20"/>
          <w:szCs w:val="20"/>
          <w:color w:val="auto"/>
        </w:rPr>
      </w:pPr>
    </w:p>
    <w:p>
      <w:pPr>
        <w:ind w:left="120" w:right="420"/>
        <w:spacing w:after="0" w:line="183" w:lineRule="auto"/>
        <w:rPr>
          <w:sz w:val="20"/>
          <w:szCs w:val="20"/>
          <w:color w:val="auto"/>
        </w:rPr>
      </w:pPr>
      <w:r>
        <w:rPr>
          <w:rFonts w:ascii="Arial" w:cs="Arial" w:eastAsia="Arial" w:hAnsi="Arial"/>
          <w:sz w:val="32"/>
          <w:szCs w:val="32"/>
          <w:color w:val="1C8C4F"/>
        </w:rPr>
        <w:t xml:space="preserve">Patricia Mulroy </w:t>
      </w:r>
      <w:r>
        <w:rPr>
          <w:rFonts w:ascii="Arial" w:cs="Arial" w:eastAsia="Arial" w:hAnsi="Arial"/>
          <w:sz w:val="14"/>
          <w:szCs w:val="14"/>
          <w:i w:val="1"/>
          <w:iCs w:val="1"/>
          <w:color w:val="333D3F"/>
        </w:rPr>
        <w:t>Non-Resident Senior Fellow for Climate Adaptation &amp; Environmental Policy, Brookings Institution; Practitioner in Residence, Saltman Center for</w:t>
      </w:r>
      <w:r>
        <w:rPr>
          <w:rFonts w:ascii="Arial" w:cs="Arial" w:eastAsia="Arial" w:hAnsi="Arial"/>
          <w:sz w:val="32"/>
          <w:szCs w:val="32"/>
          <w:color w:val="1C8C4F"/>
        </w:rPr>
        <w:t xml:space="preserve"> </w:t>
      </w:r>
      <w:r>
        <w:rPr>
          <w:rFonts w:ascii="Arial" w:cs="Arial" w:eastAsia="Arial" w:hAnsi="Arial"/>
          <w:sz w:val="14"/>
          <w:szCs w:val="14"/>
          <w:i w:val="1"/>
          <w:iCs w:val="1"/>
          <w:color w:val="333D3F"/>
        </w:rPr>
        <w:t>Conflict Resolution, William S. Boyd School of Law, University of Nevada, Las Vegas</w:t>
      </w:r>
    </w:p>
    <w:p>
      <w:pPr>
        <w:spacing w:after="0" w:line="179" w:lineRule="exact"/>
        <w:rPr>
          <w:sz w:val="20"/>
          <w:szCs w:val="20"/>
          <w:color w:val="auto"/>
        </w:rPr>
      </w:pPr>
    </w:p>
    <w:p>
      <w:pPr>
        <w:ind w:left="120"/>
        <w:spacing w:after="0" w:line="247" w:lineRule="auto"/>
        <w:rPr>
          <w:sz w:val="20"/>
          <w:szCs w:val="20"/>
          <w:color w:val="auto"/>
        </w:rPr>
      </w:pPr>
      <w:r>
        <w:rPr>
          <w:rFonts w:ascii="Arial" w:cs="Arial" w:eastAsia="Arial" w:hAnsi="Arial"/>
          <w:sz w:val="14"/>
          <w:szCs w:val="14"/>
          <w:color w:val="auto"/>
        </w:rPr>
        <w:t>Ms. Mulroy is currently a Non-Resident Senior Fellow for Climate Adaptation and Environmental Policy for the Brookings Institution and a Practitioner in Residence at the Saltman Center for Conflict Resolution at the William S. Boyd School of Law at the University of Nevada, Las Vegas. Ms. Mulroy operates a consulting firm representing both corporate and government clients in water matters. Ms. Mulroy is a recognized expert in climate related adaptation strategies for both governments and corporations. Ms. Mulroy recently completed her term as a member of the Global Agenda Council on Water of the World Economic Forum.</w:t>
      </w:r>
    </w:p>
    <w:p>
      <w:pPr>
        <w:spacing w:after="0" w:line="183"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1680210" cy="2546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80210" cy="2546350"/>
                    </a:xfrm>
                    <a:prstGeom prst="rect">
                      <a:avLst/>
                    </a:prstGeom>
                    <a:noFill/>
                  </pic:spPr>
                </pic:pic>
              </a:graphicData>
            </a:graphic>
          </wp:anchor>
        </w:drawing>
      </w:r>
    </w:p>
    <w:p>
      <w:pPr>
        <w:ind w:left="3260" w:hanging="120"/>
        <w:spacing w:after="0"/>
        <w:tabs>
          <w:tab w:leader="none" w:pos="3260" w:val="left"/>
        </w:tabs>
        <w:numPr>
          <w:ilvl w:val="0"/>
          <w:numId w:val="13"/>
        </w:numPr>
        <w:rPr>
          <w:rFonts w:ascii="Arial" w:cs="Arial" w:eastAsia="Arial" w:hAnsi="Arial"/>
          <w:sz w:val="14"/>
          <w:szCs w:val="14"/>
          <w:color w:val="1C8C4F"/>
        </w:rPr>
      </w:pPr>
      <w:r>
        <w:rPr>
          <w:rFonts w:ascii="Arial" w:cs="Arial" w:eastAsia="Arial" w:hAnsi="Arial"/>
          <w:sz w:val="14"/>
          <w:szCs w:val="14"/>
          <w:color w:val="auto"/>
        </w:rPr>
        <w:t>July 2014 through October 2015: served on the Nevada Gaming Commission</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13"/>
        </w:numPr>
        <w:rPr>
          <w:rFonts w:ascii="Arial" w:cs="Arial" w:eastAsia="Arial" w:hAnsi="Arial"/>
          <w:sz w:val="14"/>
          <w:szCs w:val="14"/>
          <w:color w:val="1C8C4F"/>
        </w:rPr>
      </w:pPr>
      <w:r>
        <w:rPr>
          <w:rFonts w:ascii="Arial" w:cs="Arial" w:eastAsia="Arial" w:hAnsi="Arial"/>
          <w:sz w:val="14"/>
          <w:szCs w:val="14"/>
          <w:color w:val="auto"/>
        </w:rPr>
        <w:t>1995 to 2014: Nevada’s representative on Colorado River Basin issues, serving as the lead negotiator from 2007 to 2014</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13"/>
        </w:numPr>
        <w:rPr>
          <w:rFonts w:ascii="Arial" w:cs="Arial" w:eastAsia="Arial" w:hAnsi="Arial"/>
          <w:sz w:val="14"/>
          <w:szCs w:val="14"/>
          <w:color w:val="1C8C4F"/>
        </w:rPr>
      </w:pPr>
      <w:r>
        <w:rPr>
          <w:rFonts w:ascii="Arial" w:cs="Arial" w:eastAsia="Arial" w:hAnsi="Arial"/>
          <w:sz w:val="14"/>
          <w:szCs w:val="14"/>
          <w:color w:val="auto"/>
        </w:rPr>
        <w:t>1993 to 2014: General Manager of the Southern Nevada Water Authority</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13"/>
        </w:numPr>
        <w:rPr>
          <w:rFonts w:ascii="Arial" w:cs="Arial" w:eastAsia="Arial" w:hAnsi="Arial"/>
          <w:sz w:val="14"/>
          <w:szCs w:val="14"/>
          <w:color w:val="1C8C4F"/>
        </w:rPr>
      </w:pPr>
      <w:r>
        <w:rPr>
          <w:rFonts w:ascii="Arial" w:cs="Arial" w:eastAsia="Arial" w:hAnsi="Arial"/>
          <w:sz w:val="14"/>
          <w:szCs w:val="14"/>
          <w:color w:val="auto"/>
        </w:rPr>
        <w:t>1989 to 2014: General Manager of the Las Vegas Valley Water District</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EDUCATION</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Ms. Mulroy graduated with a B.A. and M.A. from the University of Nevada, Las Vegas.</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EXPERTISE</w:t>
      </w:r>
    </w:p>
    <w:p>
      <w:pPr>
        <w:spacing w:after="0" w:line="19" w:lineRule="exact"/>
        <w:rPr>
          <w:sz w:val="20"/>
          <w:szCs w:val="20"/>
          <w:color w:val="auto"/>
        </w:rPr>
      </w:pPr>
    </w:p>
    <w:p>
      <w:pPr>
        <w:ind w:left="3140" w:right="20"/>
        <w:spacing w:after="0" w:line="249" w:lineRule="auto"/>
        <w:rPr>
          <w:sz w:val="20"/>
          <w:szCs w:val="20"/>
          <w:color w:val="auto"/>
        </w:rPr>
      </w:pPr>
      <w:r>
        <w:rPr>
          <w:rFonts w:ascii="Arial" w:cs="Arial" w:eastAsia="Arial" w:hAnsi="Arial"/>
          <w:sz w:val="14"/>
          <w:szCs w:val="14"/>
          <w:color w:val="auto"/>
        </w:rPr>
        <w:t>Ms. Mulroy brings more than 30 years of government experience to the Board, serving in numerous leadership roles focusing on Nevada’s public infrastructure. Additionally, Ms. Mulroy’s experience on the Nevada Gaming Commission brings experience and insight into state regulatory and public policy issues impacting the Company’s operations.</w:t>
      </w:r>
    </w:p>
    <w:p>
      <w:pPr>
        <w:spacing w:after="0" w:line="66"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Regulatory/Legal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International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Environmental, Social &amp; Governance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32"/>
          <w:szCs w:val="32"/>
          <w:color w:val="1C8C4F"/>
        </w:rPr>
        <w:t xml:space="preserve">Margaret J. Myers </w:t>
      </w:r>
      <w:r>
        <w:rPr>
          <w:rFonts w:ascii="Arial" w:cs="Arial" w:eastAsia="Arial" w:hAnsi="Arial"/>
          <w:sz w:val="14"/>
          <w:szCs w:val="14"/>
          <w:i w:val="1"/>
          <w:iCs w:val="1"/>
          <w:color w:val="333D3F"/>
        </w:rPr>
        <w:t>Senior Advisor to the Governor of California and Director of the Governor’s Office of Business and Economic Development</w:t>
      </w:r>
    </w:p>
    <w:p>
      <w:pPr>
        <w:spacing w:after="0" w:line="210"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4"/>
          <w:szCs w:val="14"/>
          <w:color w:val="auto"/>
        </w:rPr>
        <w:t>Ms. Myers is currently Senior Advisor to the Governor of California and Director of the Governor’s Office of Business and Economic Development. From September 2014 to April 2020, Ms. Myers was Executive Vice President, Worldwide Corporate Communications and Public Affairs for Warner Bros. Entertainment, a broad-based entertainment company.</w:t>
      </w:r>
    </w:p>
    <w:p>
      <w:pPr>
        <w:spacing w:after="0" w:line="183"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1680210" cy="26657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80210" cy="2665730"/>
                    </a:xfrm>
                    <a:prstGeom prst="rect">
                      <a:avLst/>
                    </a:prstGeom>
                    <a:noFill/>
                  </pic:spPr>
                </pic:pic>
              </a:graphicData>
            </a:graphic>
          </wp:anchor>
        </w:drawing>
      </w:r>
    </w:p>
    <w:p>
      <w:pPr>
        <w:ind w:left="3280" w:right="340" w:hanging="140"/>
        <w:spacing w:after="0" w:line="258" w:lineRule="auto"/>
        <w:tabs>
          <w:tab w:leader="none" w:pos="3265" w:val="left"/>
        </w:tabs>
        <w:numPr>
          <w:ilvl w:val="0"/>
          <w:numId w:val="14"/>
        </w:numPr>
        <w:rPr>
          <w:rFonts w:ascii="Arial" w:cs="Arial" w:eastAsia="Arial" w:hAnsi="Arial"/>
          <w:sz w:val="14"/>
          <w:szCs w:val="14"/>
          <w:color w:val="1C8C4F"/>
        </w:rPr>
      </w:pPr>
      <w:r>
        <w:rPr>
          <w:rFonts w:ascii="Arial" w:cs="Arial" w:eastAsia="Arial" w:hAnsi="Arial"/>
          <w:sz w:val="14"/>
          <w:szCs w:val="14"/>
          <w:color w:val="auto"/>
        </w:rPr>
        <w:t>September 2010 to June 2014: Managing Director, Strategic Communications and Public Affairs Practice, Glover Park Group</w:t>
      </w:r>
    </w:p>
    <w:p>
      <w:pPr>
        <w:spacing w:after="0" w:line="58" w:lineRule="exact"/>
        <w:rPr>
          <w:rFonts w:ascii="Arial" w:cs="Arial" w:eastAsia="Arial" w:hAnsi="Arial"/>
          <w:sz w:val="14"/>
          <w:szCs w:val="14"/>
          <w:color w:val="1C8C4F"/>
        </w:rPr>
      </w:pPr>
    </w:p>
    <w:p>
      <w:pPr>
        <w:ind w:left="3260" w:hanging="120"/>
        <w:spacing w:after="0"/>
        <w:tabs>
          <w:tab w:leader="none" w:pos="3260" w:val="left"/>
        </w:tabs>
        <w:numPr>
          <w:ilvl w:val="0"/>
          <w:numId w:val="14"/>
        </w:numPr>
        <w:rPr>
          <w:rFonts w:ascii="Arial" w:cs="Arial" w:eastAsia="Arial" w:hAnsi="Arial"/>
          <w:sz w:val="14"/>
          <w:szCs w:val="14"/>
          <w:color w:val="1C8C4F"/>
        </w:rPr>
      </w:pPr>
      <w:r>
        <w:rPr>
          <w:rFonts w:ascii="Arial" w:cs="Arial" w:eastAsia="Arial" w:hAnsi="Arial"/>
          <w:sz w:val="14"/>
          <w:szCs w:val="14"/>
          <w:color w:val="auto"/>
        </w:rPr>
        <w:t>1994 to 2010: Political analyst, commentator and writer</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14"/>
        </w:numPr>
        <w:rPr>
          <w:rFonts w:ascii="Arial" w:cs="Arial" w:eastAsia="Arial" w:hAnsi="Arial"/>
          <w:sz w:val="14"/>
          <w:szCs w:val="14"/>
          <w:color w:val="1C8C4F"/>
        </w:rPr>
      </w:pPr>
      <w:r>
        <w:rPr>
          <w:rFonts w:ascii="Arial" w:cs="Arial" w:eastAsia="Arial" w:hAnsi="Arial"/>
          <w:sz w:val="14"/>
          <w:szCs w:val="14"/>
          <w:color w:val="auto"/>
        </w:rPr>
        <w:t>January 1993 to December 1994: White House Press Secretary</w:t>
      </w:r>
    </w:p>
    <w:p>
      <w:pPr>
        <w:spacing w:after="0" w:line="68" w:lineRule="exact"/>
        <w:rPr>
          <w:rFonts w:ascii="Arial" w:cs="Arial" w:eastAsia="Arial" w:hAnsi="Arial"/>
          <w:sz w:val="14"/>
          <w:szCs w:val="14"/>
          <w:color w:val="1C8C4F"/>
        </w:rPr>
      </w:pPr>
    </w:p>
    <w:p>
      <w:pPr>
        <w:ind w:left="3260" w:hanging="120"/>
        <w:spacing w:after="0"/>
        <w:tabs>
          <w:tab w:leader="none" w:pos="3260" w:val="left"/>
        </w:tabs>
        <w:numPr>
          <w:ilvl w:val="0"/>
          <w:numId w:val="14"/>
        </w:numPr>
        <w:rPr>
          <w:rFonts w:ascii="Arial" w:cs="Arial" w:eastAsia="Arial" w:hAnsi="Arial"/>
          <w:sz w:val="14"/>
          <w:szCs w:val="14"/>
          <w:color w:val="1C8C4F"/>
        </w:rPr>
      </w:pPr>
      <w:r>
        <w:rPr>
          <w:rFonts w:ascii="Arial" w:cs="Arial" w:eastAsia="Arial" w:hAnsi="Arial"/>
          <w:sz w:val="14"/>
          <w:szCs w:val="14"/>
          <w:color w:val="auto"/>
        </w:rPr>
        <w:t xml:space="preserve">Ms. Myers is the author of the 2008 New York Times best-selling book, </w:t>
      </w:r>
      <w:r>
        <w:rPr>
          <w:rFonts w:ascii="Arial" w:cs="Arial" w:eastAsia="Arial" w:hAnsi="Arial"/>
          <w:sz w:val="14"/>
          <w:szCs w:val="14"/>
          <w:i w:val="1"/>
          <w:iCs w:val="1"/>
          <w:color w:val="auto"/>
        </w:rPr>
        <w:t>“Why Women Should Rule the World”</w:t>
      </w:r>
    </w:p>
    <w:p>
      <w:pPr>
        <w:spacing w:after="0" w:line="213"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EDUCATION</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Ms. Myers graduated with a B.S. from Santa Clara University.</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EXPERTISE</w:t>
      </w:r>
    </w:p>
    <w:p>
      <w:pPr>
        <w:spacing w:after="0" w:line="19" w:lineRule="exact"/>
        <w:rPr>
          <w:sz w:val="20"/>
          <w:szCs w:val="20"/>
          <w:color w:val="auto"/>
        </w:rPr>
      </w:pPr>
    </w:p>
    <w:p>
      <w:pPr>
        <w:ind w:left="3140" w:right="80"/>
        <w:spacing w:after="0" w:line="247" w:lineRule="auto"/>
        <w:rPr>
          <w:sz w:val="20"/>
          <w:szCs w:val="20"/>
          <w:color w:val="auto"/>
        </w:rPr>
      </w:pPr>
      <w:r>
        <w:rPr>
          <w:rFonts w:ascii="Arial" w:cs="Arial" w:eastAsia="Arial" w:hAnsi="Arial"/>
          <w:sz w:val="14"/>
          <w:szCs w:val="14"/>
          <w:color w:val="auto"/>
        </w:rPr>
        <w:t>Ms. Myers has extensive experience providing counsel on strategic and crisis communications, reputation management and integrated marketing, drawing on her years in politics and media. She brings to our Board expertise in global corporate communications strategies and activities, including media relations, public positioning, executive communications, corporate responsibility, and philanthropy.</w:t>
      </w:r>
    </w:p>
    <w:p>
      <w:pPr>
        <w:spacing w:after="0" w:line="66"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Media/Investor Relations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Geopolitical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International experience</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0" w:hanging="684"/>
        <w:spacing w:after="0"/>
        <w:tabs>
          <w:tab w:leader="none" w:pos="800" w:val="left"/>
        </w:tabs>
        <w:numPr>
          <w:ilvl w:val="0"/>
          <w:numId w:val="15"/>
        </w:numPr>
        <w:rPr>
          <w:rFonts w:ascii="Arial" w:cs="Arial" w:eastAsia="Arial" w:hAnsi="Arial"/>
          <w:sz w:val="19"/>
          <w:szCs w:val="19"/>
          <w:b w:val="1"/>
          <w:bCs w:val="1"/>
          <w:color w:val="333D3F"/>
          <w:vertAlign w:val="superscript"/>
        </w:rPr>
      </w:pPr>
      <w:r>
        <w:rPr>
          <w:rFonts w:ascii="Arial" w:cs="Arial" w:eastAsia="Arial" w:hAnsi="Arial"/>
          <w:sz w:val="13"/>
          <w:szCs w:val="13"/>
          <w:color w:val="333D3F"/>
        </w:rPr>
        <w:t xml:space="preserve">Foundation for </w:t>
      </w:r>
      <w:r>
        <w:rPr>
          <w:rFonts w:ascii="Arial" w:cs="Arial" w:eastAsia="Arial" w:hAnsi="Arial"/>
          <w:sz w:val="13"/>
          <w:szCs w:val="13"/>
          <w:i w:val="1"/>
          <w:iCs w:val="1"/>
          <w:color w:val="333D3F"/>
        </w:rPr>
        <w:t>the Future</w:t>
      </w:r>
    </w:p>
    <w:p>
      <w:pPr>
        <w:sectPr>
          <w:pgSz w:w="11900" w:h="16838" w:orient="portrait"/>
          <w:cols w:equalWidth="0" w:num="1">
            <w:col w:w="11100"/>
          </w:cols>
          <w:pgMar w:left="320" w:top="459" w:right="4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32"/>
          <w:szCs w:val="32"/>
          <w:color w:val="1C8C4F"/>
        </w:rPr>
        <w:t xml:space="preserve">Clark T. Randt Jr. </w:t>
      </w:r>
      <w:r>
        <w:rPr>
          <w:rFonts w:ascii="Arial" w:cs="Arial" w:eastAsia="Arial" w:hAnsi="Arial"/>
          <w:sz w:val="14"/>
          <w:szCs w:val="14"/>
          <w:i w:val="1"/>
          <w:iCs w:val="1"/>
          <w:color w:val="333D3F"/>
        </w:rPr>
        <w:t>President, Randt &amp; Co. LLC</w:t>
      </w:r>
    </w:p>
    <w:p>
      <w:pPr>
        <w:spacing w:after="0" w:line="223" w:lineRule="exact"/>
        <w:rPr>
          <w:sz w:val="20"/>
          <w:szCs w:val="20"/>
          <w:color w:val="auto"/>
        </w:rPr>
      </w:pPr>
    </w:p>
    <w:p>
      <w:pPr>
        <w:ind w:left="120" w:right="100"/>
        <w:spacing w:after="0" w:line="247" w:lineRule="auto"/>
        <w:rPr>
          <w:sz w:val="20"/>
          <w:szCs w:val="20"/>
          <w:color w:val="auto"/>
        </w:rPr>
      </w:pPr>
      <w:r>
        <w:rPr>
          <w:rFonts w:ascii="Arial" w:cs="Arial" w:eastAsia="Arial" w:hAnsi="Arial"/>
          <w:sz w:val="14"/>
          <w:szCs w:val="14"/>
          <w:color w:val="auto"/>
        </w:rPr>
        <w:t>Ambassador Randt is currently President of Randt &amp; Co. LLC, which advises firms with interests in China. Ambassador Randt has been a Director of Valmont Industries since February 2009, a Director of United Parcel Service since August 2010, and a Director of Qualcomm Inc. since October 2013. Ambassador Randt is also a member of the Council on Foreign Relations. Ambassador Randt is a member of the New York State Bar Association, was admitted to the Hong Kong Bar Association, and has over 25 years of experience in cross-border corporate and finance transactions.</w:t>
      </w:r>
    </w:p>
    <w:p>
      <w:pPr>
        <w:spacing w:after="0" w:line="183"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1680210" cy="27857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ind w:left="3260" w:hanging="120"/>
        <w:spacing w:after="0"/>
        <w:tabs>
          <w:tab w:leader="none" w:pos="3260" w:val="left"/>
        </w:tabs>
        <w:numPr>
          <w:ilvl w:val="0"/>
          <w:numId w:val="16"/>
        </w:numPr>
        <w:rPr>
          <w:rFonts w:ascii="Arial" w:cs="Arial" w:eastAsia="Arial" w:hAnsi="Arial"/>
          <w:sz w:val="14"/>
          <w:szCs w:val="14"/>
          <w:color w:val="B28700"/>
        </w:rPr>
      </w:pPr>
      <w:r>
        <w:rPr>
          <w:rFonts w:ascii="Arial" w:cs="Arial" w:eastAsia="Arial" w:hAnsi="Arial"/>
          <w:sz w:val="14"/>
          <w:szCs w:val="14"/>
          <w:color w:val="auto"/>
        </w:rPr>
        <w:t>2001 to 2009: United States Ambassador to the People’s Republic of China</w:t>
      </w:r>
    </w:p>
    <w:p>
      <w:pPr>
        <w:spacing w:after="0" w:line="82" w:lineRule="exact"/>
        <w:rPr>
          <w:rFonts w:ascii="Arial" w:cs="Arial" w:eastAsia="Arial" w:hAnsi="Arial"/>
          <w:sz w:val="14"/>
          <w:szCs w:val="14"/>
          <w:color w:val="B28700"/>
        </w:rPr>
      </w:pPr>
    </w:p>
    <w:p>
      <w:pPr>
        <w:ind w:left="3260" w:hanging="120"/>
        <w:spacing w:after="0"/>
        <w:tabs>
          <w:tab w:leader="none" w:pos="3260" w:val="left"/>
        </w:tabs>
        <w:numPr>
          <w:ilvl w:val="0"/>
          <w:numId w:val="16"/>
        </w:numPr>
        <w:rPr>
          <w:rFonts w:ascii="Arial" w:cs="Arial" w:eastAsia="Arial" w:hAnsi="Arial"/>
          <w:sz w:val="14"/>
          <w:szCs w:val="14"/>
          <w:color w:val="B28700"/>
        </w:rPr>
      </w:pPr>
      <w:r>
        <w:rPr>
          <w:rFonts w:ascii="Arial" w:cs="Arial" w:eastAsia="Arial" w:hAnsi="Arial"/>
          <w:sz w:val="14"/>
          <w:szCs w:val="14"/>
          <w:color w:val="auto"/>
        </w:rPr>
        <w:t>Previously, partner at Shearman &amp; Sterling, head of China practice</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EDUCATION</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Ambassador Randt graduated with a B.A. from Yale University, and has a J.D. from the University of Michigan Law School.</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EXPERTISE</w:t>
      </w:r>
    </w:p>
    <w:p>
      <w:pPr>
        <w:spacing w:after="0" w:line="19" w:lineRule="exact"/>
        <w:rPr>
          <w:sz w:val="20"/>
          <w:szCs w:val="20"/>
          <w:color w:val="auto"/>
        </w:rPr>
      </w:pPr>
    </w:p>
    <w:p>
      <w:pPr>
        <w:ind w:left="3140" w:right="80"/>
        <w:spacing w:after="0" w:line="247" w:lineRule="auto"/>
        <w:rPr>
          <w:sz w:val="20"/>
          <w:szCs w:val="20"/>
          <w:color w:val="auto"/>
        </w:rPr>
      </w:pPr>
      <w:r>
        <w:rPr>
          <w:rFonts w:ascii="Arial" w:cs="Arial" w:eastAsia="Arial" w:hAnsi="Arial"/>
          <w:sz w:val="14"/>
          <w:szCs w:val="14"/>
          <w:color w:val="auto"/>
        </w:rPr>
        <w:t>Ambassador Randt’s service as the U.S. Ambassador to the People’s Republic of China and his ongoing expertise regarding China give him a unique perspective on international business and foreign policy issues. Additionally, his fluency in Mandarin Chinese and extensive China experience make him well-suited to meaningfully contribute to the Board’s oversight of the Company’s operations in Macau.</w:t>
      </w:r>
    </w:p>
    <w:p>
      <w:pPr>
        <w:spacing w:after="0" w:line="66"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Regulatory/Legal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International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Geopolitical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Environmental, Social &amp; Governance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7</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32"/>
          <w:szCs w:val="32"/>
          <w:color w:val="1C8C4F"/>
        </w:rPr>
        <w:t xml:space="preserve">Philip G. Satre </w:t>
      </w:r>
      <w:r>
        <w:rPr>
          <w:rFonts w:ascii="Arial" w:cs="Arial" w:eastAsia="Arial" w:hAnsi="Arial"/>
          <w:sz w:val="14"/>
          <w:szCs w:val="14"/>
          <w:i w:val="1"/>
          <w:iCs w:val="1"/>
          <w:color w:val="333D3F"/>
        </w:rPr>
        <w:t>Retired</w:t>
      </w:r>
    </w:p>
    <w:p>
      <w:pPr>
        <w:spacing w:after="0" w:line="223" w:lineRule="exact"/>
        <w:rPr>
          <w:sz w:val="20"/>
          <w:szCs w:val="20"/>
          <w:color w:val="auto"/>
        </w:rPr>
      </w:pPr>
    </w:p>
    <w:p>
      <w:pPr>
        <w:jc w:val="both"/>
        <w:ind w:left="120" w:right="280"/>
        <w:spacing w:after="0" w:line="249" w:lineRule="auto"/>
        <w:rPr>
          <w:sz w:val="20"/>
          <w:szCs w:val="20"/>
          <w:color w:val="auto"/>
        </w:rPr>
      </w:pPr>
      <w:r>
        <w:rPr>
          <w:rFonts w:ascii="Arial" w:cs="Arial" w:eastAsia="Arial" w:hAnsi="Arial"/>
          <w:sz w:val="14"/>
          <w:szCs w:val="14"/>
          <w:color w:val="auto"/>
        </w:rPr>
        <w:t>Mr. Satre has served as the Non-Executive Chair of the Board since November 2018 and joined the Board as Vice-Chairman in August 2018. In the not-for-profit sector, Mr. Satre is President of the National Center for Responsible Gaming; a Trustee of The National World War II Museum; serves on the Board of the National Automobile Museum – The Harrah Collection in Reno, Nevada; and serves on the Stanford Alumni Association Board of Directors.</w:t>
      </w:r>
    </w:p>
    <w:p>
      <w:pPr>
        <w:spacing w:after="0" w:line="183"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1680210" cy="27857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ind w:left="3280" w:hanging="140"/>
        <w:spacing w:after="0" w:line="241" w:lineRule="auto"/>
        <w:tabs>
          <w:tab w:leader="none" w:pos="3265" w:val="left"/>
        </w:tabs>
        <w:numPr>
          <w:ilvl w:val="0"/>
          <w:numId w:val="17"/>
        </w:numPr>
        <w:rPr>
          <w:rFonts w:ascii="Arial" w:cs="Arial" w:eastAsia="Arial" w:hAnsi="Arial"/>
          <w:sz w:val="14"/>
          <w:szCs w:val="14"/>
          <w:color w:val="1C8C4F"/>
        </w:rPr>
      </w:pPr>
      <w:r>
        <w:rPr>
          <w:rFonts w:ascii="Arial" w:cs="Arial" w:eastAsia="Arial" w:hAnsi="Arial"/>
          <w:sz w:val="14"/>
          <w:szCs w:val="14"/>
          <w:color w:val="auto"/>
        </w:rPr>
        <w:t>1980 to 2005: Various roles at Harrah’s Entertainment, Inc. with increasing responsibility, including Vice President, General Counsel and Secretary; President and Chief Executive Officer of its gaming division; culminating in service as CEO</w:t>
      </w:r>
    </w:p>
    <w:p>
      <w:pPr>
        <w:ind w:left="3280"/>
        <w:spacing w:after="0"/>
        <w:rPr>
          <w:rFonts w:ascii="Arial" w:cs="Arial" w:eastAsia="Arial" w:hAnsi="Arial"/>
          <w:sz w:val="14"/>
          <w:szCs w:val="14"/>
          <w:color w:val="1C8C4F"/>
        </w:rPr>
      </w:pPr>
      <w:r>
        <w:rPr>
          <w:rFonts w:ascii="Arial" w:cs="Arial" w:eastAsia="Arial" w:hAnsi="Arial"/>
          <w:sz w:val="14"/>
          <w:szCs w:val="14"/>
          <w:color w:val="auto"/>
        </w:rPr>
        <w:t>and Chairman</w:t>
      </w:r>
    </w:p>
    <w:p>
      <w:pPr>
        <w:spacing w:after="0" w:line="82" w:lineRule="exact"/>
        <w:rPr>
          <w:rFonts w:ascii="Arial" w:cs="Arial" w:eastAsia="Arial" w:hAnsi="Arial"/>
          <w:sz w:val="14"/>
          <w:szCs w:val="14"/>
          <w:color w:val="1C8C4F"/>
        </w:rPr>
      </w:pPr>
    </w:p>
    <w:p>
      <w:pPr>
        <w:ind w:left="3280" w:right="200" w:hanging="140"/>
        <w:spacing w:after="0" w:line="258" w:lineRule="auto"/>
        <w:tabs>
          <w:tab w:leader="none" w:pos="3265" w:val="left"/>
        </w:tabs>
        <w:numPr>
          <w:ilvl w:val="0"/>
          <w:numId w:val="17"/>
        </w:numPr>
        <w:rPr>
          <w:rFonts w:ascii="Arial" w:cs="Arial" w:eastAsia="Arial" w:hAnsi="Arial"/>
          <w:sz w:val="14"/>
          <w:szCs w:val="14"/>
          <w:color w:val="1C8C4F"/>
        </w:rPr>
      </w:pPr>
      <w:r>
        <w:rPr>
          <w:rFonts w:ascii="Arial" w:cs="Arial" w:eastAsia="Arial" w:hAnsi="Arial"/>
          <w:sz w:val="14"/>
          <w:szCs w:val="14"/>
          <w:color w:val="auto"/>
        </w:rPr>
        <w:t>Previously served on the boards of Nordstrom, Inc., International Game Technology PLC, NV Energy, Tabcorp Holdings Ltd. (Australia), and Rite Aid Corporation</w:t>
      </w:r>
    </w:p>
    <w:p>
      <w:pPr>
        <w:spacing w:after="0" w:line="58" w:lineRule="exact"/>
        <w:rPr>
          <w:rFonts w:ascii="Arial" w:cs="Arial" w:eastAsia="Arial" w:hAnsi="Arial"/>
          <w:sz w:val="14"/>
          <w:szCs w:val="14"/>
          <w:color w:val="1C8C4F"/>
        </w:rPr>
      </w:pPr>
    </w:p>
    <w:p>
      <w:pPr>
        <w:ind w:left="3280" w:right="200" w:hanging="140"/>
        <w:spacing w:after="0" w:line="258" w:lineRule="auto"/>
        <w:tabs>
          <w:tab w:leader="none" w:pos="3265" w:val="left"/>
        </w:tabs>
        <w:numPr>
          <w:ilvl w:val="0"/>
          <w:numId w:val="17"/>
        </w:numPr>
        <w:rPr>
          <w:rFonts w:ascii="Arial" w:cs="Arial" w:eastAsia="Arial" w:hAnsi="Arial"/>
          <w:sz w:val="14"/>
          <w:szCs w:val="14"/>
          <w:color w:val="1C8C4F"/>
        </w:rPr>
      </w:pPr>
      <w:r>
        <w:rPr>
          <w:rFonts w:ascii="Arial" w:cs="Arial" w:eastAsia="Arial" w:hAnsi="Arial"/>
          <w:sz w:val="14"/>
          <w:szCs w:val="14"/>
          <w:color w:val="auto"/>
        </w:rPr>
        <w:t>Various roles in non-profits, including as Chairman of the Guinn Center for Policy Priorities (2013 to 2018) and Emeritus Member of the Stanford University Board of Trustees (2005 to 2010)</w:t>
      </w:r>
    </w:p>
    <w:p>
      <w:pPr>
        <w:spacing w:after="0" w:line="17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EDUCATION</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Mr. Satre graduated with a B.A. from Stanford University and a J.D. from the University of California, Davis.</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EXPERTISE</w:t>
      </w:r>
    </w:p>
    <w:p>
      <w:pPr>
        <w:spacing w:after="0" w:line="19" w:lineRule="exact"/>
        <w:rPr>
          <w:sz w:val="20"/>
          <w:szCs w:val="20"/>
          <w:color w:val="auto"/>
        </w:rPr>
      </w:pPr>
    </w:p>
    <w:p>
      <w:pPr>
        <w:ind w:left="3140" w:right="40"/>
        <w:spacing w:after="0" w:line="249" w:lineRule="auto"/>
        <w:rPr>
          <w:sz w:val="20"/>
          <w:szCs w:val="20"/>
          <w:color w:val="auto"/>
        </w:rPr>
      </w:pPr>
      <w:r>
        <w:rPr>
          <w:rFonts w:ascii="Arial" w:cs="Arial" w:eastAsia="Arial" w:hAnsi="Arial"/>
          <w:sz w:val="14"/>
          <w:szCs w:val="14"/>
          <w:color w:val="auto"/>
        </w:rPr>
        <w:t>Mr. Satre’s prior experience as an executive in our industry brings the Board extensive understanding of the complex financial, regulatory, operational, and strategic challenges we face, while his prior experience as a director across a diversity of industries adds additional expertise in matters of good corporate governance and effective Board oversight.</w:t>
      </w:r>
    </w:p>
    <w:p>
      <w:pPr>
        <w:spacing w:after="0" w:line="66"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Regulatory/Legal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Financial/Accounting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Media/Investor Relations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International experience</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32"/>
          <w:szCs w:val="32"/>
          <w:color w:val="1C8C4F"/>
        </w:rPr>
        <w:t xml:space="preserve">Darnell O. Strom </w:t>
      </w:r>
      <w:r>
        <w:rPr>
          <w:rFonts w:ascii="Arial" w:cs="Arial" w:eastAsia="Arial" w:hAnsi="Arial"/>
          <w:sz w:val="14"/>
          <w:szCs w:val="14"/>
          <w:i w:val="1"/>
          <w:iCs w:val="1"/>
          <w:color w:val="333D3F"/>
        </w:rPr>
        <w:t>Partner &amp; Head of Culture and Leadership, UTA</w:t>
      </w:r>
    </w:p>
    <w:p>
      <w:pPr>
        <w:spacing w:after="0" w:line="210" w:lineRule="exact"/>
        <w:rPr>
          <w:sz w:val="20"/>
          <w:szCs w:val="20"/>
          <w:color w:val="auto"/>
        </w:rPr>
      </w:pPr>
    </w:p>
    <w:p>
      <w:pPr>
        <w:ind w:left="120" w:right="640"/>
        <w:spacing w:after="0" w:line="258" w:lineRule="auto"/>
        <w:rPr>
          <w:sz w:val="20"/>
          <w:szCs w:val="20"/>
          <w:color w:val="auto"/>
        </w:rPr>
      </w:pPr>
      <w:r>
        <w:rPr>
          <w:rFonts w:ascii="Arial" w:cs="Arial" w:eastAsia="Arial" w:hAnsi="Arial"/>
          <w:sz w:val="14"/>
          <w:szCs w:val="14"/>
          <w:color w:val="auto"/>
        </w:rPr>
        <w:t>Mr. Strom is a Partner &amp; Head of the Culture and Leadership Division at premiere entertainment agency, UTA. Strom represents transformative talent, brands, and organizations across entertainment, media, sports, fashion, the arts, entrepreneurship, politics, and thought leadership.</w:t>
      </w:r>
    </w:p>
    <w:p>
      <w:pPr>
        <w:spacing w:after="0" w:line="17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1680210" cy="2785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ind w:left="3260" w:hanging="120"/>
        <w:spacing w:after="0"/>
        <w:tabs>
          <w:tab w:leader="none" w:pos="3260" w:val="left"/>
        </w:tabs>
        <w:numPr>
          <w:ilvl w:val="0"/>
          <w:numId w:val="18"/>
        </w:numPr>
        <w:rPr>
          <w:rFonts w:ascii="Arial" w:cs="Arial" w:eastAsia="Arial" w:hAnsi="Arial"/>
          <w:sz w:val="14"/>
          <w:szCs w:val="14"/>
          <w:color w:val="1C8C4F"/>
        </w:rPr>
      </w:pPr>
      <w:r>
        <w:rPr>
          <w:rFonts w:ascii="Arial" w:cs="Arial" w:eastAsia="Arial" w:hAnsi="Arial"/>
          <w:sz w:val="14"/>
          <w:szCs w:val="14"/>
          <w:color w:val="auto"/>
        </w:rPr>
        <w:t>2012 to 2019: Agent, Creative Artists Agency</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18"/>
        </w:numPr>
        <w:rPr>
          <w:rFonts w:ascii="Arial" w:cs="Arial" w:eastAsia="Arial" w:hAnsi="Arial"/>
          <w:sz w:val="14"/>
          <w:szCs w:val="14"/>
          <w:color w:val="1C8C4F"/>
        </w:rPr>
      </w:pPr>
      <w:r>
        <w:rPr>
          <w:rFonts w:ascii="Arial" w:cs="Arial" w:eastAsia="Arial" w:hAnsi="Arial"/>
          <w:sz w:val="14"/>
          <w:szCs w:val="14"/>
          <w:color w:val="auto"/>
        </w:rPr>
        <w:t>2010 to 2012: Executive, Creative Artists Agency Foundation</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18"/>
        </w:numPr>
        <w:rPr>
          <w:rFonts w:ascii="Arial" w:cs="Arial" w:eastAsia="Arial" w:hAnsi="Arial"/>
          <w:sz w:val="14"/>
          <w:szCs w:val="14"/>
          <w:color w:val="1C8C4F"/>
        </w:rPr>
      </w:pPr>
      <w:r>
        <w:rPr>
          <w:rFonts w:ascii="Arial" w:cs="Arial" w:eastAsia="Arial" w:hAnsi="Arial"/>
          <w:sz w:val="14"/>
          <w:szCs w:val="14"/>
          <w:color w:val="auto"/>
        </w:rPr>
        <w:t>2006 to 2010: Deputy Director of Development, William J. Clinton Foundation</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18"/>
        </w:numPr>
        <w:rPr>
          <w:rFonts w:ascii="Arial" w:cs="Arial" w:eastAsia="Arial" w:hAnsi="Arial"/>
          <w:sz w:val="14"/>
          <w:szCs w:val="14"/>
          <w:color w:val="1C8C4F"/>
        </w:rPr>
      </w:pPr>
      <w:r>
        <w:rPr>
          <w:rFonts w:ascii="Arial" w:cs="Arial" w:eastAsia="Arial" w:hAnsi="Arial"/>
          <w:sz w:val="14"/>
          <w:szCs w:val="14"/>
          <w:color w:val="auto"/>
        </w:rPr>
        <w:t>2005 to 2006: Deputy Director of Scheduling &amp; Advance, Office of President William J. Clinton</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EDUCATION</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Mr. Strom graduated with a B.S. (with honors) from Florida A&amp;M University.</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EXPERTISE</w:t>
      </w:r>
    </w:p>
    <w:p>
      <w:pPr>
        <w:spacing w:after="0" w:line="19" w:lineRule="exact"/>
        <w:rPr>
          <w:sz w:val="20"/>
          <w:szCs w:val="20"/>
          <w:color w:val="auto"/>
        </w:rPr>
      </w:pPr>
    </w:p>
    <w:p>
      <w:pPr>
        <w:ind w:left="3140" w:right="80"/>
        <w:spacing w:after="0" w:line="249" w:lineRule="auto"/>
        <w:rPr>
          <w:sz w:val="20"/>
          <w:szCs w:val="20"/>
          <w:color w:val="auto"/>
        </w:rPr>
      </w:pPr>
      <w:r>
        <w:rPr>
          <w:rFonts w:ascii="Arial" w:cs="Arial" w:eastAsia="Arial" w:hAnsi="Arial"/>
          <w:sz w:val="14"/>
          <w:szCs w:val="14"/>
          <w:color w:val="auto"/>
        </w:rPr>
        <w:t>Mr. Strom’s decades of experience in entertainment, media, and sports, along with the relationships he has established, will be a significant benefit to the Board. Mr. Strom brings to our Board significant industry expertise in media, sports, entertainment, music, fashion, the arts, branding and thought leadership.</w:t>
      </w:r>
    </w:p>
    <w:p>
      <w:pPr>
        <w:spacing w:after="0" w:line="66"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Gov’t Service/Public Policy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Geopolitical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Technology/Digital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0" w:hanging="684"/>
        <w:spacing w:after="0"/>
        <w:tabs>
          <w:tab w:leader="none" w:pos="800" w:val="left"/>
        </w:tabs>
        <w:numPr>
          <w:ilvl w:val="0"/>
          <w:numId w:val="19"/>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Arial" w:cs="Arial" w:eastAsia="Arial" w:hAnsi="Arial"/>
          <w:sz w:val="32"/>
          <w:szCs w:val="32"/>
          <w:color w:val="1C8C4F"/>
        </w:rPr>
        <w:t xml:space="preserve">Winifred M. Webb </w:t>
      </w:r>
      <w:r>
        <w:rPr>
          <w:rFonts w:ascii="Arial" w:cs="Arial" w:eastAsia="Arial" w:hAnsi="Arial"/>
          <w:sz w:val="14"/>
          <w:szCs w:val="14"/>
          <w:i w:val="1"/>
          <w:iCs w:val="1"/>
          <w:color w:val="333D3F"/>
        </w:rPr>
        <w:t>Chief Executive Officer, Kestrel Corporate Advisors</w:t>
      </w:r>
    </w:p>
    <w:p>
      <w:pPr>
        <w:spacing w:after="0" w:line="223" w:lineRule="exact"/>
        <w:rPr>
          <w:sz w:val="20"/>
          <w:szCs w:val="20"/>
          <w:color w:val="auto"/>
        </w:rPr>
      </w:pPr>
    </w:p>
    <w:p>
      <w:pPr>
        <w:ind w:left="120" w:right="340"/>
        <w:spacing w:after="0" w:line="258" w:lineRule="auto"/>
        <w:rPr>
          <w:sz w:val="20"/>
          <w:szCs w:val="20"/>
          <w:color w:val="auto"/>
        </w:rPr>
      </w:pPr>
      <w:r>
        <w:rPr>
          <w:rFonts w:ascii="Arial" w:cs="Arial" w:eastAsia="Arial" w:hAnsi="Arial"/>
          <w:sz w:val="14"/>
          <w:szCs w:val="14"/>
          <w:color w:val="auto"/>
        </w:rPr>
        <w:t>Ms. Webb has been Chief Executive Officer of Kestrel Corporate Advisors, an advisory services firm, since 2013. Ms. Webb currently serves on the Board of Trustees of American Homes 4 Rent (since January 2019) and the Boards of AppFolio, Inc. (since December 2019) and ABM Industries (since 2014).</w:t>
      </w:r>
    </w:p>
    <w:p>
      <w:pPr>
        <w:spacing w:after="0" w:line="17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1680210" cy="27857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680210" cy="2785745"/>
                    </a:xfrm>
                    <a:prstGeom prst="rect">
                      <a:avLst/>
                    </a:prstGeom>
                    <a:noFill/>
                  </pic:spPr>
                </pic:pic>
              </a:graphicData>
            </a:graphic>
          </wp:anchor>
        </w:drawing>
      </w:r>
    </w:p>
    <w:p>
      <w:pPr>
        <w:ind w:left="3260" w:hanging="120"/>
        <w:spacing w:after="0"/>
        <w:tabs>
          <w:tab w:leader="none" w:pos="3260" w:val="left"/>
        </w:tabs>
        <w:numPr>
          <w:ilvl w:val="0"/>
          <w:numId w:val="20"/>
        </w:numPr>
        <w:rPr>
          <w:rFonts w:ascii="Arial" w:cs="Arial" w:eastAsia="Arial" w:hAnsi="Arial"/>
          <w:sz w:val="14"/>
          <w:szCs w:val="14"/>
          <w:color w:val="1C8C4F"/>
        </w:rPr>
      </w:pPr>
      <w:r>
        <w:rPr>
          <w:rFonts w:ascii="Arial" w:cs="Arial" w:eastAsia="Arial" w:hAnsi="Arial"/>
          <w:sz w:val="14"/>
          <w:szCs w:val="14"/>
          <w:color w:val="auto"/>
        </w:rPr>
        <w:t>2010 to 2013: Managing Director, Tennenbaum Capital Partners, now part of BlackRock</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20"/>
        </w:numPr>
        <w:rPr>
          <w:rFonts w:ascii="Arial" w:cs="Arial" w:eastAsia="Arial" w:hAnsi="Arial"/>
          <w:sz w:val="14"/>
          <w:szCs w:val="14"/>
          <w:color w:val="1C8C4F"/>
        </w:rPr>
      </w:pPr>
      <w:r>
        <w:rPr>
          <w:rFonts w:ascii="Arial" w:cs="Arial" w:eastAsia="Arial" w:hAnsi="Arial"/>
          <w:sz w:val="14"/>
          <w:szCs w:val="14"/>
          <w:color w:val="auto"/>
        </w:rPr>
        <w:t>2008 to 2010: Member of the Corporate Executive team and senior advisor, Ticketmaster</w:t>
      </w:r>
    </w:p>
    <w:p>
      <w:pPr>
        <w:spacing w:after="0" w:line="82" w:lineRule="exact"/>
        <w:rPr>
          <w:rFonts w:ascii="Arial" w:cs="Arial" w:eastAsia="Arial" w:hAnsi="Arial"/>
          <w:sz w:val="14"/>
          <w:szCs w:val="14"/>
          <w:color w:val="1C8C4F"/>
        </w:rPr>
      </w:pPr>
    </w:p>
    <w:p>
      <w:pPr>
        <w:ind w:left="3280" w:right="80" w:hanging="140"/>
        <w:spacing w:after="0" w:line="258" w:lineRule="auto"/>
        <w:tabs>
          <w:tab w:leader="none" w:pos="3265" w:val="left"/>
        </w:tabs>
        <w:numPr>
          <w:ilvl w:val="0"/>
          <w:numId w:val="20"/>
        </w:numPr>
        <w:rPr>
          <w:rFonts w:ascii="Arial" w:cs="Arial" w:eastAsia="Arial" w:hAnsi="Arial"/>
          <w:sz w:val="14"/>
          <w:szCs w:val="14"/>
          <w:color w:val="1C8C4F"/>
        </w:rPr>
      </w:pPr>
      <w:r>
        <w:rPr>
          <w:rFonts w:ascii="Arial" w:cs="Arial" w:eastAsia="Arial" w:hAnsi="Arial"/>
          <w:sz w:val="14"/>
          <w:szCs w:val="14"/>
          <w:color w:val="auto"/>
        </w:rPr>
        <w:t>1988 to 2008: Various senior positions, including as Senior Vice President of Investor Relations and Shareholder Services, and governance outreach, The Walt Disney Company; Executive Director, The Walt Disney Company Foundation</w:t>
      </w:r>
    </w:p>
    <w:p>
      <w:pPr>
        <w:spacing w:after="0" w:line="58" w:lineRule="exact"/>
        <w:rPr>
          <w:rFonts w:ascii="Arial" w:cs="Arial" w:eastAsia="Arial" w:hAnsi="Arial"/>
          <w:sz w:val="14"/>
          <w:szCs w:val="14"/>
          <w:color w:val="1C8C4F"/>
        </w:rPr>
      </w:pPr>
    </w:p>
    <w:p>
      <w:pPr>
        <w:ind w:left="3260" w:hanging="120"/>
        <w:spacing w:after="0"/>
        <w:tabs>
          <w:tab w:leader="none" w:pos="3260" w:val="left"/>
        </w:tabs>
        <w:numPr>
          <w:ilvl w:val="0"/>
          <w:numId w:val="20"/>
        </w:numPr>
        <w:rPr>
          <w:rFonts w:ascii="Arial" w:cs="Arial" w:eastAsia="Arial" w:hAnsi="Arial"/>
          <w:sz w:val="14"/>
          <w:szCs w:val="14"/>
          <w:color w:val="1C8C4F"/>
        </w:rPr>
      </w:pPr>
      <w:r>
        <w:rPr>
          <w:rFonts w:ascii="Arial" w:cs="Arial" w:eastAsia="Arial" w:hAnsi="Arial"/>
          <w:sz w:val="14"/>
          <w:szCs w:val="14"/>
          <w:color w:val="auto"/>
        </w:rPr>
        <w:t>Previously held various investment banking positions</w:t>
      </w:r>
    </w:p>
    <w:p>
      <w:pPr>
        <w:spacing w:after="0" w:line="82" w:lineRule="exact"/>
        <w:rPr>
          <w:rFonts w:ascii="Arial" w:cs="Arial" w:eastAsia="Arial" w:hAnsi="Arial"/>
          <w:sz w:val="14"/>
          <w:szCs w:val="14"/>
          <w:color w:val="1C8C4F"/>
        </w:rPr>
      </w:pPr>
    </w:p>
    <w:p>
      <w:pPr>
        <w:ind w:left="3260" w:hanging="120"/>
        <w:spacing w:after="0"/>
        <w:tabs>
          <w:tab w:leader="none" w:pos="3260" w:val="left"/>
        </w:tabs>
        <w:numPr>
          <w:ilvl w:val="0"/>
          <w:numId w:val="20"/>
        </w:numPr>
        <w:rPr>
          <w:rFonts w:ascii="Arial" w:cs="Arial" w:eastAsia="Arial" w:hAnsi="Arial"/>
          <w:sz w:val="14"/>
          <w:szCs w:val="14"/>
          <w:color w:val="1C8C4F"/>
        </w:rPr>
      </w:pPr>
      <w:r>
        <w:rPr>
          <w:rFonts w:ascii="Arial" w:cs="Arial" w:eastAsia="Arial" w:hAnsi="Arial"/>
          <w:sz w:val="14"/>
          <w:szCs w:val="14"/>
          <w:color w:val="auto"/>
        </w:rPr>
        <w:t>Prior service on the boards of TiVo, Jack in the Box, 9 Spokes, and nonprofit PetSmart Charities</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EDUCATION</w:t>
      </w:r>
    </w:p>
    <w:p>
      <w:pPr>
        <w:spacing w:after="0" w:line="19"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Ms. Webb graduated with a B.A. (with honors) from Smith College and received her M.B.A. from Harvard University.</w:t>
      </w:r>
    </w:p>
    <w:p>
      <w:pPr>
        <w:spacing w:after="0" w:line="199"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1C8C4F"/>
        </w:rPr>
        <w:t>EXPERTISE</w:t>
      </w:r>
    </w:p>
    <w:p>
      <w:pPr>
        <w:spacing w:after="0" w:line="19" w:lineRule="exact"/>
        <w:rPr>
          <w:sz w:val="20"/>
          <w:szCs w:val="20"/>
          <w:color w:val="auto"/>
        </w:rPr>
      </w:pPr>
    </w:p>
    <w:p>
      <w:pPr>
        <w:ind w:left="3140" w:right="80"/>
        <w:spacing w:after="0" w:line="247" w:lineRule="auto"/>
        <w:rPr>
          <w:sz w:val="20"/>
          <w:szCs w:val="20"/>
          <w:color w:val="auto"/>
        </w:rPr>
      </w:pPr>
      <w:r>
        <w:rPr>
          <w:rFonts w:ascii="Arial" w:cs="Arial" w:eastAsia="Arial" w:hAnsi="Arial"/>
          <w:sz w:val="14"/>
          <w:szCs w:val="14"/>
          <w:color w:val="auto"/>
        </w:rPr>
        <w:t>Ms. Webb brings to our Board significant industry expertise in travel and tourism, hospitality, food and beverage, media and entertainment, retailing, and facilities services. Ms. Webb’s experience developing award-winning investor relations, strategic communications, brand-building programs and extensive, public company board service contribute to the Board’s ability to provide creative solutions in strategic planning and board governance.</w:t>
      </w:r>
    </w:p>
    <w:p>
      <w:pPr>
        <w:spacing w:after="0" w:line="66"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Gaming/Entertainment Industry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CEO/Executive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Public Company Board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Financial/Accounting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Media/Investor Relations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Real Estate/Project Construction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International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Technology/Digital experience</w:t>
      </w:r>
    </w:p>
    <w:p>
      <w:pPr>
        <w:spacing w:after="0" w:line="1" w:lineRule="exact"/>
        <w:rPr>
          <w:sz w:val="20"/>
          <w:szCs w:val="20"/>
          <w:color w:val="auto"/>
        </w:rPr>
      </w:pPr>
    </w:p>
    <w:p>
      <w:pPr>
        <w:ind w:left="3140"/>
        <w:spacing w:after="0"/>
        <w:rPr>
          <w:sz w:val="20"/>
          <w:szCs w:val="20"/>
          <w:color w:val="auto"/>
        </w:rPr>
      </w:pPr>
      <w:r>
        <w:rPr>
          <w:rFonts w:ascii="Arial" w:cs="Arial" w:eastAsia="Arial" w:hAnsi="Arial"/>
          <w:sz w:val="14"/>
          <w:szCs w:val="14"/>
          <w:color w:val="auto"/>
        </w:rPr>
        <w:t>Environmental, Social &amp; Governance experience</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9</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Why our board governance is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2082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2082800"/>
                    </a:xfrm>
                    <a:prstGeom prst="rect">
                      <a:avLst/>
                    </a:prstGeom>
                    <a:noFill/>
                  </pic:spPr>
                </pic:pic>
              </a:graphicData>
            </a:graphic>
          </wp:anchor>
        </w:drawing>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20" w:type="dxa"/>
            <w:vAlign w:val="bottom"/>
            <w:vMerge w:val="restart"/>
            <w:shd w:val="clear" w:color="auto" w:fill="1C8C4F"/>
          </w:tcPr>
          <w:p>
            <w:pPr>
              <w:ind w:left="920"/>
              <w:spacing w:after="0"/>
              <w:rPr>
                <w:sz w:val="20"/>
                <w:szCs w:val="20"/>
                <w:color w:val="auto"/>
              </w:rPr>
            </w:pPr>
            <w:r>
              <w:rPr>
                <w:rFonts w:ascii="Arial" w:cs="Arial" w:eastAsia="Arial" w:hAnsi="Arial"/>
                <w:sz w:val="14"/>
                <w:szCs w:val="14"/>
                <w:b w:val="1"/>
                <w:bCs w:val="1"/>
                <w:color w:val="FFFFFF"/>
              </w:rPr>
              <w:t>ROBUST INDEPENDENCE</w:t>
            </w:r>
          </w:p>
        </w:tc>
        <w:tc>
          <w:tcPr>
            <w:tcW w:w="3980" w:type="dxa"/>
            <w:vAlign w:val="bottom"/>
            <w:shd w:val="clear" w:color="auto" w:fill="1C8C4F"/>
          </w:tcPr>
          <w:p>
            <w:pPr>
              <w:jc w:val="center"/>
              <w:ind w:right="48"/>
              <w:spacing w:after="0"/>
              <w:rPr>
                <w:sz w:val="20"/>
                <w:szCs w:val="20"/>
                <w:color w:val="auto"/>
              </w:rPr>
            </w:pPr>
            <w:r>
              <w:rPr>
                <w:rFonts w:ascii="Arial" w:cs="Arial" w:eastAsia="Arial" w:hAnsi="Arial"/>
                <w:sz w:val="14"/>
                <w:szCs w:val="14"/>
                <w:b w:val="1"/>
                <w:bCs w:val="1"/>
                <w:color w:val="FFFFFF"/>
              </w:rPr>
              <w:t>ACCOUNTABILITY AND ALIGNMENT</w:t>
            </w:r>
          </w:p>
        </w:tc>
        <w:tc>
          <w:tcPr>
            <w:tcW w:w="3420" w:type="dxa"/>
            <w:vAlign w:val="bottom"/>
            <w:vMerge w:val="restart"/>
            <w:shd w:val="clear" w:color="auto" w:fill="1C8C4F"/>
          </w:tcPr>
          <w:p>
            <w:pPr>
              <w:ind w:left="820"/>
              <w:spacing w:after="0"/>
              <w:rPr>
                <w:sz w:val="20"/>
                <w:szCs w:val="20"/>
                <w:color w:val="auto"/>
              </w:rPr>
            </w:pPr>
            <w:r>
              <w:rPr>
                <w:rFonts w:ascii="Arial" w:cs="Arial" w:eastAsia="Arial" w:hAnsi="Arial"/>
                <w:sz w:val="14"/>
                <w:szCs w:val="14"/>
                <w:b w:val="1"/>
                <w:bCs w:val="1"/>
                <w:color w:val="FFFFFF"/>
              </w:rPr>
              <w:t>EFFECTIVE OVERSIGHT</w:t>
            </w:r>
          </w:p>
        </w:tc>
        <w:tc>
          <w:tcPr>
            <w:tcW w:w="0" w:type="dxa"/>
            <w:vAlign w:val="bottom"/>
          </w:tcPr>
          <w:p>
            <w:pPr>
              <w:spacing w:after="0"/>
              <w:rPr>
                <w:sz w:val="1"/>
                <w:szCs w:val="1"/>
                <w:color w:val="auto"/>
              </w:rPr>
            </w:pPr>
          </w:p>
        </w:tc>
      </w:tr>
      <w:tr>
        <w:trPr>
          <w:trHeight w:val="109"/>
        </w:trPr>
        <w:tc>
          <w:tcPr>
            <w:tcW w:w="3620" w:type="dxa"/>
            <w:vAlign w:val="bottom"/>
            <w:vMerge w:val="continue"/>
            <w:shd w:val="clear" w:color="auto" w:fill="1C8C4F"/>
          </w:tcPr>
          <w:p>
            <w:pPr>
              <w:spacing w:after="0"/>
              <w:rPr>
                <w:sz w:val="9"/>
                <w:szCs w:val="9"/>
                <w:color w:val="auto"/>
              </w:rPr>
            </w:pPr>
          </w:p>
        </w:tc>
        <w:tc>
          <w:tcPr>
            <w:tcW w:w="3980" w:type="dxa"/>
            <w:vAlign w:val="bottom"/>
            <w:vMerge w:val="restart"/>
            <w:shd w:val="clear" w:color="auto" w:fill="1C8C4F"/>
          </w:tcPr>
          <w:p>
            <w:pPr>
              <w:jc w:val="center"/>
              <w:ind w:right="48"/>
              <w:spacing w:after="0"/>
              <w:rPr>
                <w:sz w:val="20"/>
                <w:szCs w:val="20"/>
                <w:color w:val="auto"/>
              </w:rPr>
            </w:pPr>
            <w:r>
              <w:rPr>
                <w:rFonts w:ascii="Arial" w:cs="Arial" w:eastAsia="Arial" w:hAnsi="Arial"/>
                <w:sz w:val="14"/>
                <w:szCs w:val="14"/>
                <w:b w:val="1"/>
                <w:bCs w:val="1"/>
                <w:color w:val="FFFFFF"/>
              </w:rPr>
              <w:t>WITH SHAREHOLDERS</w:t>
            </w:r>
          </w:p>
        </w:tc>
        <w:tc>
          <w:tcPr>
            <w:tcW w:w="3420" w:type="dxa"/>
            <w:vAlign w:val="bottom"/>
            <w:vMerge w:val="continue"/>
            <w:shd w:val="clear" w:color="auto" w:fill="1C8C4F"/>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620" w:type="dxa"/>
            <w:vAlign w:val="bottom"/>
            <w:shd w:val="clear" w:color="auto" w:fill="1C8C4F"/>
          </w:tcPr>
          <w:p>
            <w:pPr>
              <w:spacing w:after="0"/>
              <w:rPr>
                <w:sz w:val="7"/>
                <w:szCs w:val="7"/>
                <w:color w:val="auto"/>
              </w:rPr>
            </w:pPr>
          </w:p>
        </w:tc>
        <w:tc>
          <w:tcPr>
            <w:tcW w:w="3980" w:type="dxa"/>
            <w:vAlign w:val="bottom"/>
            <w:vMerge w:val="continue"/>
            <w:shd w:val="clear" w:color="auto" w:fill="1C8C4F"/>
          </w:tcPr>
          <w:p>
            <w:pPr>
              <w:spacing w:after="0"/>
              <w:rPr>
                <w:sz w:val="7"/>
                <w:szCs w:val="7"/>
                <w:color w:val="auto"/>
              </w:rPr>
            </w:pPr>
          </w:p>
        </w:tc>
        <w:tc>
          <w:tcPr>
            <w:tcW w:w="3420" w:type="dxa"/>
            <w:vAlign w:val="bottom"/>
            <w:shd w:val="clear" w:color="auto" w:fill="1C8C4F"/>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3620" w:type="dxa"/>
            <w:vAlign w:val="bottom"/>
            <w:shd w:val="clear" w:color="auto" w:fill="1C8C4F"/>
          </w:tcPr>
          <w:p>
            <w:pPr>
              <w:spacing w:after="0"/>
              <w:rPr>
                <w:sz w:val="3"/>
                <w:szCs w:val="3"/>
                <w:color w:val="auto"/>
              </w:rPr>
            </w:pPr>
          </w:p>
        </w:tc>
        <w:tc>
          <w:tcPr>
            <w:tcW w:w="3980" w:type="dxa"/>
            <w:vAlign w:val="bottom"/>
            <w:shd w:val="clear" w:color="auto" w:fill="1C8C4F"/>
          </w:tcPr>
          <w:p>
            <w:pPr>
              <w:spacing w:after="0"/>
              <w:rPr>
                <w:sz w:val="3"/>
                <w:szCs w:val="3"/>
                <w:color w:val="auto"/>
              </w:rPr>
            </w:pPr>
          </w:p>
        </w:tc>
        <w:tc>
          <w:tcPr>
            <w:tcW w:w="3420" w:type="dxa"/>
            <w:vAlign w:val="bottom"/>
            <w:shd w:val="clear" w:color="auto" w:fill="1C8C4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620" w:type="dxa"/>
            <w:vAlign w:val="bottom"/>
            <w:shd w:val="clear" w:color="auto" w:fill="F4F9D8"/>
          </w:tcPr>
          <w:p>
            <w:pPr>
              <w:ind w:left="80"/>
              <w:spacing w:after="0"/>
              <w:rPr>
                <w:sz w:val="20"/>
                <w:szCs w:val="20"/>
                <w:color w:val="auto"/>
              </w:rPr>
            </w:pPr>
            <w:r>
              <w:rPr>
                <w:rFonts w:ascii="Arial" w:cs="Arial" w:eastAsia="Arial" w:hAnsi="Arial"/>
                <w:sz w:val="15"/>
                <w:szCs w:val="15"/>
                <w:color w:val="auto"/>
              </w:rPr>
              <w:t>Separate Independent Chair and CEO roles</w:t>
            </w:r>
          </w:p>
        </w:tc>
        <w:tc>
          <w:tcPr>
            <w:tcW w:w="3740" w:type="dxa"/>
            <w:vAlign w:val="bottom"/>
            <w:shd w:val="clear" w:color="auto" w:fill="F6FADF"/>
          </w:tcPr>
          <w:p>
            <w:pPr>
              <w:ind w:left="120"/>
              <w:spacing w:after="0"/>
              <w:rPr>
                <w:sz w:val="20"/>
                <w:szCs w:val="20"/>
                <w:color w:val="auto"/>
              </w:rPr>
            </w:pPr>
            <w:r>
              <w:rPr>
                <w:rFonts w:ascii="Arial" w:cs="Arial" w:eastAsia="Arial" w:hAnsi="Arial"/>
                <w:sz w:val="15"/>
                <w:szCs w:val="15"/>
                <w:color w:val="auto"/>
              </w:rPr>
              <w:t>Strong stock ownership guidelines</w:t>
            </w:r>
          </w:p>
        </w:tc>
        <w:tc>
          <w:tcPr>
            <w:tcW w:w="3660" w:type="dxa"/>
            <w:vAlign w:val="bottom"/>
            <w:shd w:val="clear" w:color="auto" w:fill="F8FBE7"/>
          </w:tcPr>
          <w:p>
            <w:pPr>
              <w:ind w:left="120"/>
              <w:spacing w:after="0"/>
              <w:rPr>
                <w:sz w:val="20"/>
                <w:szCs w:val="20"/>
                <w:color w:val="auto"/>
              </w:rPr>
            </w:pPr>
            <w:r>
              <w:rPr>
                <w:rFonts w:ascii="Arial" w:cs="Arial" w:eastAsia="Arial" w:hAnsi="Arial"/>
                <w:sz w:val="15"/>
                <w:szCs w:val="15"/>
                <w:color w:val="auto"/>
              </w:rPr>
              <w:t>Compliance Committee composed of three</w:t>
            </w:r>
          </w:p>
        </w:tc>
        <w:tc>
          <w:tcPr>
            <w:tcW w:w="0" w:type="dxa"/>
            <w:vAlign w:val="bottom"/>
          </w:tcPr>
          <w:p>
            <w:pPr>
              <w:spacing w:after="0"/>
              <w:rPr>
                <w:sz w:val="1"/>
                <w:szCs w:val="1"/>
                <w:color w:val="auto"/>
              </w:rPr>
            </w:pPr>
          </w:p>
        </w:tc>
      </w:tr>
      <w:tr>
        <w:trPr>
          <w:trHeight w:val="7"/>
        </w:trPr>
        <w:tc>
          <w:tcPr>
            <w:tcW w:w="3620" w:type="dxa"/>
            <w:vAlign w:val="bottom"/>
            <w:shd w:val="clear" w:color="auto" w:fill="F4F9D8"/>
          </w:tcPr>
          <w:p>
            <w:pPr>
              <w:ind w:left="80"/>
              <w:spacing w:after="0" w:line="8" w:lineRule="exact"/>
              <w:rPr>
                <w:sz w:val="20"/>
                <w:szCs w:val="20"/>
                <w:color w:val="auto"/>
              </w:rPr>
            </w:pPr>
            <w:r>
              <w:rPr>
                <w:rFonts w:ascii="Arial" w:cs="Arial" w:eastAsia="Arial" w:hAnsi="Arial"/>
                <w:sz w:val="1"/>
                <w:szCs w:val="1"/>
                <w:color w:val="auto"/>
              </w:rPr>
              <w:t>enshrined in Bylaws</w:t>
            </w:r>
          </w:p>
        </w:tc>
        <w:tc>
          <w:tcPr>
            <w:tcW w:w="3740" w:type="dxa"/>
            <w:vAlign w:val="bottom"/>
            <w:shd w:val="clear" w:color="auto" w:fill="F6FADF"/>
          </w:tcPr>
          <w:p>
            <w:pPr>
              <w:ind w:left="120"/>
              <w:spacing w:after="0" w:line="8" w:lineRule="exact"/>
              <w:rPr>
                <w:sz w:val="20"/>
                <w:szCs w:val="20"/>
                <w:color w:val="auto"/>
              </w:rPr>
            </w:pPr>
            <w:r>
              <w:rPr>
                <w:rFonts w:ascii="Arial" w:cs="Arial" w:eastAsia="Arial" w:hAnsi="Arial"/>
                <w:sz w:val="1"/>
                <w:szCs w:val="1"/>
                <w:color w:val="auto"/>
              </w:rPr>
              <w:t>-3x annual retainer for directors</w:t>
            </w:r>
          </w:p>
        </w:tc>
        <w:tc>
          <w:tcPr>
            <w:tcW w:w="3660" w:type="dxa"/>
            <w:vAlign w:val="bottom"/>
            <w:shd w:val="clear" w:color="auto" w:fill="F8FBE7"/>
          </w:tcPr>
          <w:p>
            <w:pPr>
              <w:ind w:left="120"/>
              <w:spacing w:after="0" w:line="8" w:lineRule="exact"/>
              <w:rPr>
                <w:sz w:val="20"/>
                <w:szCs w:val="20"/>
                <w:color w:val="auto"/>
              </w:rPr>
            </w:pPr>
            <w:r>
              <w:rPr>
                <w:rFonts w:ascii="Arial" w:cs="Arial" w:eastAsia="Arial" w:hAnsi="Arial"/>
                <w:sz w:val="1"/>
                <w:szCs w:val="1"/>
                <w:color w:val="auto"/>
              </w:rPr>
              <w:t>individuals who are independent of the Company</w:t>
            </w:r>
          </w:p>
        </w:tc>
        <w:tc>
          <w:tcPr>
            <w:tcW w:w="0" w:type="dxa"/>
            <w:vAlign w:val="bottom"/>
          </w:tcPr>
          <w:p>
            <w:pPr>
              <w:spacing w:after="0" w:line="20" w:lineRule="exact"/>
              <w:rPr>
                <w:sz w:val="1"/>
                <w:szCs w:val="1"/>
                <w:color w:val="auto"/>
              </w:rPr>
            </w:pPr>
          </w:p>
        </w:tc>
      </w:tr>
      <w:tr>
        <w:trPr>
          <w:trHeight w:val="156"/>
        </w:trPr>
        <w:tc>
          <w:tcPr>
            <w:tcW w:w="3620" w:type="dxa"/>
            <w:vAlign w:val="bottom"/>
            <w:shd w:val="clear" w:color="auto" w:fill="F4F9D8"/>
          </w:tcPr>
          <w:p>
            <w:pPr>
              <w:ind w:left="1440"/>
              <w:spacing w:after="0"/>
              <w:rPr>
                <w:sz w:val="20"/>
                <w:szCs w:val="20"/>
                <w:color w:val="auto"/>
              </w:rPr>
            </w:pPr>
            <w:r>
              <w:rPr>
                <w:rFonts w:ascii="Arial" w:cs="Arial" w:eastAsia="Arial" w:hAnsi="Arial"/>
                <w:sz w:val="13"/>
                <w:szCs w:val="13"/>
                <w:color w:val="auto"/>
              </w:rPr>
              <w:t>(1)</w:t>
            </w:r>
          </w:p>
        </w:tc>
        <w:tc>
          <w:tcPr>
            <w:tcW w:w="3740" w:type="dxa"/>
            <w:vAlign w:val="bottom"/>
            <w:vMerge w:val="restart"/>
            <w:shd w:val="clear" w:color="auto" w:fill="F6FADF"/>
          </w:tcPr>
          <w:p>
            <w:pPr>
              <w:ind w:left="120"/>
              <w:spacing w:after="0"/>
              <w:rPr>
                <w:sz w:val="20"/>
                <w:szCs w:val="20"/>
                <w:color w:val="auto"/>
              </w:rPr>
            </w:pPr>
            <w:r>
              <w:rPr>
                <w:rFonts w:ascii="Arial" w:cs="Arial" w:eastAsia="Arial" w:hAnsi="Arial"/>
                <w:sz w:val="15"/>
                <w:szCs w:val="15"/>
                <w:color w:val="auto"/>
              </w:rPr>
              <w:t>-6x base salary for CEO</w:t>
            </w:r>
          </w:p>
        </w:tc>
        <w:tc>
          <w:tcPr>
            <w:tcW w:w="3660" w:type="dxa"/>
            <w:vAlign w:val="bottom"/>
            <w:vMerge w:val="restart"/>
            <w:shd w:val="clear" w:color="auto" w:fill="F8FBE7"/>
          </w:tcPr>
          <w:p>
            <w:pPr>
              <w:ind w:left="120"/>
              <w:spacing w:after="0"/>
              <w:rPr>
                <w:sz w:val="20"/>
                <w:szCs w:val="20"/>
                <w:color w:val="auto"/>
              </w:rPr>
            </w:pPr>
            <w:r>
              <w:rPr>
                <w:rFonts w:ascii="Arial" w:cs="Arial" w:eastAsia="Arial" w:hAnsi="Arial"/>
                <w:sz w:val="15"/>
                <w:szCs w:val="15"/>
                <w:color w:val="auto"/>
              </w:rPr>
              <w:t>and the Board</w:t>
            </w:r>
          </w:p>
        </w:tc>
        <w:tc>
          <w:tcPr>
            <w:tcW w:w="0" w:type="dxa"/>
            <w:vAlign w:val="bottom"/>
          </w:tcPr>
          <w:p>
            <w:pPr>
              <w:spacing w:after="0"/>
              <w:rPr>
                <w:sz w:val="1"/>
                <w:szCs w:val="1"/>
                <w:color w:val="auto"/>
              </w:rPr>
            </w:pPr>
          </w:p>
        </w:tc>
      </w:tr>
      <w:tr>
        <w:trPr>
          <w:trHeight w:val="161"/>
        </w:trPr>
        <w:tc>
          <w:tcPr>
            <w:tcW w:w="3620" w:type="dxa"/>
            <w:vAlign w:val="bottom"/>
            <w:shd w:val="clear" w:color="auto" w:fill="F4F9D8"/>
          </w:tcPr>
          <w:p>
            <w:pPr>
              <w:spacing w:after="0"/>
              <w:rPr>
                <w:sz w:val="14"/>
                <w:szCs w:val="14"/>
                <w:color w:val="auto"/>
              </w:rPr>
            </w:pPr>
          </w:p>
        </w:tc>
        <w:tc>
          <w:tcPr>
            <w:tcW w:w="3740" w:type="dxa"/>
            <w:vAlign w:val="bottom"/>
            <w:vMerge w:val="continue"/>
            <w:shd w:val="clear" w:color="auto" w:fill="F6FADF"/>
          </w:tcPr>
          <w:p>
            <w:pPr>
              <w:spacing w:after="0"/>
              <w:rPr>
                <w:sz w:val="14"/>
                <w:szCs w:val="14"/>
                <w:color w:val="auto"/>
              </w:rPr>
            </w:pPr>
          </w:p>
        </w:tc>
        <w:tc>
          <w:tcPr>
            <w:tcW w:w="3660" w:type="dxa"/>
            <w:vAlign w:val="bottom"/>
            <w:vMerge w:val="continue"/>
            <w:shd w:val="clear" w:color="auto" w:fill="F8FBE7"/>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3620" w:type="dxa"/>
            <w:vAlign w:val="bottom"/>
            <w:shd w:val="clear" w:color="auto" w:fill="F4F9D8"/>
          </w:tcPr>
          <w:p>
            <w:pPr>
              <w:ind w:left="3020"/>
              <w:spacing w:after="0" w:line="139" w:lineRule="exact"/>
              <w:rPr>
                <w:sz w:val="20"/>
                <w:szCs w:val="20"/>
                <w:color w:val="auto"/>
              </w:rPr>
            </w:pPr>
            <w:r>
              <w:rPr>
                <w:rFonts w:ascii="Arial" w:cs="Arial" w:eastAsia="Arial" w:hAnsi="Arial"/>
                <w:sz w:val="13"/>
                <w:szCs w:val="13"/>
                <w:color w:val="auto"/>
              </w:rPr>
              <w:t>(2)</w:t>
            </w:r>
          </w:p>
        </w:tc>
        <w:tc>
          <w:tcPr>
            <w:tcW w:w="3740" w:type="dxa"/>
            <w:vAlign w:val="bottom"/>
            <w:shd w:val="clear" w:color="auto" w:fill="F6FADF"/>
          </w:tcPr>
          <w:p>
            <w:pPr>
              <w:ind w:left="120"/>
              <w:spacing w:after="0" w:line="138" w:lineRule="exact"/>
              <w:rPr>
                <w:sz w:val="20"/>
                <w:szCs w:val="20"/>
                <w:color w:val="auto"/>
              </w:rPr>
            </w:pPr>
            <w:r>
              <w:rPr>
                <w:rFonts w:ascii="Arial" w:cs="Arial" w:eastAsia="Arial" w:hAnsi="Arial"/>
                <w:sz w:val="15"/>
                <w:szCs w:val="15"/>
                <w:color w:val="auto"/>
              </w:rPr>
              <w:t>-3x base salary for our President, Chief Financial</w:t>
            </w:r>
          </w:p>
        </w:tc>
        <w:tc>
          <w:tcPr>
            <w:tcW w:w="3660" w:type="dxa"/>
            <w:vAlign w:val="bottom"/>
            <w:shd w:val="clear" w:color="auto" w:fill="F8FBE7"/>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620" w:type="dxa"/>
            <w:vAlign w:val="bottom"/>
            <w:shd w:val="clear" w:color="auto" w:fill="F4F9D8"/>
          </w:tcPr>
          <w:p>
            <w:pPr>
              <w:ind w:left="80"/>
              <w:spacing w:after="0" w:line="65" w:lineRule="exact"/>
              <w:rPr>
                <w:sz w:val="20"/>
                <w:szCs w:val="20"/>
                <w:color w:val="auto"/>
              </w:rPr>
            </w:pPr>
            <w:r>
              <w:rPr>
                <w:rFonts w:ascii="Arial" w:cs="Arial" w:eastAsia="Arial" w:hAnsi="Arial"/>
                <w:sz w:val="7"/>
                <w:szCs w:val="7"/>
                <w:color w:val="auto"/>
              </w:rPr>
              <w:t>All non-executive directors are independent   and</w:t>
            </w:r>
          </w:p>
        </w:tc>
        <w:tc>
          <w:tcPr>
            <w:tcW w:w="3740" w:type="dxa"/>
            <w:vAlign w:val="bottom"/>
            <w:vMerge w:val="restart"/>
            <w:shd w:val="clear" w:color="auto" w:fill="F6FADF"/>
          </w:tcPr>
          <w:p>
            <w:pPr>
              <w:ind w:left="120"/>
              <w:spacing w:after="0"/>
              <w:rPr>
                <w:sz w:val="20"/>
                <w:szCs w:val="20"/>
                <w:color w:val="auto"/>
              </w:rPr>
            </w:pPr>
            <w:r>
              <w:rPr>
                <w:rFonts w:ascii="Arial" w:cs="Arial" w:eastAsia="Arial" w:hAnsi="Arial"/>
                <w:sz w:val="15"/>
                <w:szCs w:val="15"/>
                <w:color w:val="auto"/>
              </w:rPr>
              <w:t>Officer and Executive Vice Presidents</w:t>
            </w:r>
          </w:p>
        </w:tc>
        <w:tc>
          <w:tcPr>
            <w:tcW w:w="3660" w:type="dxa"/>
            <w:vAlign w:val="bottom"/>
            <w:shd w:val="clear" w:color="auto" w:fill="F8FBE7"/>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F4F9D8"/>
          </w:tcPr>
          <w:p>
            <w:pPr>
              <w:ind w:left="80"/>
              <w:spacing w:after="0" w:line="162" w:lineRule="exact"/>
              <w:rPr>
                <w:sz w:val="20"/>
                <w:szCs w:val="20"/>
                <w:color w:val="auto"/>
              </w:rPr>
            </w:pPr>
            <w:r>
              <w:rPr>
                <w:rFonts w:ascii="Arial" w:cs="Arial" w:eastAsia="Arial" w:hAnsi="Arial"/>
                <w:sz w:val="15"/>
                <w:szCs w:val="15"/>
                <w:color w:val="auto"/>
              </w:rPr>
              <w:t>empowered to propose agenda items</w:t>
            </w:r>
          </w:p>
        </w:tc>
        <w:tc>
          <w:tcPr>
            <w:tcW w:w="3740" w:type="dxa"/>
            <w:vAlign w:val="bottom"/>
            <w:vMerge w:val="continue"/>
            <w:shd w:val="clear" w:color="auto" w:fill="F6FADF"/>
          </w:tcPr>
          <w:p>
            <w:pPr>
              <w:spacing w:after="0"/>
              <w:rPr>
                <w:sz w:val="14"/>
                <w:szCs w:val="14"/>
                <w:color w:val="auto"/>
              </w:rPr>
            </w:pPr>
          </w:p>
        </w:tc>
        <w:tc>
          <w:tcPr>
            <w:tcW w:w="3660" w:type="dxa"/>
            <w:vAlign w:val="bottom"/>
            <w:shd w:val="clear" w:color="auto" w:fill="F8FBE7"/>
          </w:tcPr>
          <w:p>
            <w:pPr>
              <w:ind w:left="120"/>
              <w:spacing w:after="0" w:line="162" w:lineRule="exact"/>
              <w:rPr>
                <w:sz w:val="20"/>
                <w:szCs w:val="20"/>
                <w:color w:val="auto"/>
              </w:rPr>
            </w:pPr>
            <w:r>
              <w:rPr>
                <w:rFonts w:ascii="Arial" w:cs="Arial" w:eastAsia="Arial" w:hAnsi="Arial"/>
                <w:sz w:val="15"/>
                <w:szCs w:val="15"/>
                <w:color w:val="auto"/>
              </w:rPr>
              <w:t>Regular director education and compliance training</w:t>
            </w:r>
          </w:p>
        </w:tc>
        <w:tc>
          <w:tcPr>
            <w:tcW w:w="0" w:type="dxa"/>
            <w:vAlign w:val="bottom"/>
          </w:tcPr>
          <w:p>
            <w:pPr>
              <w:spacing w:after="0"/>
              <w:rPr>
                <w:sz w:val="1"/>
                <w:szCs w:val="1"/>
                <w:color w:val="auto"/>
              </w:rPr>
            </w:pPr>
          </w:p>
        </w:tc>
      </w:tr>
      <w:tr>
        <w:trPr>
          <w:trHeight w:val="162"/>
        </w:trPr>
        <w:tc>
          <w:tcPr>
            <w:tcW w:w="3620" w:type="dxa"/>
            <w:vAlign w:val="bottom"/>
            <w:vMerge w:val="restart"/>
            <w:shd w:val="clear" w:color="auto" w:fill="F4F9D8"/>
          </w:tcPr>
          <w:p>
            <w:pPr>
              <w:ind w:left="80"/>
              <w:spacing w:after="0" w:line="169" w:lineRule="exact"/>
              <w:rPr>
                <w:sz w:val="20"/>
                <w:szCs w:val="20"/>
                <w:color w:val="auto"/>
              </w:rPr>
            </w:pPr>
            <w:r>
              <w:rPr>
                <w:rFonts w:ascii="Arial" w:cs="Arial" w:eastAsia="Arial" w:hAnsi="Arial"/>
                <w:sz w:val="15"/>
                <w:szCs w:val="15"/>
                <w:color w:val="auto"/>
              </w:rPr>
              <w:t>Independent directors meeting in executive</w:t>
            </w:r>
          </w:p>
        </w:tc>
        <w:tc>
          <w:tcPr>
            <w:tcW w:w="3740" w:type="dxa"/>
            <w:vAlign w:val="bottom"/>
            <w:vMerge w:val="restart"/>
            <w:shd w:val="clear" w:color="auto" w:fill="F6FADF"/>
          </w:tcPr>
          <w:p>
            <w:pPr>
              <w:ind w:left="120"/>
              <w:spacing w:after="0" w:line="169" w:lineRule="exact"/>
              <w:rPr>
                <w:sz w:val="20"/>
                <w:szCs w:val="20"/>
                <w:color w:val="auto"/>
              </w:rPr>
            </w:pPr>
            <w:r>
              <w:rPr>
                <w:rFonts w:ascii="Arial" w:cs="Arial" w:eastAsia="Arial" w:hAnsi="Arial"/>
                <w:sz w:val="15"/>
                <w:szCs w:val="15"/>
                <w:color w:val="auto"/>
              </w:rPr>
              <w:t>Anti-hedging and pledging policies</w:t>
            </w:r>
          </w:p>
        </w:tc>
        <w:tc>
          <w:tcPr>
            <w:tcW w:w="3660" w:type="dxa"/>
            <w:vAlign w:val="bottom"/>
            <w:shd w:val="clear" w:color="auto" w:fill="F8FBE7"/>
          </w:tcPr>
          <w:p>
            <w:pPr>
              <w:ind w:left="120"/>
              <w:spacing w:after="0" w:line="162" w:lineRule="exact"/>
              <w:rPr>
                <w:sz w:val="20"/>
                <w:szCs w:val="20"/>
                <w:color w:val="auto"/>
              </w:rPr>
            </w:pPr>
            <w:r>
              <w:rPr>
                <w:rFonts w:ascii="Arial" w:cs="Arial" w:eastAsia="Arial" w:hAnsi="Arial"/>
                <w:sz w:val="15"/>
                <w:szCs w:val="15"/>
                <w:color w:val="auto"/>
              </w:rPr>
              <w:t>including mandatory preventing sexual harassment</w:t>
            </w:r>
          </w:p>
        </w:tc>
        <w:tc>
          <w:tcPr>
            <w:tcW w:w="0" w:type="dxa"/>
            <w:vAlign w:val="bottom"/>
          </w:tcPr>
          <w:p>
            <w:pPr>
              <w:spacing w:after="0"/>
              <w:rPr>
                <w:sz w:val="1"/>
                <w:szCs w:val="1"/>
                <w:color w:val="auto"/>
              </w:rPr>
            </w:pPr>
          </w:p>
        </w:tc>
      </w:tr>
      <w:tr>
        <w:trPr>
          <w:trHeight w:val="7"/>
        </w:trPr>
        <w:tc>
          <w:tcPr>
            <w:tcW w:w="3620" w:type="dxa"/>
            <w:vAlign w:val="bottom"/>
            <w:vMerge w:val="continue"/>
            <w:shd w:val="clear" w:color="auto" w:fill="F4F9D8"/>
          </w:tcPr>
          <w:p>
            <w:pPr>
              <w:spacing w:after="0" w:line="20" w:lineRule="exact"/>
              <w:rPr>
                <w:sz w:val="1"/>
                <w:szCs w:val="1"/>
                <w:color w:val="auto"/>
              </w:rPr>
            </w:pPr>
          </w:p>
        </w:tc>
        <w:tc>
          <w:tcPr>
            <w:tcW w:w="3740" w:type="dxa"/>
            <w:vAlign w:val="bottom"/>
            <w:vMerge w:val="continue"/>
            <w:shd w:val="clear" w:color="auto" w:fill="F6FADF"/>
          </w:tcPr>
          <w:p>
            <w:pPr>
              <w:spacing w:after="0" w:line="20" w:lineRule="exact"/>
              <w:rPr>
                <w:sz w:val="1"/>
                <w:szCs w:val="1"/>
                <w:color w:val="auto"/>
              </w:rPr>
            </w:pPr>
          </w:p>
        </w:tc>
        <w:tc>
          <w:tcPr>
            <w:tcW w:w="3660" w:type="dxa"/>
            <w:vAlign w:val="bottom"/>
            <w:shd w:val="clear" w:color="auto" w:fill="F8FBE7"/>
          </w:tcPr>
          <w:p>
            <w:pPr>
              <w:ind w:left="120"/>
              <w:spacing w:after="0" w:line="8" w:lineRule="exact"/>
              <w:rPr>
                <w:sz w:val="20"/>
                <w:szCs w:val="20"/>
                <w:color w:val="auto"/>
              </w:rPr>
            </w:pPr>
            <w:r>
              <w:rPr>
                <w:rFonts w:ascii="Arial" w:cs="Arial" w:eastAsia="Arial" w:hAnsi="Arial"/>
                <w:sz w:val="1"/>
                <w:szCs w:val="1"/>
                <w:color w:val="auto"/>
              </w:rPr>
              <w:t>and workplace compliance training conducted by</w:t>
            </w:r>
          </w:p>
        </w:tc>
        <w:tc>
          <w:tcPr>
            <w:tcW w:w="0" w:type="dxa"/>
            <w:vAlign w:val="bottom"/>
          </w:tcPr>
          <w:p>
            <w:pPr>
              <w:spacing w:after="0" w:line="20" w:lineRule="exact"/>
              <w:rPr>
                <w:sz w:val="1"/>
                <w:szCs w:val="1"/>
                <w:color w:val="auto"/>
              </w:rPr>
            </w:pPr>
          </w:p>
        </w:tc>
      </w:tr>
      <w:tr>
        <w:trPr>
          <w:trHeight w:val="156"/>
        </w:trPr>
        <w:tc>
          <w:tcPr>
            <w:tcW w:w="3620" w:type="dxa"/>
            <w:vAlign w:val="bottom"/>
            <w:shd w:val="clear" w:color="auto" w:fill="F4F9D8"/>
          </w:tcPr>
          <w:p>
            <w:pPr>
              <w:spacing w:after="0"/>
              <w:rPr>
                <w:sz w:val="13"/>
                <w:szCs w:val="13"/>
                <w:color w:val="auto"/>
              </w:rPr>
            </w:pPr>
          </w:p>
        </w:tc>
        <w:tc>
          <w:tcPr>
            <w:tcW w:w="3740" w:type="dxa"/>
            <w:vAlign w:val="bottom"/>
            <w:shd w:val="clear" w:color="auto" w:fill="F6FADF"/>
          </w:tcPr>
          <w:p>
            <w:pPr>
              <w:ind w:left="2440"/>
              <w:spacing w:after="0"/>
              <w:rPr>
                <w:sz w:val="20"/>
                <w:szCs w:val="20"/>
                <w:color w:val="auto"/>
              </w:rPr>
            </w:pPr>
            <w:r>
              <w:rPr>
                <w:rFonts w:ascii="Arial" w:cs="Arial" w:eastAsia="Arial" w:hAnsi="Arial"/>
                <w:sz w:val="13"/>
                <w:szCs w:val="13"/>
                <w:color w:val="auto"/>
              </w:rPr>
              <w:t>(4)</w:t>
            </w:r>
          </w:p>
        </w:tc>
        <w:tc>
          <w:tcPr>
            <w:tcW w:w="3660" w:type="dxa"/>
            <w:vAlign w:val="bottom"/>
            <w:vMerge w:val="restart"/>
            <w:shd w:val="clear" w:color="auto" w:fill="F8FBE7"/>
          </w:tcPr>
          <w:p>
            <w:pPr>
              <w:ind w:left="120"/>
              <w:spacing w:after="0"/>
              <w:rPr>
                <w:sz w:val="20"/>
                <w:szCs w:val="20"/>
                <w:color w:val="auto"/>
              </w:rPr>
            </w:pPr>
            <w:r>
              <w:rPr>
                <w:rFonts w:ascii="Arial" w:cs="Arial" w:eastAsia="Arial" w:hAnsi="Arial"/>
                <w:sz w:val="15"/>
                <w:szCs w:val="15"/>
                <w:color w:val="auto"/>
              </w:rPr>
              <w:t>Company’s outside counsel</w:t>
            </w:r>
          </w:p>
        </w:tc>
        <w:tc>
          <w:tcPr>
            <w:tcW w:w="0" w:type="dxa"/>
            <w:vAlign w:val="bottom"/>
          </w:tcPr>
          <w:p>
            <w:pPr>
              <w:spacing w:after="0"/>
              <w:rPr>
                <w:sz w:val="1"/>
                <w:szCs w:val="1"/>
                <w:color w:val="auto"/>
              </w:rPr>
            </w:pPr>
          </w:p>
        </w:tc>
      </w:tr>
      <w:tr>
        <w:trPr>
          <w:trHeight w:val="224"/>
        </w:trPr>
        <w:tc>
          <w:tcPr>
            <w:tcW w:w="3620" w:type="dxa"/>
            <w:vAlign w:val="bottom"/>
            <w:shd w:val="clear" w:color="auto" w:fill="F4F9D8"/>
          </w:tcPr>
          <w:p>
            <w:pPr>
              <w:ind w:left="80"/>
              <w:spacing w:after="0"/>
              <w:rPr>
                <w:sz w:val="20"/>
                <w:szCs w:val="20"/>
                <w:color w:val="auto"/>
              </w:rPr>
            </w:pPr>
            <w:r>
              <w:rPr>
                <w:rFonts w:ascii="Arial" w:cs="Arial" w:eastAsia="Arial" w:hAnsi="Arial"/>
                <w:sz w:val="15"/>
                <w:szCs w:val="15"/>
                <w:color w:val="auto"/>
              </w:rPr>
              <w:t>sessions at each regular Board meeting</w:t>
            </w:r>
          </w:p>
        </w:tc>
        <w:tc>
          <w:tcPr>
            <w:tcW w:w="3740" w:type="dxa"/>
            <w:vAlign w:val="bottom"/>
            <w:vMerge w:val="restart"/>
            <w:shd w:val="clear" w:color="auto" w:fill="F6FADF"/>
          </w:tcPr>
          <w:p>
            <w:pPr>
              <w:ind w:left="120"/>
              <w:spacing w:after="0"/>
              <w:rPr>
                <w:sz w:val="20"/>
                <w:szCs w:val="20"/>
                <w:color w:val="auto"/>
              </w:rPr>
            </w:pPr>
            <w:r>
              <w:rPr>
                <w:rFonts w:ascii="Arial" w:cs="Arial" w:eastAsia="Arial" w:hAnsi="Arial"/>
                <w:sz w:val="15"/>
                <w:szCs w:val="15"/>
                <w:color w:val="auto"/>
              </w:rPr>
              <w:t>Mandatory director retirement threshold at age 75</w:t>
            </w:r>
          </w:p>
        </w:tc>
        <w:tc>
          <w:tcPr>
            <w:tcW w:w="3660" w:type="dxa"/>
            <w:vAlign w:val="bottom"/>
            <w:vMerge w:val="continue"/>
            <w:shd w:val="clear" w:color="auto" w:fill="F8FBE7"/>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620" w:type="dxa"/>
            <w:vAlign w:val="bottom"/>
            <w:shd w:val="clear" w:color="auto" w:fill="F4F9D8"/>
          </w:tcPr>
          <w:p>
            <w:pPr>
              <w:spacing w:after="0"/>
              <w:rPr>
                <w:sz w:val="14"/>
                <w:szCs w:val="14"/>
                <w:color w:val="auto"/>
              </w:rPr>
            </w:pPr>
          </w:p>
        </w:tc>
        <w:tc>
          <w:tcPr>
            <w:tcW w:w="3740" w:type="dxa"/>
            <w:vAlign w:val="bottom"/>
            <w:vMerge w:val="continue"/>
            <w:shd w:val="clear" w:color="auto" w:fill="F6FADF"/>
          </w:tcPr>
          <w:p>
            <w:pPr>
              <w:spacing w:after="0"/>
              <w:rPr>
                <w:sz w:val="14"/>
                <w:szCs w:val="14"/>
                <w:color w:val="auto"/>
              </w:rPr>
            </w:pPr>
          </w:p>
        </w:tc>
        <w:tc>
          <w:tcPr>
            <w:tcW w:w="3660" w:type="dxa"/>
            <w:vAlign w:val="bottom"/>
            <w:vMerge w:val="restart"/>
            <w:shd w:val="clear" w:color="auto" w:fill="F8FBE7"/>
          </w:tcPr>
          <w:p>
            <w:pPr>
              <w:ind w:left="120"/>
              <w:spacing w:after="0"/>
              <w:rPr>
                <w:sz w:val="20"/>
                <w:szCs w:val="20"/>
                <w:color w:val="auto"/>
              </w:rPr>
            </w:pPr>
            <w:r>
              <w:rPr>
                <w:rFonts w:ascii="Arial" w:cs="Arial" w:eastAsia="Arial" w:hAnsi="Arial"/>
                <w:sz w:val="15"/>
                <w:szCs w:val="15"/>
                <w:color w:val="auto"/>
              </w:rPr>
              <w:t>Executive sessions of the Audit Committee with:</w:t>
            </w:r>
          </w:p>
        </w:tc>
        <w:tc>
          <w:tcPr>
            <w:tcW w:w="0" w:type="dxa"/>
            <w:vAlign w:val="bottom"/>
          </w:tcPr>
          <w:p>
            <w:pPr>
              <w:spacing w:after="0"/>
              <w:rPr>
                <w:sz w:val="1"/>
                <w:szCs w:val="1"/>
                <w:color w:val="auto"/>
              </w:rPr>
            </w:pPr>
          </w:p>
        </w:tc>
      </w:tr>
      <w:tr>
        <w:trPr>
          <w:trHeight w:val="157"/>
        </w:trPr>
        <w:tc>
          <w:tcPr>
            <w:tcW w:w="3620" w:type="dxa"/>
            <w:vAlign w:val="bottom"/>
            <w:shd w:val="clear" w:color="auto" w:fill="F4F9D8"/>
          </w:tcPr>
          <w:p>
            <w:pPr>
              <w:ind w:left="80"/>
              <w:spacing w:after="0" w:line="156" w:lineRule="exact"/>
              <w:rPr>
                <w:sz w:val="20"/>
                <w:szCs w:val="20"/>
                <w:color w:val="auto"/>
              </w:rPr>
            </w:pPr>
            <w:r>
              <w:rPr>
                <w:rFonts w:ascii="Arial" w:cs="Arial" w:eastAsia="Arial" w:hAnsi="Arial"/>
                <w:sz w:val="15"/>
                <w:szCs w:val="15"/>
                <w:color w:val="auto"/>
              </w:rPr>
              <w:t>Fully Independent Audit, Compensation, and</w:t>
            </w:r>
          </w:p>
        </w:tc>
        <w:tc>
          <w:tcPr>
            <w:tcW w:w="3740" w:type="dxa"/>
            <w:vAlign w:val="bottom"/>
            <w:vMerge w:val="restart"/>
            <w:shd w:val="clear" w:color="auto" w:fill="F6FADF"/>
          </w:tcPr>
          <w:p>
            <w:pPr>
              <w:ind w:left="1020"/>
              <w:spacing w:after="0"/>
              <w:rPr>
                <w:sz w:val="20"/>
                <w:szCs w:val="20"/>
                <w:color w:val="auto"/>
              </w:rPr>
            </w:pPr>
            <w:r>
              <w:rPr>
                <w:rFonts w:ascii="Arial" w:cs="Arial" w:eastAsia="Arial" w:hAnsi="Arial"/>
                <w:sz w:val="13"/>
                <w:szCs w:val="13"/>
                <w:color w:val="auto"/>
              </w:rPr>
              <w:t>(5)</w:t>
            </w:r>
          </w:p>
        </w:tc>
        <w:tc>
          <w:tcPr>
            <w:tcW w:w="3660" w:type="dxa"/>
            <w:vAlign w:val="bottom"/>
            <w:vMerge w:val="continue"/>
            <w:shd w:val="clear" w:color="auto" w:fill="F8FBE7"/>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620" w:type="dxa"/>
            <w:vAlign w:val="bottom"/>
            <w:vMerge w:val="restart"/>
            <w:shd w:val="clear" w:color="auto" w:fill="F4F9D8"/>
          </w:tcPr>
          <w:p>
            <w:pPr>
              <w:ind w:left="80"/>
              <w:spacing w:after="0"/>
              <w:rPr>
                <w:sz w:val="20"/>
                <w:szCs w:val="20"/>
                <w:color w:val="auto"/>
              </w:rPr>
            </w:pPr>
            <w:r>
              <w:rPr>
                <w:rFonts w:ascii="Arial" w:cs="Arial" w:eastAsia="Arial" w:hAnsi="Arial"/>
                <w:sz w:val="15"/>
                <w:szCs w:val="15"/>
                <w:color w:val="auto"/>
              </w:rPr>
              <w:t>Nominating and Corporate Governance Committees</w:t>
            </w:r>
          </w:p>
        </w:tc>
        <w:tc>
          <w:tcPr>
            <w:tcW w:w="3740" w:type="dxa"/>
            <w:vAlign w:val="bottom"/>
            <w:vMerge w:val="continue"/>
            <w:shd w:val="clear" w:color="auto" w:fill="F6FADF"/>
          </w:tcPr>
          <w:p>
            <w:pPr>
              <w:spacing w:after="0"/>
              <w:rPr>
                <w:sz w:val="10"/>
                <w:szCs w:val="10"/>
                <w:color w:val="auto"/>
              </w:rPr>
            </w:pPr>
          </w:p>
        </w:tc>
        <w:tc>
          <w:tcPr>
            <w:tcW w:w="3660" w:type="dxa"/>
            <w:vAlign w:val="bottom"/>
            <w:shd w:val="clear" w:color="auto" w:fill="F8FBE7"/>
          </w:tcPr>
          <w:p>
            <w:pPr>
              <w:ind w:left="120"/>
              <w:spacing w:after="0" w:line="122" w:lineRule="exact"/>
              <w:rPr>
                <w:sz w:val="20"/>
                <w:szCs w:val="20"/>
                <w:color w:val="auto"/>
              </w:rPr>
            </w:pPr>
            <w:r>
              <w:rPr>
                <w:rFonts w:ascii="Arial" w:cs="Arial" w:eastAsia="Arial" w:hAnsi="Arial"/>
                <w:sz w:val="14"/>
                <w:szCs w:val="14"/>
                <w:color w:val="auto"/>
              </w:rPr>
              <w:t>-Independent Auditors</w:t>
            </w:r>
          </w:p>
        </w:tc>
        <w:tc>
          <w:tcPr>
            <w:tcW w:w="0" w:type="dxa"/>
            <w:vAlign w:val="bottom"/>
          </w:tcPr>
          <w:p>
            <w:pPr>
              <w:spacing w:after="0"/>
              <w:rPr>
                <w:sz w:val="1"/>
                <w:szCs w:val="1"/>
                <w:color w:val="auto"/>
              </w:rPr>
            </w:pPr>
          </w:p>
        </w:tc>
      </w:tr>
      <w:tr>
        <w:trPr>
          <w:trHeight w:val="162"/>
        </w:trPr>
        <w:tc>
          <w:tcPr>
            <w:tcW w:w="3620" w:type="dxa"/>
            <w:vAlign w:val="bottom"/>
            <w:vMerge w:val="continue"/>
            <w:shd w:val="clear" w:color="auto" w:fill="F4F9D8"/>
          </w:tcPr>
          <w:p>
            <w:pPr>
              <w:spacing w:after="0"/>
              <w:rPr>
                <w:sz w:val="14"/>
                <w:szCs w:val="14"/>
                <w:color w:val="auto"/>
              </w:rPr>
            </w:pPr>
          </w:p>
        </w:tc>
        <w:tc>
          <w:tcPr>
            <w:tcW w:w="3740" w:type="dxa"/>
            <w:vAlign w:val="bottom"/>
            <w:shd w:val="clear" w:color="auto" w:fill="F6FADF"/>
          </w:tcPr>
          <w:p>
            <w:pPr>
              <w:ind w:left="120"/>
              <w:spacing w:after="0" w:line="162" w:lineRule="exact"/>
              <w:rPr>
                <w:sz w:val="20"/>
                <w:szCs w:val="20"/>
                <w:color w:val="auto"/>
              </w:rPr>
            </w:pPr>
            <w:r>
              <w:rPr>
                <w:rFonts w:ascii="Arial" w:cs="Arial" w:eastAsia="Arial" w:hAnsi="Arial"/>
                <w:sz w:val="15"/>
                <w:szCs w:val="15"/>
                <w:color w:val="auto"/>
              </w:rPr>
              <w:t>10b5-1 Plans</w:t>
            </w:r>
          </w:p>
        </w:tc>
        <w:tc>
          <w:tcPr>
            <w:tcW w:w="3660" w:type="dxa"/>
            <w:vAlign w:val="bottom"/>
            <w:vMerge w:val="restart"/>
            <w:shd w:val="clear" w:color="auto" w:fill="F8FBE7"/>
          </w:tcPr>
          <w:p>
            <w:pPr>
              <w:ind w:left="120"/>
              <w:spacing w:after="0"/>
              <w:rPr>
                <w:sz w:val="20"/>
                <w:szCs w:val="20"/>
                <w:color w:val="auto"/>
              </w:rPr>
            </w:pPr>
            <w:r>
              <w:rPr>
                <w:rFonts w:ascii="Arial" w:cs="Arial" w:eastAsia="Arial" w:hAnsi="Arial"/>
                <w:sz w:val="15"/>
                <w:szCs w:val="15"/>
                <w:color w:val="auto"/>
              </w:rPr>
              <w:t>-General Counsel</w:t>
            </w:r>
          </w:p>
        </w:tc>
        <w:tc>
          <w:tcPr>
            <w:tcW w:w="0" w:type="dxa"/>
            <w:vAlign w:val="bottom"/>
          </w:tcPr>
          <w:p>
            <w:pPr>
              <w:spacing w:after="0"/>
              <w:rPr>
                <w:sz w:val="1"/>
                <w:szCs w:val="1"/>
                <w:color w:val="auto"/>
              </w:rPr>
            </w:pPr>
          </w:p>
        </w:tc>
      </w:tr>
      <w:tr>
        <w:trPr>
          <w:trHeight w:val="24"/>
        </w:trPr>
        <w:tc>
          <w:tcPr>
            <w:tcW w:w="3620" w:type="dxa"/>
            <w:vAlign w:val="bottom"/>
            <w:shd w:val="clear" w:color="auto" w:fill="F4F9D8"/>
          </w:tcPr>
          <w:p>
            <w:pPr>
              <w:spacing w:after="0"/>
              <w:rPr>
                <w:sz w:val="2"/>
                <w:szCs w:val="2"/>
                <w:color w:val="auto"/>
              </w:rPr>
            </w:pPr>
          </w:p>
        </w:tc>
        <w:tc>
          <w:tcPr>
            <w:tcW w:w="3740" w:type="dxa"/>
            <w:vAlign w:val="bottom"/>
            <w:shd w:val="clear" w:color="auto" w:fill="F6FADF"/>
          </w:tcPr>
          <w:p>
            <w:pPr>
              <w:spacing w:after="0"/>
              <w:rPr>
                <w:sz w:val="2"/>
                <w:szCs w:val="2"/>
                <w:color w:val="auto"/>
              </w:rPr>
            </w:pPr>
          </w:p>
        </w:tc>
        <w:tc>
          <w:tcPr>
            <w:tcW w:w="3660" w:type="dxa"/>
            <w:vAlign w:val="bottom"/>
            <w:vMerge w:val="continue"/>
            <w:shd w:val="clear" w:color="auto" w:fill="F8FBE7"/>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620" w:type="dxa"/>
            <w:vAlign w:val="bottom"/>
            <w:shd w:val="clear" w:color="auto" w:fill="F4F9D8"/>
          </w:tcPr>
          <w:p>
            <w:pPr>
              <w:ind w:left="2460"/>
              <w:spacing w:after="0" w:line="139" w:lineRule="exact"/>
              <w:rPr>
                <w:sz w:val="20"/>
                <w:szCs w:val="20"/>
                <w:color w:val="auto"/>
              </w:rPr>
            </w:pPr>
            <w:r>
              <w:rPr>
                <w:rFonts w:ascii="Arial" w:cs="Arial" w:eastAsia="Arial" w:hAnsi="Arial"/>
                <w:sz w:val="13"/>
                <w:szCs w:val="13"/>
                <w:color w:val="auto"/>
              </w:rPr>
              <w:t>(3)</w:t>
            </w:r>
          </w:p>
        </w:tc>
        <w:tc>
          <w:tcPr>
            <w:tcW w:w="3740" w:type="dxa"/>
            <w:vAlign w:val="bottom"/>
            <w:vMerge w:val="restart"/>
            <w:shd w:val="clear" w:color="auto" w:fill="F6FADF"/>
          </w:tcPr>
          <w:p>
            <w:pPr>
              <w:ind w:left="120"/>
              <w:spacing w:after="0"/>
              <w:rPr>
                <w:sz w:val="20"/>
                <w:szCs w:val="20"/>
                <w:color w:val="auto"/>
              </w:rPr>
            </w:pPr>
            <w:r>
              <w:rPr>
                <w:rFonts w:ascii="Arial" w:cs="Arial" w:eastAsia="Arial" w:hAnsi="Arial"/>
                <w:sz w:val="15"/>
                <w:szCs w:val="15"/>
                <w:color w:val="auto"/>
              </w:rPr>
              <w:t>Commitment to Diversity</w:t>
            </w:r>
          </w:p>
        </w:tc>
        <w:tc>
          <w:tcPr>
            <w:tcW w:w="3660" w:type="dxa"/>
            <w:vAlign w:val="bottom"/>
            <w:shd w:val="clear" w:color="auto" w:fill="F8FBE7"/>
          </w:tcPr>
          <w:p>
            <w:pPr>
              <w:ind w:left="120"/>
              <w:spacing w:after="0" w:line="138" w:lineRule="exact"/>
              <w:rPr>
                <w:sz w:val="20"/>
                <w:szCs w:val="20"/>
                <w:color w:val="auto"/>
              </w:rPr>
            </w:pPr>
            <w:r>
              <w:rPr>
                <w:rFonts w:ascii="Arial" w:cs="Arial" w:eastAsia="Arial" w:hAnsi="Arial"/>
                <w:sz w:val="15"/>
                <w:szCs w:val="15"/>
                <w:color w:val="auto"/>
              </w:rPr>
              <w:t>-Chief Audit Executive</w:t>
            </w:r>
          </w:p>
        </w:tc>
        <w:tc>
          <w:tcPr>
            <w:tcW w:w="0" w:type="dxa"/>
            <w:vAlign w:val="bottom"/>
          </w:tcPr>
          <w:p>
            <w:pPr>
              <w:spacing w:after="0"/>
              <w:rPr>
                <w:sz w:val="1"/>
                <w:szCs w:val="1"/>
                <w:color w:val="auto"/>
              </w:rPr>
            </w:pPr>
          </w:p>
        </w:tc>
      </w:tr>
      <w:tr>
        <w:trPr>
          <w:trHeight w:val="105"/>
        </w:trPr>
        <w:tc>
          <w:tcPr>
            <w:tcW w:w="3620" w:type="dxa"/>
            <w:vAlign w:val="bottom"/>
            <w:shd w:val="clear" w:color="auto" w:fill="F4F9D8"/>
          </w:tcPr>
          <w:p>
            <w:pPr>
              <w:ind w:left="80"/>
              <w:spacing w:after="0" w:line="105" w:lineRule="exact"/>
              <w:rPr>
                <w:sz w:val="20"/>
                <w:szCs w:val="20"/>
                <w:color w:val="auto"/>
              </w:rPr>
            </w:pPr>
            <w:r>
              <w:rPr>
                <w:rFonts w:ascii="Arial" w:cs="Arial" w:eastAsia="Arial" w:hAnsi="Arial"/>
                <w:sz w:val="12"/>
                <w:szCs w:val="12"/>
                <w:color w:val="auto"/>
              </w:rPr>
              <w:t>Third party review of compensation</w:t>
            </w:r>
          </w:p>
        </w:tc>
        <w:tc>
          <w:tcPr>
            <w:tcW w:w="3740" w:type="dxa"/>
            <w:vAlign w:val="bottom"/>
            <w:vMerge w:val="continue"/>
            <w:shd w:val="clear" w:color="auto" w:fill="F6FADF"/>
          </w:tcPr>
          <w:p>
            <w:pPr>
              <w:spacing w:after="0"/>
              <w:rPr>
                <w:sz w:val="9"/>
                <w:szCs w:val="9"/>
                <w:color w:val="auto"/>
              </w:rPr>
            </w:pPr>
          </w:p>
        </w:tc>
        <w:tc>
          <w:tcPr>
            <w:tcW w:w="3660" w:type="dxa"/>
            <w:vAlign w:val="bottom"/>
            <w:vMerge w:val="restart"/>
            <w:shd w:val="clear" w:color="auto" w:fill="F8FBE7"/>
          </w:tcPr>
          <w:p>
            <w:pPr>
              <w:ind w:left="120"/>
              <w:spacing w:after="0"/>
              <w:rPr>
                <w:sz w:val="20"/>
                <w:szCs w:val="20"/>
                <w:color w:val="auto"/>
              </w:rPr>
            </w:pPr>
            <w:r>
              <w:rPr>
                <w:rFonts w:ascii="Arial" w:cs="Arial" w:eastAsia="Arial" w:hAnsi="Arial"/>
                <w:sz w:val="15"/>
                <w:szCs w:val="15"/>
                <w:color w:val="auto"/>
              </w:rPr>
              <w:t>-Chief Financial Officer</w:t>
            </w:r>
          </w:p>
        </w:tc>
        <w:tc>
          <w:tcPr>
            <w:tcW w:w="0" w:type="dxa"/>
            <w:vAlign w:val="bottom"/>
          </w:tcPr>
          <w:p>
            <w:pPr>
              <w:spacing w:after="0"/>
              <w:rPr>
                <w:sz w:val="1"/>
                <w:szCs w:val="1"/>
                <w:color w:val="auto"/>
              </w:rPr>
            </w:pPr>
          </w:p>
        </w:tc>
      </w:tr>
      <w:tr>
        <w:trPr>
          <w:trHeight w:val="81"/>
        </w:trPr>
        <w:tc>
          <w:tcPr>
            <w:tcW w:w="3620" w:type="dxa"/>
            <w:vAlign w:val="bottom"/>
            <w:shd w:val="clear" w:color="auto" w:fill="F4F9D8"/>
          </w:tcPr>
          <w:p>
            <w:pPr>
              <w:spacing w:after="0"/>
              <w:rPr>
                <w:sz w:val="7"/>
                <w:szCs w:val="7"/>
                <w:color w:val="auto"/>
              </w:rPr>
            </w:pPr>
          </w:p>
        </w:tc>
        <w:tc>
          <w:tcPr>
            <w:tcW w:w="3740" w:type="dxa"/>
            <w:vAlign w:val="bottom"/>
            <w:vMerge w:val="restart"/>
            <w:shd w:val="clear" w:color="auto" w:fill="F6FADF"/>
          </w:tcPr>
          <w:p>
            <w:pPr>
              <w:ind w:left="120"/>
              <w:spacing w:after="0" w:line="162" w:lineRule="exact"/>
              <w:rPr>
                <w:sz w:val="20"/>
                <w:szCs w:val="20"/>
                <w:color w:val="auto"/>
              </w:rPr>
            </w:pPr>
            <w:r>
              <w:rPr>
                <w:rFonts w:ascii="Arial" w:cs="Arial" w:eastAsia="Arial" w:hAnsi="Arial"/>
                <w:sz w:val="15"/>
                <w:szCs w:val="15"/>
                <w:color w:val="auto"/>
              </w:rPr>
              <w:t>-Adopted NFL-style “Rooney Rule” in 2019</w:t>
            </w:r>
          </w:p>
        </w:tc>
        <w:tc>
          <w:tcPr>
            <w:tcW w:w="3660" w:type="dxa"/>
            <w:vAlign w:val="bottom"/>
            <w:vMerge w:val="continue"/>
            <w:shd w:val="clear" w:color="auto" w:fill="F8FBE7"/>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620" w:type="dxa"/>
            <w:vAlign w:val="bottom"/>
            <w:shd w:val="clear" w:color="auto" w:fill="F4F9D8"/>
          </w:tcPr>
          <w:p>
            <w:pPr>
              <w:spacing w:after="0"/>
              <w:rPr>
                <w:sz w:val="7"/>
                <w:szCs w:val="7"/>
                <w:color w:val="auto"/>
              </w:rPr>
            </w:pPr>
          </w:p>
        </w:tc>
        <w:tc>
          <w:tcPr>
            <w:tcW w:w="3740" w:type="dxa"/>
            <w:vAlign w:val="bottom"/>
            <w:vMerge w:val="continue"/>
            <w:shd w:val="clear" w:color="auto" w:fill="F6FADF"/>
          </w:tcPr>
          <w:p>
            <w:pPr>
              <w:spacing w:after="0"/>
              <w:rPr>
                <w:sz w:val="7"/>
                <w:szCs w:val="7"/>
                <w:color w:val="auto"/>
              </w:rPr>
            </w:pPr>
          </w:p>
        </w:tc>
        <w:tc>
          <w:tcPr>
            <w:tcW w:w="3660" w:type="dxa"/>
            <w:vAlign w:val="bottom"/>
            <w:vMerge w:val="restart"/>
            <w:shd w:val="clear" w:color="auto" w:fill="F8FBE7"/>
          </w:tcPr>
          <w:p>
            <w:pPr>
              <w:ind w:left="120"/>
              <w:spacing w:after="0"/>
              <w:rPr>
                <w:sz w:val="20"/>
                <w:szCs w:val="20"/>
                <w:color w:val="auto"/>
              </w:rPr>
            </w:pPr>
            <w:r>
              <w:rPr>
                <w:rFonts w:ascii="Arial" w:cs="Arial" w:eastAsia="Arial" w:hAnsi="Arial"/>
                <w:sz w:val="15"/>
                <w:szCs w:val="15"/>
                <w:color w:val="auto"/>
              </w:rPr>
              <w:t>-Chief Global Compliance Officer</w:t>
            </w:r>
          </w:p>
        </w:tc>
        <w:tc>
          <w:tcPr>
            <w:tcW w:w="0" w:type="dxa"/>
            <w:vAlign w:val="bottom"/>
          </w:tcPr>
          <w:p>
            <w:pPr>
              <w:spacing w:after="0"/>
              <w:rPr>
                <w:sz w:val="1"/>
                <w:szCs w:val="1"/>
                <w:color w:val="auto"/>
              </w:rPr>
            </w:pPr>
          </w:p>
        </w:tc>
      </w:tr>
      <w:tr>
        <w:trPr>
          <w:trHeight w:val="103"/>
        </w:trPr>
        <w:tc>
          <w:tcPr>
            <w:tcW w:w="3620" w:type="dxa"/>
            <w:vAlign w:val="bottom"/>
            <w:shd w:val="clear" w:color="auto" w:fill="F4F9D8"/>
          </w:tcPr>
          <w:p>
            <w:pPr>
              <w:spacing w:after="0"/>
              <w:rPr>
                <w:sz w:val="8"/>
                <w:szCs w:val="8"/>
                <w:color w:val="auto"/>
              </w:rPr>
            </w:pPr>
          </w:p>
        </w:tc>
        <w:tc>
          <w:tcPr>
            <w:tcW w:w="3740" w:type="dxa"/>
            <w:vAlign w:val="bottom"/>
            <w:vMerge w:val="restart"/>
            <w:shd w:val="clear" w:color="auto" w:fill="F6FADF"/>
          </w:tcPr>
          <w:p>
            <w:pPr>
              <w:ind w:left="120"/>
              <w:spacing w:after="0" w:line="162" w:lineRule="exact"/>
              <w:rPr>
                <w:sz w:val="20"/>
                <w:szCs w:val="20"/>
                <w:color w:val="auto"/>
              </w:rPr>
            </w:pPr>
            <w:r>
              <w:rPr>
                <w:rFonts w:ascii="Arial" w:cs="Arial" w:eastAsia="Arial" w:hAnsi="Arial"/>
                <w:sz w:val="15"/>
                <w:szCs w:val="15"/>
                <w:color w:val="auto"/>
              </w:rPr>
              <w:t>-Support for NASDAQ rule to require director</w:t>
            </w:r>
          </w:p>
        </w:tc>
        <w:tc>
          <w:tcPr>
            <w:tcW w:w="3660" w:type="dxa"/>
            <w:vAlign w:val="bottom"/>
            <w:vMerge w:val="continue"/>
            <w:shd w:val="clear" w:color="auto" w:fill="F8FBE7"/>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3620" w:type="dxa"/>
            <w:vAlign w:val="bottom"/>
            <w:shd w:val="clear" w:color="auto" w:fill="F4F9D8"/>
          </w:tcPr>
          <w:p>
            <w:pPr>
              <w:spacing w:after="0"/>
              <w:rPr>
                <w:sz w:val="5"/>
                <w:szCs w:val="5"/>
                <w:color w:val="auto"/>
              </w:rPr>
            </w:pPr>
          </w:p>
        </w:tc>
        <w:tc>
          <w:tcPr>
            <w:tcW w:w="3740" w:type="dxa"/>
            <w:vAlign w:val="bottom"/>
            <w:vMerge w:val="continue"/>
            <w:shd w:val="clear" w:color="auto" w:fill="F6FADF"/>
          </w:tcPr>
          <w:p>
            <w:pPr>
              <w:spacing w:after="0"/>
              <w:rPr>
                <w:sz w:val="5"/>
                <w:szCs w:val="5"/>
                <w:color w:val="auto"/>
              </w:rPr>
            </w:pPr>
          </w:p>
        </w:tc>
        <w:tc>
          <w:tcPr>
            <w:tcW w:w="3660" w:type="dxa"/>
            <w:vAlign w:val="bottom"/>
            <w:shd w:val="clear" w:color="auto" w:fill="F8FBE7"/>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3620" w:type="dxa"/>
            <w:vAlign w:val="bottom"/>
            <w:shd w:val="clear" w:color="auto" w:fill="F4F9D8"/>
          </w:tcPr>
          <w:p>
            <w:pPr>
              <w:spacing w:after="0"/>
              <w:rPr>
                <w:sz w:val="16"/>
                <w:szCs w:val="16"/>
                <w:color w:val="auto"/>
              </w:rPr>
            </w:pPr>
          </w:p>
        </w:tc>
        <w:tc>
          <w:tcPr>
            <w:tcW w:w="3740" w:type="dxa"/>
            <w:vAlign w:val="bottom"/>
            <w:shd w:val="clear" w:color="auto" w:fill="F6FADF"/>
          </w:tcPr>
          <w:p>
            <w:pPr>
              <w:ind w:left="120"/>
              <w:spacing w:after="0"/>
              <w:rPr>
                <w:sz w:val="20"/>
                <w:szCs w:val="20"/>
                <w:color w:val="auto"/>
              </w:rPr>
            </w:pPr>
            <w:r>
              <w:rPr>
                <w:rFonts w:ascii="Arial" w:cs="Arial" w:eastAsia="Arial" w:hAnsi="Arial"/>
                <w:sz w:val="15"/>
                <w:szCs w:val="15"/>
                <w:color w:val="auto"/>
              </w:rPr>
              <w:t>diversity and disclosure</w:t>
            </w:r>
          </w:p>
        </w:tc>
        <w:tc>
          <w:tcPr>
            <w:tcW w:w="3660" w:type="dxa"/>
            <w:vAlign w:val="bottom"/>
            <w:shd w:val="clear" w:color="auto" w:fill="F8FBE7"/>
          </w:tcPr>
          <w:p>
            <w:pPr>
              <w:spacing w:after="0"/>
              <w:rPr>
                <w:sz w:val="16"/>
                <w:szCs w:val="16"/>
                <w:color w:val="auto"/>
              </w:rPr>
            </w:pPr>
          </w:p>
        </w:tc>
        <w:tc>
          <w:tcPr>
            <w:tcW w:w="0" w:type="dxa"/>
            <w:vAlign w:val="bottom"/>
          </w:tcPr>
          <w:p>
            <w:pPr>
              <w:spacing w:after="0"/>
              <w:rPr>
                <w:sz w:val="1"/>
                <w:szCs w:val="1"/>
                <w:color w:val="auto"/>
              </w:rPr>
            </w:pPr>
          </w:p>
        </w:tc>
      </w:tr>
      <w:tr>
        <w:trPr>
          <w:trHeight w:val="62"/>
        </w:trPr>
        <w:tc>
          <w:tcPr>
            <w:tcW w:w="3620" w:type="dxa"/>
            <w:vAlign w:val="bottom"/>
            <w:shd w:val="clear" w:color="auto" w:fill="F4F9D8"/>
          </w:tcPr>
          <w:p>
            <w:pPr>
              <w:spacing w:after="0"/>
              <w:rPr>
                <w:sz w:val="5"/>
                <w:szCs w:val="5"/>
                <w:color w:val="auto"/>
              </w:rPr>
            </w:pPr>
          </w:p>
        </w:tc>
        <w:tc>
          <w:tcPr>
            <w:tcW w:w="3740" w:type="dxa"/>
            <w:vAlign w:val="bottom"/>
            <w:shd w:val="clear" w:color="auto" w:fill="F6FADF"/>
          </w:tcPr>
          <w:p>
            <w:pPr>
              <w:spacing w:after="0"/>
              <w:rPr>
                <w:sz w:val="5"/>
                <w:szCs w:val="5"/>
                <w:color w:val="auto"/>
              </w:rPr>
            </w:pPr>
          </w:p>
        </w:tc>
        <w:tc>
          <w:tcPr>
            <w:tcW w:w="3660" w:type="dxa"/>
            <w:vAlign w:val="bottom"/>
            <w:shd w:val="clear" w:color="auto" w:fill="F8FBE7"/>
          </w:tcPr>
          <w:p>
            <w:pPr>
              <w:spacing w:after="0"/>
              <w:rPr>
                <w:sz w:val="5"/>
                <w:szCs w:val="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0" w:right="160" w:hanging="4"/>
        <w:spacing w:after="0" w:line="230" w:lineRule="auto"/>
        <w:tabs>
          <w:tab w:leader="none" w:pos="309"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responsibilities for the Board chair are disclosed in our Corporate Governance Guidelines available on our website. This Proxy Statement contains hyperlinks to information on our website. The information on our website is not incorporated by reference into this Proxy Statement.</w:t>
      </w:r>
    </w:p>
    <w:p>
      <w:pPr>
        <w:spacing w:after="0" w:line="91" w:lineRule="exact"/>
        <w:rPr>
          <w:rFonts w:ascii="Arial" w:cs="Arial" w:eastAsia="Arial" w:hAnsi="Arial"/>
          <w:sz w:val="13"/>
          <w:szCs w:val="13"/>
          <w:color w:val="auto"/>
        </w:rPr>
      </w:pPr>
    </w:p>
    <w:p>
      <w:pPr>
        <w:ind w:left="120" w:right="180" w:hanging="4"/>
        <w:spacing w:after="0" w:line="230" w:lineRule="auto"/>
        <w:tabs>
          <w:tab w:leader="none" w:pos="309" w:val="left"/>
        </w:tabs>
        <w:numPr>
          <w:ilvl w:val="0"/>
          <w:numId w:val="21"/>
        </w:numPr>
        <w:rPr>
          <w:rFonts w:ascii="Arial" w:cs="Arial" w:eastAsia="Arial" w:hAnsi="Arial"/>
          <w:sz w:val="13"/>
          <w:szCs w:val="13"/>
          <w:color w:val="auto"/>
        </w:rPr>
      </w:pPr>
      <w:r>
        <w:rPr>
          <w:rFonts w:ascii="Arial" w:cs="Arial" w:eastAsia="Arial" w:hAnsi="Arial"/>
          <w:sz w:val="13"/>
          <w:szCs w:val="13"/>
          <w:color w:val="auto"/>
        </w:rPr>
        <w:t>All of our non-executive Board members qualify as “independent” under NASDAQ listing rules. All members of the Audit and Compensation Committees satisfy the independence requirements under the Securities Exchange Act of 1934, as amended (the “Exchange Act”).</w:t>
      </w:r>
    </w:p>
    <w:p>
      <w:pPr>
        <w:spacing w:after="0" w:line="91" w:lineRule="exact"/>
        <w:rPr>
          <w:rFonts w:ascii="Arial" w:cs="Arial" w:eastAsia="Arial" w:hAnsi="Arial"/>
          <w:sz w:val="13"/>
          <w:szCs w:val="13"/>
          <w:color w:val="auto"/>
        </w:rPr>
      </w:pPr>
    </w:p>
    <w:p>
      <w:pPr>
        <w:ind w:left="120" w:right="240" w:hanging="4"/>
        <w:spacing w:after="0" w:line="259" w:lineRule="auto"/>
        <w:tabs>
          <w:tab w:leader="none" w:pos="309" w:val="left"/>
        </w:tabs>
        <w:numPr>
          <w:ilvl w:val="0"/>
          <w:numId w:val="21"/>
        </w:numPr>
        <w:rPr>
          <w:rFonts w:ascii="Arial" w:cs="Arial" w:eastAsia="Arial" w:hAnsi="Arial"/>
          <w:sz w:val="12"/>
          <w:szCs w:val="12"/>
          <w:color w:val="auto"/>
        </w:rPr>
      </w:pPr>
      <w:r>
        <w:rPr>
          <w:rFonts w:ascii="Arial" w:cs="Arial" w:eastAsia="Arial" w:hAnsi="Arial"/>
          <w:sz w:val="12"/>
          <w:szCs w:val="12"/>
          <w:color w:val="auto"/>
        </w:rPr>
        <w:t>Our CEO’s compensation is established and reviewed by the Compensation Committee, all of whose members are independent. The Compensation Committee engages an independent third party to evaluate the level of the compensation provided to our NEOs. This evaluation was last completed in 2020 by Radford as described in the “Compensation Discussion and Analysis”.</w:t>
      </w:r>
    </w:p>
    <w:p>
      <w:pPr>
        <w:spacing w:after="0" w:line="80" w:lineRule="exact"/>
        <w:rPr>
          <w:rFonts w:ascii="Arial" w:cs="Arial" w:eastAsia="Arial" w:hAnsi="Arial"/>
          <w:sz w:val="12"/>
          <w:szCs w:val="12"/>
          <w:color w:val="auto"/>
        </w:rPr>
      </w:pPr>
    </w:p>
    <w:p>
      <w:pPr>
        <w:ind w:left="120" w:right="120" w:hanging="4"/>
        <w:spacing w:after="0" w:line="225" w:lineRule="auto"/>
        <w:tabs>
          <w:tab w:leader="none" w:pos="309" w:val="left"/>
        </w:tabs>
        <w:numPr>
          <w:ilvl w:val="0"/>
          <w:numId w:val="21"/>
        </w:numPr>
        <w:rPr>
          <w:rFonts w:ascii="Arial" w:cs="Arial" w:eastAsia="Arial" w:hAnsi="Arial"/>
          <w:sz w:val="13"/>
          <w:szCs w:val="13"/>
          <w:color w:val="auto"/>
        </w:rPr>
      </w:pPr>
      <w:r>
        <w:rPr>
          <w:rFonts w:ascii="Arial" w:cs="Arial" w:eastAsia="Arial" w:hAnsi="Arial"/>
          <w:sz w:val="13"/>
          <w:szCs w:val="13"/>
          <w:color w:val="auto"/>
        </w:rPr>
        <w:t>Pursuant to the Company’s Trading Policy, our directors and executive officers are prohibited from engaging in speculative transactions in the Company’s securities, such as trading in puts and calls, or selling securities short, and from all hedging and prospective pledging of Company securities as collateral for any loan, including holding securities in a margin account and obtaining a loan or other margin credit under such account, unless approved in advance by the Board.</w:t>
      </w:r>
    </w:p>
    <w:p>
      <w:pPr>
        <w:spacing w:after="0" w:line="92" w:lineRule="exact"/>
        <w:rPr>
          <w:rFonts w:ascii="Arial" w:cs="Arial" w:eastAsia="Arial" w:hAnsi="Arial"/>
          <w:sz w:val="13"/>
          <w:szCs w:val="13"/>
          <w:color w:val="auto"/>
        </w:rPr>
      </w:pPr>
    </w:p>
    <w:p>
      <w:pPr>
        <w:ind w:left="120" w:right="40" w:hanging="4"/>
        <w:spacing w:after="0" w:line="230" w:lineRule="auto"/>
        <w:tabs>
          <w:tab w:leader="none" w:pos="309" w:val="left"/>
        </w:tabs>
        <w:numPr>
          <w:ilvl w:val="0"/>
          <w:numId w:val="21"/>
        </w:numPr>
        <w:rPr>
          <w:rFonts w:ascii="Arial" w:cs="Arial" w:eastAsia="Arial" w:hAnsi="Arial"/>
          <w:sz w:val="13"/>
          <w:szCs w:val="13"/>
          <w:color w:val="auto"/>
        </w:rPr>
      </w:pPr>
      <w:r>
        <w:rPr>
          <w:rFonts w:ascii="Arial" w:cs="Arial" w:eastAsia="Arial" w:hAnsi="Arial"/>
          <w:sz w:val="13"/>
          <w:szCs w:val="13"/>
          <w:color w:val="auto"/>
        </w:rPr>
        <w:t>Our Trading Policy requires any executive who, at the time of the transaction owns more than $15 million of Company stock, and all directors to enter into a 10b5-1 plan for transactions related to our securities.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Board committees</w:t>
      </w:r>
    </w:p>
    <w:p>
      <w:pPr>
        <w:spacing w:after="0" w:line="21" w:lineRule="exact"/>
        <w:rPr>
          <w:sz w:val="20"/>
          <w:szCs w:val="20"/>
          <w:color w:val="auto"/>
        </w:rPr>
      </w:pPr>
    </w:p>
    <w:p>
      <w:pPr>
        <w:ind w:left="120" w:right="280"/>
        <w:spacing w:after="0" w:line="261" w:lineRule="auto"/>
        <w:rPr>
          <w:sz w:val="20"/>
          <w:szCs w:val="20"/>
          <w:color w:val="auto"/>
        </w:rPr>
      </w:pPr>
      <w:r>
        <w:rPr>
          <w:rFonts w:ascii="Arial" w:cs="Arial" w:eastAsia="Arial" w:hAnsi="Arial"/>
          <w:sz w:val="17"/>
          <w:szCs w:val="17"/>
          <w:color w:val="auto"/>
        </w:rPr>
        <w:t>The Board of Directors has three standing committees, each comprised solely of independent directors: the Audit Committee, the Compensation Committee, and the Nominating and Corporate Governance Committee. The written charters for these committees are available on our website at http://www.wynnresorts.com under the heading “Corporate Governance” on the Company Information page.</w:t>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248"/>
        </w:trPr>
        <w:tc>
          <w:tcPr>
            <w:tcW w:w="4720" w:type="dxa"/>
            <w:vAlign w:val="bottom"/>
            <w:shd w:val="clear" w:color="auto" w:fill="1C8C4F"/>
          </w:tcPr>
          <w:p>
            <w:pPr>
              <w:spacing w:after="0"/>
              <w:rPr>
                <w:sz w:val="21"/>
                <w:szCs w:val="21"/>
                <w:color w:val="auto"/>
              </w:rPr>
            </w:pPr>
          </w:p>
        </w:tc>
        <w:tc>
          <w:tcPr>
            <w:tcW w:w="1380" w:type="dxa"/>
            <w:vAlign w:val="bottom"/>
            <w:shd w:val="clear" w:color="auto" w:fill="1C8C4F"/>
          </w:tcPr>
          <w:p>
            <w:pPr>
              <w:spacing w:after="0"/>
              <w:rPr>
                <w:sz w:val="21"/>
                <w:szCs w:val="21"/>
                <w:color w:val="auto"/>
              </w:rPr>
            </w:pPr>
          </w:p>
        </w:tc>
        <w:tc>
          <w:tcPr>
            <w:tcW w:w="1120" w:type="dxa"/>
            <w:vAlign w:val="bottom"/>
            <w:shd w:val="clear" w:color="auto" w:fill="1C8C4F"/>
          </w:tcPr>
          <w:p>
            <w:pPr>
              <w:spacing w:after="0"/>
              <w:rPr>
                <w:sz w:val="21"/>
                <w:szCs w:val="21"/>
                <w:color w:val="auto"/>
              </w:rPr>
            </w:pPr>
          </w:p>
        </w:tc>
        <w:tc>
          <w:tcPr>
            <w:tcW w:w="1500" w:type="dxa"/>
            <w:vAlign w:val="bottom"/>
            <w:shd w:val="clear" w:color="auto" w:fill="1C8C4F"/>
          </w:tcPr>
          <w:p>
            <w:pPr>
              <w:spacing w:after="0"/>
              <w:rPr>
                <w:sz w:val="21"/>
                <w:szCs w:val="21"/>
                <w:color w:val="auto"/>
              </w:rPr>
            </w:pPr>
          </w:p>
        </w:tc>
        <w:tc>
          <w:tcPr>
            <w:tcW w:w="2300" w:type="dxa"/>
            <w:vAlign w:val="bottom"/>
            <w:shd w:val="clear" w:color="auto" w:fill="1C8C4F"/>
          </w:tcPr>
          <w:p>
            <w:pPr>
              <w:jc w:val="center"/>
              <w:spacing w:after="0"/>
              <w:rPr>
                <w:sz w:val="20"/>
                <w:szCs w:val="20"/>
                <w:color w:val="auto"/>
              </w:rPr>
            </w:pPr>
            <w:r>
              <w:rPr>
                <w:rFonts w:ascii="Arial" w:cs="Arial" w:eastAsia="Arial" w:hAnsi="Arial"/>
                <w:sz w:val="14"/>
                <w:szCs w:val="14"/>
                <w:color w:val="FFFFFF"/>
              </w:rPr>
              <w:t>NOMINATING</w:t>
            </w:r>
          </w:p>
        </w:tc>
      </w:tr>
      <w:tr>
        <w:trPr>
          <w:trHeight w:val="162"/>
        </w:trPr>
        <w:tc>
          <w:tcPr>
            <w:tcW w:w="4720" w:type="dxa"/>
            <w:vAlign w:val="bottom"/>
            <w:shd w:val="clear" w:color="auto" w:fill="1C8C4F"/>
          </w:tcPr>
          <w:p>
            <w:pPr>
              <w:spacing w:after="0"/>
              <w:rPr>
                <w:sz w:val="14"/>
                <w:szCs w:val="14"/>
                <w:color w:val="auto"/>
              </w:rPr>
            </w:pPr>
          </w:p>
        </w:tc>
        <w:tc>
          <w:tcPr>
            <w:tcW w:w="1380" w:type="dxa"/>
            <w:vAlign w:val="bottom"/>
            <w:shd w:val="clear" w:color="auto" w:fill="1C8C4F"/>
          </w:tcPr>
          <w:p>
            <w:pPr>
              <w:jc w:val="center"/>
              <w:ind w:left="48"/>
              <w:spacing w:after="0"/>
              <w:rPr>
                <w:sz w:val="20"/>
                <w:szCs w:val="20"/>
                <w:color w:val="auto"/>
              </w:rPr>
            </w:pPr>
            <w:r>
              <w:rPr>
                <w:rFonts w:ascii="Arial" w:cs="Arial" w:eastAsia="Arial" w:hAnsi="Arial"/>
                <w:sz w:val="14"/>
                <w:szCs w:val="14"/>
                <w:color w:val="FFFFFF"/>
              </w:rPr>
              <w:t>INDEPENDENT</w:t>
            </w:r>
          </w:p>
        </w:tc>
        <w:tc>
          <w:tcPr>
            <w:tcW w:w="1120" w:type="dxa"/>
            <w:vAlign w:val="bottom"/>
            <w:shd w:val="clear" w:color="auto" w:fill="1C8C4F"/>
          </w:tcPr>
          <w:p>
            <w:pPr>
              <w:jc w:val="center"/>
              <w:spacing w:after="0"/>
              <w:rPr>
                <w:sz w:val="20"/>
                <w:szCs w:val="20"/>
                <w:color w:val="auto"/>
              </w:rPr>
            </w:pPr>
            <w:r>
              <w:rPr>
                <w:rFonts w:ascii="Arial" w:cs="Arial" w:eastAsia="Arial" w:hAnsi="Arial"/>
                <w:sz w:val="14"/>
                <w:szCs w:val="14"/>
                <w:color w:val="FFFFFF"/>
              </w:rPr>
              <w:t>AUDIT</w:t>
            </w:r>
          </w:p>
        </w:tc>
        <w:tc>
          <w:tcPr>
            <w:tcW w:w="1500" w:type="dxa"/>
            <w:vAlign w:val="bottom"/>
            <w:shd w:val="clear" w:color="auto" w:fill="1C8C4F"/>
          </w:tcPr>
          <w:p>
            <w:pPr>
              <w:jc w:val="center"/>
              <w:ind w:right="28"/>
              <w:spacing w:after="0"/>
              <w:rPr>
                <w:sz w:val="20"/>
                <w:szCs w:val="20"/>
                <w:color w:val="auto"/>
              </w:rPr>
            </w:pPr>
            <w:r>
              <w:rPr>
                <w:rFonts w:ascii="Arial" w:cs="Arial" w:eastAsia="Arial" w:hAnsi="Arial"/>
                <w:sz w:val="14"/>
                <w:szCs w:val="14"/>
                <w:color w:val="FFFFFF"/>
              </w:rPr>
              <w:t>COMPENSATION</w:t>
            </w:r>
          </w:p>
        </w:tc>
        <w:tc>
          <w:tcPr>
            <w:tcW w:w="2300" w:type="dxa"/>
            <w:vAlign w:val="bottom"/>
            <w:shd w:val="clear" w:color="auto" w:fill="1C8C4F"/>
          </w:tcPr>
          <w:p>
            <w:pPr>
              <w:jc w:val="center"/>
              <w:spacing w:after="0"/>
              <w:rPr>
                <w:sz w:val="20"/>
                <w:szCs w:val="20"/>
                <w:color w:val="auto"/>
              </w:rPr>
            </w:pPr>
            <w:r>
              <w:rPr>
                <w:rFonts w:ascii="Arial" w:cs="Arial" w:eastAsia="Arial" w:hAnsi="Arial"/>
                <w:sz w:val="14"/>
                <w:szCs w:val="14"/>
                <w:color w:val="FFFFFF"/>
              </w:rPr>
              <w:t>AND CORPORATE</w:t>
            </w:r>
          </w:p>
        </w:tc>
      </w:tr>
      <w:tr>
        <w:trPr>
          <w:trHeight w:val="186"/>
        </w:trPr>
        <w:tc>
          <w:tcPr>
            <w:tcW w:w="4720" w:type="dxa"/>
            <w:vAlign w:val="bottom"/>
            <w:shd w:val="clear" w:color="auto" w:fill="1C8C4F"/>
          </w:tcPr>
          <w:p>
            <w:pPr>
              <w:ind w:left="60"/>
              <w:spacing w:after="0"/>
              <w:rPr>
                <w:sz w:val="20"/>
                <w:szCs w:val="20"/>
                <w:color w:val="auto"/>
              </w:rPr>
            </w:pPr>
            <w:r>
              <w:rPr>
                <w:rFonts w:ascii="Arial" w:cs="Arial" w:eastAsia="Arial" w:hAnsi="Arial"/>
                <w:sz w:val="14"/>
                <w:szCs w:val="14"/>
                <w:color w:val="FFFFFF"/>
              </w:rPr>
              <w:t>DIRECTOR</w:t>
            </w:r>
          </w:p>
        </w:tc>
        <w:tc>
          <w:tcPr>
            <w:tcW w:w="1380" w:type="dxa"/>
            <w:vAlign w:val="bottom"/>
            <w:shd w:val="clear" w:color="auto" w:fill="1C8C4F"/>
          </w:tcPr>
          <w:p>
            <w:pPr>
              <w:jc w:val="center"/>
              <w:ind w:left="48"/>
              <w:spacing w:after="0"/>
              <w:rPr>
                <w:sz w:val="20"/>
                <w:szCs w:val="20"/>
                <w:color w:val="auto"/>
              </w:rPr>
            </w:pPr>
            <w:r>
              <w:rPr>
                <w:rFonts w:ascii="Arial" w:cs="Arial" w:eastAsia="Arial" w:hAnsi="Arial"/>
                <w:sz w:val="14"/>
                <w:szCs w:val="14"/>
                <w:color w:val="FFFFFF"/>
              </w:rPr>
              <w:t>DIRECTOR</w:t>
            </w:r>
          </w:p>
        </w:tc>
        <w:tc>
          <w:tcPr>
            <w:tcW w:w="1120" w:type="dxa"/>
            <w:vAlign w:val="bottom"/>
            <w:shd w:val="clear" w:color="auto" w:fill="1C8C4F"/>
          </w:tcPr>
          <w:p>
            <w:pPr>
              <w:jc w:val="center"/>
              <w:spacing w:after="0"/>
              <w:rPr>
                <w:sz w:val="20"/>
                <w:szCs w:val="20"/>
                <w:color w:val="auto"/>
              </w:rPr>
            </w:pPr>
            <w:r>
              <w:rPr>
                <w:rFonts w:ascii="Arial" w:cs="Arial" w:eastAsia="Arial" w:hAnsi="Arial"/>
                <w:sz w:val="14"/>
                <w:szCs w:val="14"/>
                <w:color w:val="FFFFFF"/>
              </w:rPr>
              <w:t>COMMITTEE</w:t>
            </w:r>
          </w:p>
        </w:tc>
        <w:tc>
          <w:tcPr>
            <w:tcW w:w="1500" w:type="dxa"/>
            <w:vAlign w:val="bottom"/>
            <w:shd w:val="clear" w:color="auto" w:fill="1C8C4F"/>
          </w:tcPr>
          <w:p>
            <w:pPr>
              <w:jc w:val="center"/>
              <w:ind w:right="28"/>
              <w:spacing w:after="0"/>
              <w:rPr>
                <w:sz w:val="20"/>
                <w:szCs w:val="20"/>
                <w:color w:val="auto"/>
              </w:rPr>
            </w:pPr>
            <w:r>
              <w:rPr>
                <w:rFonts w:ascii="Arial" w:cs="Arial" w:eastAsia="Arial" w:hAnsi="Arial"/>
                <w:sz w:val="14"/>
                <w:szCs w:val="14"/>
                <w:color w:val="FFFFFF"/>
              </w:rPr>
              <w:t>COMMITTEE</w:t>
            </w:r>
          </w:p>
        </w:tc>
        <w:tc>
          <w:tcPr>
            <w:tcW w:w="2300" w:type="dxa"/>
            <w:vAlign w:val="bottom"/>
            <w:shd w:val="clear" w:color="auto" w:fill="1C8C4F"/>
          </w:tcPr>
          <w:p>
            <w:pPr>
              <w:jc w:val="center"/>
              <w:spacing w:after="0"/>
              <w:rPr>
                <w:sz w:val="20"/>
                <w:szCs w:val="20"/>
                <w:color w:val="auto"/>
              </w:rPr>
            </w:pPr>
            <w:r>
              <w:rPr>
                <w:rFonts w:ascii="Arial" w:cs="Arial" w:eastAsia="Arial" w:hAnsi="Arial"/>
                <w:sz w:val="14"/>
                <w:szCs w:val="14"/>
                <w:color w:val="FFFFFF"/>
              </w:rPr>
              <w:t>GOVERNANCE COMMITTEE</w:t>
            </w:r>
          </w:p>
        </w:tc>
      </w:tr>
      <w:tr>
        <w:trPr>
          <w:trHeight w:val="93"/>
        </w:trPr>
        <w:tc>
          <w:tcPr>
            <w:tcW w:w="4720" w:type="dxa"/>
            <w:vAlign w:val="bottom"/>
            <w:shd w:val="clear" w:color="auto" w:fill="1C8C4F"/>
          </w:tcPr>
          <w:p>
            <w:pPr>
              <w:spacing w:after="0"/>
              <w:rPr>
                <w:sz w:val="8"/>
                <w:szCs w:val="8"/>
                <w:color w:val="auto"/>
              </w:rPr>
            </w:pPr>
          </w:p>
        </w:tc>
        <w:tc>
          <w:tcPr>
            <w:tcW w:w="1380" w:type="dxa"/>
            <w:vAlign w:val="bottom"/>
            <w:shd w:val="clear" w:color="auto" w:fill="1C8C4F"/>
          </w:tcPr>
          <w:p>
            <w:pPr>
              <w:spacing w:after="0"/>
              <w:rPr>
                <w:sz w:val="8"/>
                <w:szCs w:val="8"/>
                <w:color w:val="auto"/>
              </w:rPr>
            </w:pPr>
          </w:p>
        </w:tc>
        <w:tc>
          <w:tcPr>
            <w:tcW w:w="1120" w:type="dxa"/>
            <w:vAlign w:val="bottom"/>
            <w:shd w:val="clear" w:color="auto" w:fill="1C8C4F"/>
          </w:tcPr>
          <w:p>
            <w:pPr>
              <w:spacing w:after="0"/>
              <w:rPr>
                <w:sz w:val="8"/>
                <w:szCs w:val="8"/>
                <w:color w:val="auto"/>
              </w:rPr>
            </w:pPr>
          </w:p>
        </w:tc>
        <w:tc>
          <w:tcPr>
            <w:tcW w:w="1500" w:type="dxa"/>
            <w:vAlign w:val="bottom"/>
            <w:shd w:val="clear" w:color="auto" w:fill="1C8C4F"/>
          </w:tcPr>
          <w:p>
            <w:pPr>
              <w:spacing w:after="0"/>
              <w:rPr>
                <w:sz w:val="8"/>
                <w:szCs w:val="8"/>
                <w:color w:val="auto"/>
              </w:rPr>
            </w:pPr>
          </w:p>
        </w:tc>
        <w:tc>
          <w:tcPr>
            <w:tcW w:w="2300" w:type="dxa"/>
            <w:vAlign w:val="bottom"/>
            <w:shd w:val="clear" w:color="auto" w:fill="1C8C4F"/>
          </w:tcPr>
          <w:p>
            <w:pPr>
              <w:spacing w:after="0"/>
              <w:rPr>
                <w:sz w:val="8"/>
                <w:szCs w:val="8"/>
                <w:color w:val="auto"/>
              </w:rPr>
            </w:pPr>
          </w:p>
        </w:tc>
      </w:tr>
      <w:tr>
        <w:trPr>
          <w:trHeight w:val="216"/>
        </w:trPr>
        <w:tc>
          <w:tcPr>
            <w:tcW w:w="4720" w:type="dxa"/>
            <w:vAlign w:val="bottom"/>
            <w:shd w:val="clear" w:color="auto" w:fill="F4F9D8"/>
          </w:tcPr>
          <w:p>
            <w:pPr>
              <w:ind w:left="60"/>
              <w:spacing w:after="0"/>
              <w:rPr>
                <w:sz w:val="20"/>
                <w:szCs w:val="20"/>
                <w:color w:val="auto"/>
              </w:rPr>
            </w:pPr>
            <w:r>
              <w:rPr>
                <w:rFonts w:ascii="Arial" w:cs="Arial" w:eastAsia="Arial" w:hAnsi="Arial"/>
                <w:sz w:val="14"/>
                <w:szCs w:val="14"/>
                <w:color w:val="auto"/>
              </w:rPr>
              <w:t>Betsy S. Atkins</w:t>
            </w:r>
          </w:p>
        </w:tc>
        <w:tc>
          <w:tcPr>
            <w:tcW w:w="1380" w:type="dxa"/>
            <w:vAlign w:val="bottom"/>
            <w:shd w:val="clear" w:color="auto" w:fill="F4F9D8"/>
          </w:tcPr>
          <w:p>
            <w:pPr>
              <w:jc w:val="center"/>
              <w:ind w:lef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9D8"/>
          </w:tcPr>
          <w:p>
            <w:pPr>
              <w:spacing w:after="0"/>
              <w:rPr>
                <w:sz w:val="18"/>
                <w:szCs w:val="18"/>
                <w:color w:val="auto"/>
              </w:rPr>
            </w:pPr>
          </w:p>
        </w:tc>
        <w:tc>
          <w:tcPr>
            <w:tcW w:w="1500" w:type="dxa"/>
            <w:vAlign w:val="bottom"/>
            <w:shd w:val="clear" w:color="auto" w:fill="F4F9D8"/>
          </w:tcPr>
          <w:p>
            <w:pPr>
              <w:jc w:val="center"/>
              <w:ind w:right="28"/>
              <w:spacing w:after="0"/>
              <w:rPr>
                <w:sz w:val="20"/>
                <w:szCs w:val="20"/>
                <w:color w:val="auto"/>
              </w:rPr>
            </w:pPr>
            <w:r>
              <w:rPr>
                <w:rFonts w:ascii="Arial" w:cs="Arial" w:eastAsia="Arial" w:hAnsi="Arial"/>
                <w:sz w:val="14"/>
                <w:szCs w:val="14"/>
                <w:color w:val="auto"/>
              </w:rPr>
              <w:t>C</w:t>
            </w:r>
          </w:p>
        </w:tc>
        <w:tc>
          <w:tcPr>
            <w:tcW w:w="2300" w:type="dxa"/>
            <w:vAlign w:val="bottom"/>
            <w:shd w:val="clear" w:color="auto" w:fill="F4F9D8"/>
          </w:tcPr>
          <w:p>
            <w:pPr>
              <w:jc w:val="center"/>
              <w:spacing w:after="0"/>
              <w:rPr>
                <w:sz w:val="20"/>
                <w:szCs w:val="20"/>
                <w:color w:val="auto"/>
              </w:rPr>
            </w:pPr>
            <w:r>
              <w:rPr>
                <w:rFonts w:ascii="Arial" w:cs="Arial" w:eastAsia="Arial" w:hAnsi="Arial"/>
                <w:sz w:val="14"/>
                <w:szCs w:val="14"/>
                <w:color w:val="auto"/>
              </w:rPr>
              <w:t>•</w:t>
            </w:r>
          </w:p>
        </w:tc>
      </w:tr>
      <w:tr>
        <w:trPr>
          <w:trHeight w:val="210"/>
        </w:trPr>
        <w:tc>
          <w:tcPr>
            <w:tcW w:w="4720" w:type="dxa"/>
            <w:vAlign w:val="bottom"/>
          </w:tcPr>
          <w:p>
            <w:pPr>
              <w:ind w:left="60"/>
              <w:spacing w:after="0"/>
              <w:rPr>
                <w:sz w:val="20"/>
                <w:szCs w:val="20"/>
                <w:color w:val="auto"/>
              </w:rPr>
            </w:pPr>
            <w:r>
              <w:rPr>
                <w:rFonts w:ascii="Arial" w:cs="Arial" w:eastAsia="Arial" w:hAnsi="Arial"/>
                <w:sz w:val="14"/>
                <w:szCs w:val="14"/>
                <w:color w:val="auto"/>
              </w:rPr>
              <w:t>Richard J. Byrne</w:t>
            </w:r>
          </w:p>
        </w:tc>
        <w:tc>
          <w:tcPr>
            <w:tcW w:w="13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F</w:t>
            </w:r>
          </w:p>
        </w:tc>
        <w:tc>
          <w:tcPr>
            <w:tcW w:w="1500" w:type="dxa"/>
            <w:vAlign w:val="bottom"/>
          </w:tcPr>
          <w:p>
            <w:pPr>
              <w:jc w:val="center"/>
              <w:ind w:right="28"/>
              <w:spacing w:after="0"/>
              <w:rPr>
                <w:sz w:val="20"/>
                <w:szCs w:val="20"/>
                <w:color w:val="auto"/>
              </w:rPr>
            </w:pPr>
            <w:r>
              <w:rPr>
                <w:rFonts w:ascii="Arial" w:cs="Arial" w:eastAsia="Arial" w:hAnsi="Arial"/>
                <w:sz w:val="14"/>
                <w:szCs w:val="14"/>
                <w:color w:val="auto"/>
                <w:w w:val="80"/>
              </w:rPr>
              <w:t>•</w:t>
            </w:r>
          </w:p>
        </w:tc>
        <w:tc>
          <w:tcPr>
            <w:tcW w:w="2300" w:type="dxa"/>
            <w:vAlign w:val="bottom"/>
          </w:tcPr>
          <w:p>
            <w:pPr>
              <w:spacing w:after="0"/>
              <w:rPr>
                <w:sz w:val="18"/>
                <w:szCs w:val="18"/>
                <w:color w:val="auto"/>
              </w:rPr>
            </w:pPr>
          </w:p>
        </w:tc>
      </w:tr>
      <w:tr>
        <w:trPr>
          <w:trHeight w:val="222"/>
        </w:trPr>
        <w:tc>
          <w:tcPr>
            <w:tcW w:w="4720" w:type="dxa"/>
            <w:vAlign w:val="bottom"/>
            <w:shd w:val="clear" w:color="auto" w:fill="F4F9D8"/>
          </w:tcPr>
          <w:p>
            <w:pPr>
              <w:ind w:left="60"/>
              <w:spacing w:after="0"/>
              <w:rPr>
                <w:sz w:val="20"/>
                <w:szCs w:val="20"/>
                <w:color w:val="auto"/>
              </w:rPr>
            </w:pPr>
            <w:r>
              <w:rPr>
                <w:rFonts w:ascii="Arial" w:cs="Arial" w:eastAsia="Arial" w:hAnsi="Arial"/>
                <w:sz w:val="14"/>
                <w:szCs w:val="14"/>
                <w:color w:val="auto"/>
              </w:rPr>
              <w:t>Jay L. Johnson</w:t>
            </w:r>
          </w:p>
        </w:tc>
        <w:tc>
          <w:tcPr>
            <w:tcW w:w="1380" w:type="dxa"/>
            <w:vAlign w:val="bottom"/>
            <w:shd w:val="clear" w:color="auto" w:fill="F4F9D8"/>
          </w:tcPr>
          <w:p>
            <w:pPr>
              <w:jc w:val="center"/>
              <w:ind w:lef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9D8"/>
          </w:tcPr>
          <w:p>
            <w:pPr>
              <w:jc w:val="center"/>
              <w:spacing w:after="0"/>
              <w:rPr>
                <w:sz w:val="20"/>
                <w:szCs w:val="20"/>
                <w:color w:val="auto"/>
              </w:rPr>
            </w:pPr>
            <w:r>
              <w:rPr>
                <w:rFonts w:ascii="Arial" w:cs="Arial" w:eastAsia="Arial" w:hAnsi="Arial"/>
                <w:sz w:val="14"/>
                <w:szCs w:val="14"/>
                <w:color w:val="auto"/>
                <w:w w:val="92"/>
              </w:rPr>
              <w:t>F</w:t>
            </w:r>
          </w:p>
        </w:tc>
        <w:tc>
          <w:tcPr>
            <w:tcW w:w="1500" w:type="dxa"/>
            <w:vAlign w:val="bottom"/>
            <w:shd w:val="clear" w:color="auto" w:fill="F4F9D8"/>
          </w:tcPr>
          <w:p>
            <w:pPr>
              <w:spacing w:after="0"/>
              <w:rPr>
                <w:sz w:val="19"/>
                <w:szCs w:val="19"/>
                <w:color w:val="auto"/>
              </w:rPr>
            </w:pPr>
          </w:p>
        </w:tc>
        <w:tc>
          <w:tcPr>
            <w:tcW w:w="2300" w:type="dxa"/>
            <w:vAlign w:val="bottom"/>
            <w:shd w:val="clear" w:color="auto" w:fill="F4F9D8"/>
          </w:tcPr>
          <w:p>
            <w:pPr>
              <w:jc w:val="center"/>
              <w:spacing w:after="0"/>
              <w:rPr>
                <w:sz w:val="20"/>
                <w:szCs w:val="20"/>
                <w:color w:val="auto"/>
              </w:rPr>
            </w:pPr>
            <w:r>
              <w:rPr>
                <w:rFonts w:ascii="Arial" w:cs="Arial" w:eastAsia="Arial" w:hAnsi="Arial"/>
                <w:sz w:val="14"/>
                <w:szCs w:val="14"/>
                <w:color w:val="auto"/>
                <w:w w:val="98"/>
              </w:rPr>
              <w:t>C</w:t>
            </w:r>
          </w:p>
        </w:tc>
      </w:tr>
      <w:tr>
        <w:trPr>
          <w:trHeight w:val="210"/>
        </w:trPr>
        <w:tc>
          <w:tcPr>
            <w:tcW w:w="4720" w:type="dxa"/>
            <w:vAlign w:val="bottom"/>
          </w:tcPr>
          <w:p>
            <w:pPr>
              <w:ind w:left="60"/>
              <w:spacing w:after="0"/>
              <w:rPr>
                <w:sz w:val="20"/>
                <w:szCs w:val="20"/>
                <w:color w:val="auto"/>
              </w:rPr>
            </w:pPr>
            <w:r>
              <w:rPr>
                <w:rFonts w:ascii="Arial" w:cs="Arial" w:eastAsia="Arial" w:hAnsi="Arial"/>
                <w:sz w:val="14"/>
                <w:szCs w:val="14"/>
                <w:color w:val="auto"/>
              </w:rPr>
              <w:t>Patricia Mulroy</w:t>
            </w:r>
          </w:p>
        </w:tc>
        <w:tc>
          <w:tcPr>
            <w:tcW w:w="13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5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22"/>
        </w:trPr>
        <w:tc>
          <w:tcPr>
            <w:tcW w:w="4720" w:type="dxa"/>
            <w:vAlign w:val="bottom"/>
            <w:shd w:val="clear" w:color="auto" w:fill="F4F9D8"/>
          </w:tcPr>
          <w:p>
            <w:pPr>
              <w:ind w:left="60"/>
              <w:spacing w:after="0"/>
              <w:rPr>
                <w:sz w:val="20"/>
                <w:szCs w:val="20"/>
                <w:color w:val="auto"/>
              </w:rPr>
            </w:pPr>
            <w:r>
              <w:rPr>
                <w:rFonts w:ascii="Arial" w:cs="Arial" w:eastAsia="Arial" w:hAnsi="Arial"/>
                <w:sz w:val="14"/>
                <w:szCs w:val="14"/>
                <w:color w:val="auto"/>
              </w:rPr>
              <w:t>Margaret J. Myers</w:t>
            </w:r>
          </w:p>
        </w:tc>
        <w:tc>
          <w:tcPr>
            <w:tcW w:w="1380" w:type="dxa"/>
            <w:vAlign w:val="bottom"/>
            <w:shd w:val="clear" w:color="auto" w:fill="F4F9D8"/>
          </w:tcPr>
          <w:p>
            <w:pPr>
              <w:jc w:val="center"/>
              <w:ind w:lef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9D8"/>
          </w:tcPr>
          <w:p>
            <w:pPr>
              <w:spacing w:after="0"/>
              <w:rPr>
                <w:sz w:val="19"/>
                <w:szCs w:val="19"/>
                <w:color w:val="auto"/>
              </w:rPr>
            </w:pPr>
          </w:p>
        </w:tc>
        <w:tc>
          <w:tcPr>
            <w:tcW w:w="1500" w:type="dxa"/>
            <w:vAlign w:val="bottom"/>
            <w:shd w:val="clear" w:color="auto" w:fill="F4F9D8"/>
          </w:tcPr>
          <w:p>
            <w:pPr>
              <w:jc w:val="center"/>
              <w:ind w:right="28"/>
              <w:spacing w:after="0"/>
              <w:rPr>
                <w:sz w:val="20"/>
                <w:szCs w:val="20"/>
                <w:color w:val="auto"/>
              </w:rPr>
            </w:pPr>
            <w:r>
              <w:rPr>
                <w:rFonts w:ascii="Arial" w:cs="Arial" w:eastAsia="Arial" w:hAnsi="Arial"/>
                <w:sz w:val="14"/>
                <w:szCs w:val="14"/>
                <w:color w:val="auto"/>
                <w:w w:val="80"/>
              </w:rPr>
              <w:t>•</w:t>
            </w:r>
          </w:p>
        </w:tc>
        <w:tc>
          <w:tcPr>
            <w:tcW w:w="2300" w:type="dxa"/>
            <w:vAlign w:val="bottom"/>
            <w:shd w:val="clear" w:color="auto" w:fill="F4F9D8"/>
          </w:tcPr>
          <w:p>
            <w:pPr>
              <w:jc w:val="center"/>
              <w:spacing w:after="0"/>
              <w:rPr>
                <w:sz w:val="20"/>
                <w:szCs w:val="20"/>
                <w:color w:val="auto"/>
              </w:rPr>
            </w:pPr>
            <w:r>
              <w:rPr>
                <w:rFonts w:ascii="Arial" w:cs="Arial" w:eastAsia="Arial" w:hAnsi="Arial"/>
                <w:sz w:val="14"/>
                <w:szCs w:val="14"/>
                <w:color w:val="auto"/>
              </w:rPr>
              <w:t>•</w:t>
            </w:r>
          </w:p>
        </w:tc>
      </w:tr>
      <w:tr>
        <w:trPr>
          <w:trHeight w:val="210"/>
        </w:trPr>
        <w:tc>
          <w:tcPr>
            <w:tcW w:w="4720" w:type="dxa"/>
            <w:vAlign w:val="bottom"/>
          </w:tcPr>
          <w:p>
            <w:pPr>
              <w:ind w:left="60"/>
              <w:spacing w:after="0"/>
              <w:rPr>
                <w:sz w:val="20"/>
                <w:szCs w:val="20"/>
                <w:color w:val="auto"/>
              </w:rPr>
            </w:pPr>
            <w:r>
              <w:rPr>
                <w:rFonts w:ascii="Arial" w:cs="Arial" w:eastAsia="Arial" w:hAnsi="Arial"/>
                <w:sz w:val="14"/>
                <w:szCs w:val="14"/>
                <w:color w:val="auto"/>
              </w:rPr>
              <w:t>Clark T. Randt, Jr.</w:t>
            </w:r>
          </w:p>
        </w:tc>
        <w:tc>
          <w:tcPr>
            <w:tcW w:w="13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120" w:type="dxa"/>
            <w:vAlign w:val="bottom"/>
          </w:tcPr>
          <w:p>
            <w:pPr>
              <w:spacing w:after="0"/>
              <w:rPr>
                <w:sz w:val="18"/>
                <w:szCs w:val="18"/>
                <w:color w:val="auto"/>
              </w:rPr>
            </w:pPr>
          </w:p>
        </w:tc>
        <w:tc>
          <w:tcPr>
            <w:tcW w:w="1500" w:type="dxa"/>
            <w:vAlign w:val="bottom"/>
          </w:tcPr>
          <w:p>
            <w:pPr>
              <w:jc w:val="center"/>
              <w:ind w:right="28"/>
              <w:spacing w:after="0"/>
              <w:rPr>
                <w:sz w:val="20"/>
                <w:szCs w:val="20"/>
                <w:color w:val="auto"/>
              </w:rPr>
            </w:pPr>
            <w:r>
              <w:rPr>
                <w:rFonts w:ascii="Arial" w:cs="Arial" w:eastAsia="Arial" w:hAnsi="Arial"/>
                <w:sz w:val="14"/>
                <w:szCs w:val="14"/>
                <w:color w:val="auto"/>
                <w:w w:val="80"/>
              </w:rPr>
              <w:t>•</w:t>
            </w:r>
          </w:p>
        </w:tc>
        <w:tc>
          <w:tcPr>
            <w:tcW w:w="2300" w:type="dxa"/>
            <w:vAlign w:val="bottom"/>
          </w:tcPr>
          <w:p>
            <w:pPr>
              <w:spacing w:after="0"/>
              <w:rPr>
                <w:sz w:val="18"/>
                <w:szCs w:val="18"/>
                <w:color w:val="auto"/>
              </w:rPr>
            </w:pPr>
          </w:p>
        </w:tc>
      </w:tr>
      <w:tr>
        <w:trPr>
          <w:trHeight w:val="222"/>
        </w:trPr>
        <w:tc>
          <w:tcPr>
            <w:tcW w:w="4720" w:type="dxa"/>
            <w:vAlign w:val="bottom"/>
            <w:shd w:val="clear" w:color="auto" w:fill="F4F9D8"/>
          </w:tcPr>
          <w:p>
            <w:pPr>
              <w:ind w:left="60"/>
              <w:spacing w:after="0"/>
              <w:rPr>
                <w:sz w:val="20"/>
                <w:szCs w:val="20"/>
                <w:color w:val="auto"/>
              </w:rPr>
            </w:pPr>
            <w:r>
              <w:rPr>
                <w:rFonts w:ascii="Arial" w:cs="Arial" w:eastAsia="Arial" w:hAnsi="Arial"/>
                <w:sz w:val="14"/>
                <w:szCs w:val="14"/>
                <w:color w:val="auto"/>
              </w:rPr>
              <w:t>Philip G. Satre</w:t>
            </w:r>
          </w:p>
        </w:tc>
        <w:tc>
          <w:tcPr>
            <w:tcW w:w="1380" w:type="dxa"/>
            <w:vAlign w:val="bottom"/>
            <w:shd w:val="clear" w:color="auto" w:fill="F4F9D8"/>
          </w:tcPr>
          <w:p>
            <w:pPr>
              <w:jc w:val="center"/>
              <w:ind w:lef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9D8"/>
          </w:tcPr>
          <w:p>
            <w:pPr>
              <w:spacing w:after="0"/>
              <w:rPr>
                <w:sz w:val="19"/>
                <w:szCs w:val="19"/>
                <w:color w:val="auto"/>
              </w:rPr>
            </w:pPr>
          </w:p>
        </w:tc>
        <w:tc>
          <w:tcPr>
            <w:tcW w:w="1500" w:type="dxa"/>
            <w:vAlign w:val="bottom"/>
            <w:shd w:val="clear" w:color="auto" w:fill="F4F9D8"/>
          </w:tcPr>
          <w:p>
            <w:pPr>
              <w:spacing w:after="0"/>
              <w:rPr>
                <w:sz w:val="19"/>
                <w:szCs w:val="19"/>
                <w:color w:val="auto"/>
              </w:rPr>
            </w:pPr>
          </w:p>
        </w:tc>
        <w:tc>
          <w:tcPr>
            <w:tcW w:w="2300" w:type="dxa"/>
            <w:vAlign w:val="bottom"/>
            <w:shd w:val="clear" w:color="auto" w:fill="F4F9D8"/>
          </w:tcPr>
          <w:p>
            <w:pPr>
              <w:jc w:val="center"/>
              <w:spacing w:after="0"/>
              <w:rPr>
                <w:sz w:val="20"/>
                <w:szCs w:val="20"/>
                <w:color w:val="auto"/>
              </w:rPr>
            </w:pPr>
            <w:r>
              <w:rPr>
                <w:rFonts w:ascii="Arial" w:cs="Arial" w:eastAsia="Arial" w:hAnsi="Arial"/>
                <w:sz w:val="14"/>
                <w:szCs w:val="14"/>
                <w:color w:val="auto"/>
              </w:rPr>
              <w:t>•</w:t>
            </w:r>
          </w:p>
        </w:tc>
      </w:tr>
      <w:tr>
        <w:trPr>
          <w:trHeight w:val="210"/>
        </w:trPr>
        <w:tc>
          <w:tcPr>
            <w:tcW w:w="4720" w:type="dxa"/>
            <w:vAlign w:val="bottom"/>
          </w:tcPr>
          <w:p>
            <w:pPr>
              <w:ind w:left="60"/>
              <w:spacing w:after="0"/>
              <w:rPr>
                <w:sz w:val="20"/>
                <w:szCs w:val="20"/>
                <w:color w:val="auto"/>
              </w:rPr>
            </w:pPr>
            <w:r>
              <w:rPr>
                <w:rFonts w:ascii="Arial" w:cs="Arial" w:eastAsia="Arial" w:hAnsi="Arial"/>
                <w:sz w:val="14"/>
                <w:szCs w:val="14"/>
                <w:color w:val="auto"/>
              </w:rPr>
              <w:t>Darnell O. Strom</w:t>
            </w:r>
          </w:p>
        </w:tc>
        <w:tc>
          <w:tcPr>
            <w:tcW w:w="1380" w:type="dxa"/>
            <w:vAlign w:val="bottom"/>
          </w:tcPr>
          <w:p>
            <w:pPr>
              <w:jc w:val="center"/>
              <w:ind w:left="48"/>
              <w:spacing w:after="0"/>
              <w:rPr>
                <w:sz w:val="20"/>
                <w:szCs w:val="20"/>
                <w:color w:val="auto"/>
              </w:rPr>
            </w:pPr>
            <w:r>
              <w:rPr>
                <w:rFonts w:ascii="Arial" w:cs="Arial" w:eastAsia="Arial" w:hAnsi="Arial"/>
                <w:sz w:val="14"/>
                <w:szCs w:val="14"/>
                <w:color w:val="auto"/>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w:t>
            </w:r>
          </w:p>
        </w:tc>
        <w:tc>
          <w:tcPr>
            <w:tcW w:w="15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22"/>
        </w:trPr>
        <w:tc>
          <w:tcPr>
            <w:tcW w:w="4720" w:type="dxa"/>
            <w:vAlign w:val="bottom"/>
            <w:shd w:val="clear" w:color="auto" w:fill="F4F9D8"/>
          </w:tcPr>
          <w:p>
            <w:pPr>
              <w:ind w:left="60"/>
              <w:spacing w:after="0"/>
              <w:rPr>
                <w:sz w:val="20"/>
                <w:szCs w:val="20"/>
                <w:color w:val="auto"/>
              </w:rPr>
            </w:pPr>
            <w:r>
              <w:rPr>
                <w:rFonts w:ascii="Arial" w:cs="Arial" w:eastAsia="Arial" w:hAnsi="Arial"/>
                <w:sz w:val="14"/>
                <w:szCs w:val="14"/>
                <w:color w:val="auto"/>
              </w:rPr>
              <w:t>Winifred M. Webb</w:t>
            </w:r>
          </w:p>
        </w:tc>
        <w:tc>
          <w:tcPr>
            <w:tcW w:w="1380" w:type="dxa"/>
            <w:vAlign w:val="bottom"/>
            <w:shd w:val="clear" w:color="auto" w:fill="F4F9D8"/>
          </w:tcPr>
          <w:p>
            <w:pPr>
              <w:jc w:val="center"/>
              <w:ind w:lef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F4F9D8"/>
          </w:tcPr>
          <w:p>
            <w:pPr>
              <w:jc w:val="center"/>
              <w:spacing w:after="0"/>
              <w:rPr>
                <w:sz w:val="20"/>
                <w:szCs w:val="20"/>
                <w:color w:val="auto"/>
              </w:rPr>
            </w:pPr>
            <w:r>
              <w:rPr>
                <w:rFonts w:ascii="Arial" w:cs="Arial" w:eastAsia="Arial" w:hAnsi="Arial"/>
                <w:sz w:val="14"/>
                <w:szCs w:val="14"/>
                <w:color w:val="auto"/>
              </w:rPr>
              <w:t>C,F</w:t>
            </w:r>
          </w:p>
        </w:tc>
        <w:tc>
          <w:tcPr>
            <w:tcW w:w="1500" w:type="dxa"/>
            <w:vAlign w:val="bottom"/>
            <w:shd w:val="clear" w:color="auto" w:fill="F4F9D8"/>
          </w:tcPr>
          <w:p>
            <w:pPr>
              <w:spacing w:after="0"/>
              <w:rPr>
                <w:sz w:val="19"/>
                <w:szCs w:val="19"/>
                <w:color w:val="auto"/>
              </w:rPr>
            </w:pPr>
          </w:p>
        </w:tc>
        <w:tc>
          <w:tcPr>
            <w:tcW w:w="2300" w:type="dxa"/>
            <w:vAlign w:val="bottom"/>
            <w:shd w:val="clear" w:color="auto" w:fill="F4F9D8"/>
          </w:tcPr>
          <w:p>
            <w:pPr>
              <w:spacing w:after="0"/>
              <w:rPr>
                <w:sz w:val="19"/>
                <w:szCs w:val="19"/>
                <w:color w:val="auto"/>
              </w:rPr>
            </w:pPr>
          </w:p>
        </w:tc>
      </w:tr>
      <w:tr>
        <w:trPr>
          <w:trHeight w:val="204"/>
        </w:trPr>
        <w:tc>
          <w:tcPr>
            <w:tcW w:w="4720" w:type="dxa"/>
            <w:vAlign w:val="bottom"/>
          </w:tcPr>
          <w:p>
            <w:pPr>
              <w:ind w:left="60"/>
              <w:spacing w:after="0"/>
              <w:rPr>
                <w:sz w:val="20"/>
                <w:szCs w:val="20"/>
                <w:color w:val="auto"/>
              </w:rPr>
            </w:pPr>
            <w:r>
              <w:rPr>
                <w:rFonts w:ascii="Arial" w:cs="Arial" w:eastAsia="Arial" w:hAnsi="Arial"/>
                <w:sz w:val="14"/>
                <w:szCs w:val="14"/>
                <w:b w:val="1"/>
                <w:bCs w:val="1"/>
                <w:color w:val="auto"/>
              </w:rPr>
              <w:t>Committee Meetings in 2020</w:t>
            </w:r>
          </w:p>
        </w:tc>
        <w:tc>
          <w:tcPr>
            <w:tcW w:w="13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7</w:t>
            </w:r>
          </w:p>
        </w:tc>
        <w:tc>
          <w:tcPr>
            <w:tcW w:w="1500" w:type="dxa"/>
            <w:vAlign w:val="bottom"/>
          </w:tcPr>
          <w:p>
            <w:pPr>
              <w:jc w:val="center"/>
              <w:ind w:right="28"/>
              <w:spacing w:after="0"/>
              <w:rPr>
                <w:sz w:val="20"/>
                <w:szCs w:val="20"/>
                <w:color w:val="auto"/>
              </w:rPr>
            </w:pPr>
            <w:r>
              <w:rPr>
                <w:rFonts w:ascii="Arial" w:cs="Arial" w:eastAsia="Arial" w:hAnsi="Arial"/>
                <w:sz w:val="14"/>
                <w:szCs w:val="14"/>
                <w:b w:val="1"/>
                <w:bCs w:val="1"/>
                <w:color w:val="auto"/>
              </w:rPr>
              <w:t>9</w:t>
            </w: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-1757680</wp:posOffset>
            </wp:positionV>
            <wp:extent cx="8255" cy="17659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76593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-1757680</wp:posOffset>
            </wp:positionV>
            <wp:extent cx="8890" cy="1765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76593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-1757680</wp:posOffset>
            </wp:positionV>
            <wp:extent cx="8255" cy="1765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76593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-1757680</wp:posOffset>
            </wp:positionV>
            <wp:extent cx="8890" cy="17659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65935"/>
                    </a:xfrm>
                    <a:prstGeom prst="rect">
                      <a:avLst/>
                    </a:prstGeom>
                    <a:noFill/>
                  </pic:spPr>
                </pic:pic>
              </a:graphicData>
            </a:graphic>
          </wp:anchor>
        </w:drawing>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 Chair; F Financial Expert within the meaning of SEC regulations</w:t>
      </w:r>
    </w:p>
    <w:p>
      <w:pPr>
        <w:spacing w:after="0" w:line="51" w:lineRule="exact"/>
        <w:rPr>
          <w:sz w:val="20"/>
          <w:szCs w:val="20"/>
          <w:color w:val="auto"/>
        </w:rPr>
      </w:pPr>
    </w:p>
    <w:p>
      <w:pPr>
        <w:ind w:left="800" w:hanging="684"/>
        <w:spacing w:after="0"/>
        <w:tabs>
          <w:tab w:leader="none" w:pos="800" w:val="left"/>
        </w:tabs>
        <w:numPr>
          <w:ilvl w:val="0"/>
          <w:numId w:val="22"/>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C8C4F"/>
        </w:rPr>
        <w:t>AUDIT COMMITTEE</w:t>
      </w:r>
    </w:p>
    <w:p>
      <w:pPr>
        <w:spacing w:after="0" w:line="1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At each regular meeting, the Audit Committee meets in executive session with the Company’s independent auditors, General Counsel, Chief Audit Executive, President and Chief Financial Officer, and Chief Global Compliance Officer to discuss accounting principles, financial and accounting controls, the scope of the annual audit, internal controls, regulatory compliance, and other matters. As part of its program of regular oversight, the Audit Committee is responsible for overseeing cybersecurity risk and information security. The Audit Committee receives regular reports from the Company’s Chief Information Security Officer on the Company’s cybersecurity risk profile and enterprise cybersecurity program, which are communicated to the full Board. The independent auditors have complete access to the Audit Committee without management present to discuss the results of their audits and their opinions on the adequacy of internal controls, quality of financial reporting, and other accounting and auditing matters.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C8C4F"/>
        </w:rPr>
        <w:t>KEY RESPONSIBILITIES</w:t>
      </w:r>
    </w:p>
    <w:p>
      <w:pPr>
        <w:spacing w:after="0" w:line="229" w:lineRule="exact"/>
        <w:rPr>
          <w:sz w:val="20"/>
          <w:szCs w:val="20"/>
          <w:color w:val="auto"/>
        </w:rPr>
      </w:pPr>
    </w:p>
    <w:p>
      <w:pPr>
        <w:ind w:left="340" w:hanging="224"/>
        <w:spacing w:after="0"/>
        <w:tabs>
          <w:tab w:leader="none" w:pos="340" w:val="left"/>
        </w:tabs>
        <w:numPr>
          <w:ilvl w:val="0"/>
          <w:numId w:val="23"/>
        </w:numPr>
        <w:rPr>
          <w:rFonts w:ascii="Arial" w:cs="Arial" w:eastAsia="Arial" w:hAnsi="Arial"/>
          <w:sz w:val="18"/>
          <w:szCs w:val="18"/>
          <w:color w:val="1C8C4F"/>
        </w:rPr>
      </w:pPr>
      <w:r>
        <w:rPr>
          <w:rFonts w:ascii="Arial" w:cs="Arial" w:eastAsia="Arial" w:hAnsi="Arial"/>
          <w:sz w:val="18"/>
          <w:szCs w:val="18"/>
          <w:color w:val="auto"/>
        </w:rPr>
        <w:t>Appointing, retaining, overseeing, and approving the compensation of the independent auditors</w:t>
      </w:r>
    </w:p>
    <w:p>
      <w:pPr>
        <w:spacing w:after="0" w:line="211" w:lineRule="exact"/>
        <w:rPr>
          <w:rFonts w:ascii="Arial" w:cs="Arial" w:eastAsia="Arial" w:hAnsi="Arial"/>
          <w:sz w:val="18"/>
          <w:szCs w:val="18"/>
          <w:color w:val="1C8C4F"/>
        </w:rPr>
      </w:pPr>
    </w:p>
    <w:p>
      <w:pPr>
        <w:ind w:left="340" w:right="120" w:hanging="224"/>
        <w:spacing w:after="0" w:line="246" w:lineRule="auto"/>
        <w:tabs>
          <w:tab w:leader="none" w:pos="340" w:val="left"/>
        </w:tabs>
        <w:numPr>
          <w:ilvl w:val="0"/>
          <w:numId w:val="23"/>
        </w:numPr>
        <w:rPr>
          <w:rFonts w:ascii="Arial" w:cs="Arial" w:eastAsia="Arial" w:hAnsi="Arial"/>
          <w:sz w:val="18"/>
          <w:szCs w:val="18"/>
          <w:color w:val="1C8C4F"/>
        </w:rPr>
      </w:pPr>
      <w:r>
        <w:rPr>
          <w:rFonts w:ascii="Arial" w:cs="Arial" w:eastAsia="Arial" w:hAnsi="Arial"/>
          <w:sz w:val="18"/>
          <w:szCs w:val="18"/>
          <w:color w:val="auto"/>
        </w:rPr>
        <w:t>Reviewing and discussing with the independent auditors and management the Company’s earnings releases and quarterly and annual reports to be filed with the SEC</w:t>
      </w:r>
    </w:p>
    <w:p>
      <w:pPr>
        <w:spacing w:after="0" w:line="196" w:lineRule="exact"/>
        <w:rPr>
          <w:rFonts w:ascii="Arial" w:cs="Arial" w:eastAsia="Arial" w:hAnsi="Arial"/>
          <w:sz w:val="18"/>
          <w:szCs w:val="18"/>
          <w:color w:val="1C8C4F"/>
        </w:rPr>
      </w:pPr>
    </w:p>
    <w:p>
      <w:pPr>
        <w:ind w:left="340" w:hanging="224"/>
        <w:spacing w:after="0"/>
        <w:tabs>
          <w:tab w:leader="none" w:pos="340" w:val="left"/>
        </w:tabs>
        <w:numPr>
          <w:ilvl w:val="0"/>
          <w:numId w:val="23"/>
        </w:numPr>
        <w:rPr>
          <w:rFonts w:ascii="Arial" w:cs="Arial" w:eastAsia="Arial" w:hAnsi="Arial"/>
          <w:sz w:val="18"/>
          <w:szCs w:val="18"/>
          <w:color w:val="1C8C4F"/>
        </w:rPr>
      </w:pPr>
      <w:r>
        <w:rPr>
          <w:rFonts w:ascii="Arial" w:cs="Arial" w:eastAsia="Arial" w:hAnsi="Arial"/>
          <w:sz w:val="18"/>
          <w:szCs w:val="18"/>
          <w:color w:val="auto"/>
        </w:rPr>
        <w:t>Reviewing the adequacy, effectiveness, scope, and results of the Company’s internal auditing procedures and practices</w:t>
      </w:r>
    </w:p>
    <w:p>
      <w:pPr>
        <w:spacing w:after="0" w:line="211" w:lineRule="exact"/>
        <w:rPr>
          <w:rFonts w:ascii="Arial" w:cs="Arial" w:eastAsia="Arial" w:hAnsi="Arial"/>
          <w:sz w:val="18"/>
          <w:szCs w:val="18"/>
          <w:color w:val="1C8C4F"/>
        </w:rPr>
      </w:pPr>
    </w:p>
    <w:p>
      <w:pPr>
        <w:ind w:left="340" w:hanging="224"/>
        <w:spacing w:after="0"/>
        <w:tabs>
          <w:tab w:leader="none" w:pos="340" w:val="left"/>
        </w:tabs>
        <w:numPr>
          <w:ilvl w:val="0"/>
          <w:numId w:val="23"/>
        </w:numPr>
        <w:rPr>
          <w:rFonts w:ascii="Arial" w:cs="Arial" w:eastAsia="Arial" w:hAnsi="Arial"/>
          <w:sz w:val="18"/>
          <w:szCs w:val="18"/>
          <w:color w:val="1C8C4F"/>
        </w:rPr>
      </w:pPr>
      <w:r>
        <w:rPr>
          <w:rFonts w:ascii="Arial" w:cs="Arial" w:eastAsia="Arial" w:hAnsi="Arial"/>
          <w:sz w:val="18"/>
          <w:szCs w:val="18"/>
          <w:color w:val="auto"/>
        </w:rPr>
        <w:t>Overseeing the Company’s legal and regulatory compliance programs and its policies and procedures for monitoring compliance</w:t>
      </w:r>
    </w:p>
    <w:p>
      <w:pPr>
        <w:spacing w:after="0" w:line="211" w:lineRule="exact"/>
        <w:rPr>
          <w:rFonts w:ascii="Arial" w:cs="Arial" w:eastAsia="Arial" w:hAnsi="Arial"/>
          <w:sz w:val="18"/>
          <w:szCs w:val="18"/>
          <w:color w:val="1C8C4F"/>
        </w:rPr>
      </w:pPr>
    </w:p>
    <w:p>
      <w:pPr>
        <w:ind w:left="340" w:hanging="224"/>
        <w:spacing w:after="0"/>
        <w:tabs>
          <w:tab w:leader="none" w:pos="340" w:val="left"/>
        </w:tabs>
        <w:numPr>
          <w:ilvl w:val="0"/>
          <w:numId w:val="23"/>
        </w:numPr>
        <w:rPr>
          <w:rFonts w:ascii="Arial" w:cs="Arial" w:eastAsia="Arial" w:hAnsi="Arial"/>
          <w:sz w:val="18"/>
          <w:szCs w:val="18"/>
          <w:color w:val="1C8C4F"/>
        </w:rPr>
      </w:pPr>
      <w:r>
        <w:rPr>
          <w:rFonts w:ascii="Arial" w:cs="Arial" w:eastAsia="Arial" w:hAnsi="Arial"/>
          <w:sz w:val="18"/>
          <w:szCs w:val="18"/>
          <w:color w:val="auto"/>
        </w:rPr>
        <w:t>Overseeing cybersecurity risk and information security</w:t>
      </w:r>
    </w:p>
    <w:p>
      <w:pPr>
        <w:spacing w:after="0" w:line="211" w:lineRule="exact"/>
        <w:rPr>
          <w:rFonts w:ascii="Arial" w:cs="Arial" w:eastAsia="Arial" w:hAnsi="Arial"/>
          <w:sz w:val="18"/>
          <w:szCs w:val="18"/>
          <w:color w:val="1C8C4F"/>
        </w:rPr>
      </w:pPr>
    </w:p>
    <w:p>
      <w:pPr>
        <w:ind w:left="340" w:right="100" w:hanging="224"/>
        <w:spacing w:after="0" w:line="246" w:lineRule="auto"/>
        <w:tabs>
          <w:tab w:leader="none" w:pos="340" w:val="left"/>
        </w:tabs>
        <w:numPr>
          <w:ilvl w:val="0"/>
          <w:numId w:val="23"/>
        </w:numPr>
        <w:rPr>
          <w:rFonts w:ascii="Arial" w:cs="Arial" w:eastAsia="Arial" w:hAnsi="Arial"/>
          <w:sz w:val="18"/>
          <w:szCs w:val="18"/>
          <w:color w:val="1C8C4F"/>
        </w:rPr>
      </w:pPr>
      <w:r>
        <w:rPr>
          <w:rFonts w:ascii="Arial" w:cs="Arial" w:eastAsia="Arial" w:hAnsi="Arial"/>
          <w:sz w:val="18"/>
          <w:szCs w:val="18"/>
          <w:color w:val="auto"/>
        </w:rPr>
        <w:t>Meeting periodically with management to review the Company’s major risk exposures and the steps management has taken to monitor and control such exposures</w:t>
      </w:r>
    </w:p>
    <w:p>
      <w:pPr>
        <w:spacing w:after="0" w:line="196" w:lineRule="exact"/>
        <w:rPr>
          <w:rFonts w:ascii="Arial" w:cs="Arial" w:eastAsia="Arial" w:hAnsi="Arial"/>
          <w:sz w:val="18"/>
          <w:szCs w:val="18"/>
          <w:color w:val="1C8C4F"/>
        </w:rPr>
      </w:pPr>
    </w:p>
    <w:p>
      <w:pPr>
        <w:ind w:left="340" w:hanging="224"/>
        <w:spacing w:after="0"/>
        <w:tabs>
          <w:tab w:leader="none" w:pos="340" w:val="left"/>
        </w:tabs>
        <w:numPr>
          <w:ilvl w:val="0"/>
          <w:numId w:val="23"/>
        </w:numPr>
        <w:rPr>
          <w:rFonts w:ascii="Arial" w:cs="Arial" w:eastAsia="Arial" w:hAnsi="Arial"/>
          <w:sz w:val="18"/>
          <w:szCs w:val="18"/>
          <w:color w:val="1C8C4F"/>
        </w:rPr>
      </w:pPr>
      <w:r>
        <w:rPr>
          <w:rFonts w:ascii="Arial" w:cs="Arial" w:eastAsia="Arial" w:hAnsi="Arial"/>
          <w:sz w:val="18"/>
          <w:szCs w:val="18"/>
          <w:color w:val="auto"/>
        </w:rPr>
        <w:t>Reviewing and approving the Company’s decision to enter into certain swaps and other derivative transactions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C8C4F"/>
        </w:rPr>
        <w:t>COMPENSATION COMMITTEE</w:t>
      </w:r>
    </w:p>
    <w:p>
      <w:pPr>
        <w:spacing w:after="0" w:line="13"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8"/>
          <w:szCs w:val="18"/>
          <w:color w:val="auto"/>
        </w:rPr>
        <w:t>The Compensation Committee sets all elements of compensation for our named executive officers (“NEOs”) based upon consideration of our NEO’s contributions to the development and operating performance of the Company, and is primarily responsible for monitoring risks relating to the Company’s compensation policies and practices to determine whether they create risks that are reasonably likely to have a material adverse effect on the Company.</w:t>
      </w:r>
    </w:p>
    <w:p>
      <w:pPr>
        <w:spacing w:after="0" w:line="205"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The Compensation Committee considers the recommendations of the CEO in establishing compensation for all NEOs, other than the CEO. The CEO is not present during the voting or deliberations regarding his compensation. In addition, the CEO performs annual reviews of all of our senior management and makes recommendations to the Compensation Committee concerning their compensation. The Compensation Committee reviews the recommendations and makes final decisions regarding compensation for members of our senior management.</w:t>
      </w:r>
    </w:p>
    <w:p>
      <w:pPr>
        <w:spacing w:after="0" w:line="202"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The Compensation Committee has the authority to retain compensation consulting firms exclusively to assist it in the evaluation of executive officer and employee compensation and benefit programs. In 2020, the Compensation Committee retained Radford, a business unit of AON plc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2020, Radford provided the Compensation Committee with a peer group review and competitive compensation analysis, in connection with the Compensation Committee’s review of compensation levels of our NEOs. The Compensation Committee retains sole responsibility for engaging advisors and meets with advisors, as needed, in the Compensation Committee’s sole discretion. Each of the members of</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11</w:t>
      </w:r>
    </w:p>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93"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the Compensation Committee bring a wealth of experience from their public and private board experience and their respective executive roles, which enables the Committee to effectively oversee the design and practice of linking executive compensation to company performance.</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C8C4F"/>
        </w:rPr>
        <w:t>KEY RESPONSIBILITIES</w:t>
      </w:r>
    </w:p>
    <w:p>
      <w:pPr>
        <w:spacing w:after="0" w:line="229" w:lineRule="exact"/>
        <w:rPr>
          <w:sz w:val="20"/>
          <w:szCs w:val="20"/>
          <w:color w:val="auto"/>
        </w:rPr>
      </w:pPr>
    </w:p>
    <w:p>
      <w:pPr>
        <w:ind w:left="340" w:right="460" w:hanging="224"/>
        <w:spacing w:after="0" w:line="246" w:lineRule="auto"/>
        <w:tabs>
          <w:tab w:leader="none" w:pos="340" w:val="left"/>
        </w:tabs>
        <w:numPr>
          <w:ilvl w:val="0"/>
          <w:numId w:val="24"/>
        </w:numPr>
        <w:rPr>
          <w:rFonts w:ascii="Arial" w:cs="Arial" w:eastAsia="Arial" w:hAnsi="Arial"/>
          <w:sz w:val="18"/>
          <w:szCs w:val="18"/>
          <w:color w:val="1C8C4F"/>
        </w:rPr>
      </w:pPr>
      <w:r>
        <w:rPr>
          <w:rFonts w:ascii="Arial" w:cs="Arial" w:eastAsia="Arial" w:hAnsi="Arial"/>
          <w:sz w:val="18"/>
          <w:szCs w:val="18"/>
          <w:color w:val="auto"/>
        </w:rPr>
        <w:t>Reviewing the goals and objectives of the Company’s executive compensation plans, and, as appropriate, recommending that the Board adopt new plans or amend existing plans</w:t>
      </w:r>
    </w:p>
    <w:p>
      <w:pPr>
        <w:spacing w:after="0" w:line="196" w:lineRule="exact"/>
        <w:rPr>
          <w:rFonts w:ascii="Arial" w:cs="Arial" w:eastAsia="Arial" w:hAnsi="Arial"/>
          <w:sz w:val="18"/>
          <w:szCs w:val="18"/>
          <w:color w:val="1C8C4F"/>
        </w:rPr>
      </w:pPr>
    </w:p>
    <w:p>
      <w:pPr>
        <w:ind w:left="340" w:hanging="224"/>
        <w:spacing w:after="0"/>
        <w:tabs>
          <w:tab w:leader="none" w:pos="340" w:val="left"/>
        </w:tabs>
        <w:numPr>
          <w:ilvl w:val="0"/>
          <w:numId w:val="24"/>
        </w:numPr>
        <w:rPr>
          <w:rFonts w:ascii="Arial" w:cs="Arial" w:eastAsia="Arial" w:hAnsi="Arial"/>
          <w:sz w:val="18"/>
          <w:szCs w:val="18"/>
          <w:color w:val="1C8C4F"/>
        </w:rPr>
      </w:pPr>
      <w:r>
        <w:rPr>
          <w:rFonts w:ascii="Arial" w:cs="Arial" w:eastAsia="Arial" w:hAnsi="Arial"/>
          <w:sz w:val="18"/>
          <w:szCs w:val="18"/>
          <w:color w:val="auto"/>
        </w:rPr>
        <w:t>Assessing the Company’s most recent advisory vote on executive compensation</w:t>
      </w:r>
    </w:p>
    <w:p>
      <w:pPr>
        <w:spacing w:after="0" w:line="211" w:lineRule="exact"/>
        <w:rPr>
          <w:rFonts w:ascii="Arial" w:cs="Arial" w:eastAsia="Arial" w:hAnsi="Arial"/>
          <w:sz w:val="18"/>
          <w:szCs w:val="18"/>
          <w:color w:val="1C8C4F"/>
        </w:rPr>
      </w:pPr>
    </w:p>
    <w:p>
      <w:pPr>
        <w:ind w:left="340" w:right="760" w:hanging="224"/>
        <w:spacing w:after="0" w:line="246" w:lineRule="auto"/>
        <w:tabs>
          <w:tab w:leader="none" w:pos="340" w:val="left"/>
        </w:tabs>
        <w:numPr>
          <w:ilvl w:val="0"/>
          <w:numId w:val="24"/>
        </w:numPr>
        <w:rPr>
          <w:rFonts w:ascii="Arial" w:cs="Arial" w:eastAsia="Arial" w:hAnsi="Arial"/>
          <w:sz w:val="18"/>
          <w:szCs w:val="18"/>
          <w:color w:val="1C8C4F"/>
        </w:rPr>
      </w:pPr>
      <w:r>
        <w:rPr>
          <w:rFonts w:ascii="Arial" w:cs="Arial" w:eastAsia="Arial" w:hAnsi="Arial"/>
          <w:sz w:val="18"/>
          <w:szCs w:val="18"/>
          <w:color w:val="auto"/>
        </w:rPr>
        <w:t>Appointing advisors retained by the Committee and assessing any potential conflicts of interest, overseeing and approving the compensation of any advisors the Committee retains</w:t>
      </w:r>
    </w:p>
    <w:p>
      <w:pPr>
        <w:spacing w:after="0" w:line="196" w:lineRule="exact"/>
        <w:rPr>
          <w:rFonts w:ascii="Arial" w:cs="Arial" w:eastAsia="Arial" w:hAnsi="Arial"/>
          <w:sz w:val="18"/>
          <w:szCs w:val="18"/>
          <w:color w:val="1C8C4F"/>
        </w:rPr>
      </w:pPr>
    </w:p>
    <w:p>
      <w:pPr>
        <w:ind w:left="340" w:hanging="224"/>
        <w:spacing w:after="0" w:line="246" w:lineRule="auto"/>
        <w:tabs>
          <w:tab w:leader="none" w:pos="340" w:val="left"/>
        </w:tabs>
        <w:numPr>
          <w:ilvl w:val="0"/>
          <w:numId w:val="24"/>
        </w:numPr>
        <w:rPr>
          <w:rFonts w:ascii="Arial" w:cs="Arial" w:eastAsia="Arial" w:hAnsi="Arial"/>
          <w:sz w:val="18"/>
          <w:szCs w:val="18"/>
          <w:color w:val="1C8C4F"/>
        </w:rPr>
      </w:pPr>
      <w:r>
        <w:rPr>
          <w:rFonts w:ascii="Arial" w:cs="Arial" w:eastAsia="Arial" w:hAnsi="Arial"/>
          <w:sz w:val="18"/>
          <w:szCs w:val="18"/>
          <w:color w:val="auto"/>
        </w:rPr>
        <w:t>Annually evaluating the performance of the CEO, overseeing the evaluation of performance of the other officers of the Company and its operating subsidiaries, and setting compensation for the CEO, other NEOs, and other members of senior management</w:t>
      </w:r>
    </w:p>
    <w:p>
      <w:pPr>
        <w:spacing w:after="0" w:line="196" w:lineRule="exact"/>
        <w:rPr>
          <w:rFonts w:ascii="Arial" w:cs="Arial" w:eastAsia="Arial" w:hAnsi="Arial"/>
          <w:sz w:val="18"/>
          <w:szCs w:val="18"/>
          <w:color w:val="1C8C4F"/>
        </w:rPr>
      </w:pPr>
    </w:p>
    <w:p>
      <w:pPr>
        <w:ind w:left="340" w:hanging="224"/>
        <w:spacing w:after="0"/>
        <w:tabs>
          <w:tab w:leader="none" w:pos="340" w:val="left"/>
        </w:tabs>
        <w:numPr>
          <w:ilvl w:val="0"/>
          <w:numId w:val="24"/>
        </w:numPr>
        <w:rPr>
          <w:rFonts w:ascii="Arial" w:cs="Arial" w:eastAsia="Arial" w:hAnsi="Arial"/>
          <w:sz w:val="18"/>
          <w:szCs w:val="18"/>
          <w:color w:val="1C8C4F"/>
        </w:rPr>
      </w:pPr>
      <w:r>
        <w:rPr>
          <w:rFonts w:ascii="Arial" w:cs="Arial" w:eastAsia="Arial" w:hAnsi="Arial"/>
          <w:sz w:val="18"/>
          <w:szCs w:val="18"/>
          <w:color w:val="auto"/>
        </w:rPr>
        <w:t>Reviewing and approving equity awards and supervising administrative functions pursuant to the Company’s equity plans</w:t>
      </w:r>
    </w:p>
    <w:p>
      <w:pPr>
        <w:spacing w:after="0" w:line="211" w:lineRule="exact"/>
        <w:rPr>
          <w:rFonts w:ascii="Arial" w:cs="Arial" w:eastAsia="Arial" w:hAnsi="Arial"/>
          <w:sz w:val="18"/>
          <w:szCs w:val="18"/>
          <w:color w:val="1C8C4F"/>
        </w:rPr>
      </w:pPr>
    </w:p>
    <w:p>
      <w:pPr>
        <w:ind w:left="340" w:right="40" w:hanging="224"/>
        <w:spacing w:after="0" w:line="246" w:lineRule="auto"/>
        <w:tabs>
          <w:tab w:leader="none" w:pos="340" w:val="left"/>
        </w:tabs>
        <w:numPr>
          <w:ilvl w:val="0"/>
          <w:numId w:val="24"/>
        </w:numPr>
        <w:rPr>
          <w:rFonts w:ascii="Arial" w:cs="Arial" w:eastAsia="Arial" w:hAnsi="Arial"/>
          <w:sz w:val="18"/>
          <w:szCs w:val="18"/>
          <w:color w:val="1C8C4F"/>
        </w:rPr>
      </w:pPr>
      <w:r>
        <w:rPr>
          <w:rFonts w:ascii="Arial" w:cs="Arial" w:eastAsia="Arial" w:hAnsi="Arial"/>
          <w:sz w:val="18"/>
          <w:szCs w:val="18"/>
          <w:color w:val="auto"/>
        </w:rPr>
        <w:t>Reviewing and approving compensation arrangements for officers and other key employees in accordance with policies adopted by the Committee from time to time</w:t>
      </w:r>
    </w:p>
    <w:p>
      <w:pPr>
        <w:spacing w:after="0" w:line="196" w:lineRule="exact"/>
        <w:rPr>
          <w:rFonts w:ascii="Arial" w:cs="Arial" w:eastAsia="Arial" w:hAnsi="Arial"/>
          <w:sz w:val="18"/>
          <w:szCs w:val="18"/>
          <w:color w:val="1C8C4F"/>
        </w:rPr>
      </w:pPr>
    </w:p>
    <w:p>
      <w:pPr>
        <w:ind w:left="340" w:right="1060" w:hanging="224"/>
        <w:spacing w:after="0" w:line="246" w:lineRule="auto"/>
        <w:tabs>
          <w:tab w:leader="none" w:pos="340" w:val="left"/>
        </w:tabs>
        <w:numPr>
          <w:ilvl w:val="0"/>
          <w:numId w:val="24"/>
        </w:numPr>
        <w:rPr>
          <w:rFonts w:ascii="Arial" w:cs="Arial" w:eastAsia="Arial" w:hAnsi="Arial"/>
          <w:sz w:val="18"/>
          <w:szCs w:val="18"/>
          <w:color w:val="1C8C4F"/>
        </w:rPr>
      </w:pPr>
      <w:r>
        <w:rPr>
          <w:rFonts w:ascii="Arial" w:cs="Arial" w:eastAsia="Arial" w:hAnsi="Arial"/>
          <w:sz w:val="18"/>
          <w:szCs w:val="18"/>
          <w:color w:val="auto"/>
        </w:rPr>
        <w:t>Reviewing and recommending to the full Board the type and amount of compensation for Board and Committee service by non-management members of the Board</w:t>
      </w:r>
    </w:p>
    <w:p>
      <w:pPr>
        <w:spacing w:after="0" w:line="196" w:lineRule="exact"/>
        <w:rPr>
          <w:rFonts w:ascii="Arial" w:cs="Arial" w:eastAsia="Arial" w:hAnsi="Arial"/>
          <w:sz w:val="18"/>
          <w:szCs w:val="18"/>
          <w:color w:val="1C8C4F"/>
        </w:rPr>
      </w:pPr>
    </w:p>
    <w:p>
      <w:pPr>
        <w:ind w:left="340" w:right="380" w:hanging="224"/>
        <w:spacing w:after="0" w:line="246" w:lineRule="auto"/>
        <w:tabs>
          <w:tab w:leader="none" w:pos="340" w:val="left"/>
        </w:tabs>
        <w:numPr>
          <w:ilvl w:val="0"/>
          <w:numId w:val="24"/>
        </w:numPr>
        <w:rPr>
          <w:rFonts w:ascii="Arial" w:cs="Arial" w:eastAsia="Arial" w:hAnsi="Arial"/>
          <w:sz w:val="18"/>
          <w:szCs w:val="18"/>
          <w:color w:val="1C8C4F"/>
        </w:rPr>
      </w:pPr>
      <w:r>
        <w:rPr>
          <w:rFonts w:ascii="Arial" w:cs="Arial" w:eastAsia="Arial" w:hAnsi="Arial"/>
          <w:sz w:val="18"/>
          <w:szCs w:val="18"/>
          <w:color w:val="auto"/>
        </w:rPr>
        <w:t>Reviewing and discussing with management the Compensation Discussion and Analysis and related disclosures in the Company’s Proxy Statement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C8C4F"/>
        </w:rPr>
        <w:t>COMPENSATION COMMITTEE INTERLOCKS AND INSIDER PARTICIPATION</w:t>
      </w:r>
    </w:p>
    <w:p>
      <w:pPr>
        <w:spacing w:after="0" w:line="1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members of the Compensation Committee are appointed by the Board each year. The members of the Compensation Committee that served in 2020 were Ms. Atkins, Mr. Byrne, Ms. Myers and Amb. Randt. No member of the Compensation Committee is, or was formerly, one of our officers or employees. No interlocking relationship exists between the Board or Compensation Committee and the board of directors or compensation committee of any other company, nor has any interlocking relationship existed in the past.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Nominating and corporate governance committee</w:t>
      </w:r>
    </w:p>
    <w:p>
      <w:pPr>
        <w:spacing w:after="0" w:line="21"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The Nominating and Corporate Governance Committee seeks to have the Board represent a diversity of backgrounds and experience and assesses potential nominees in light of the Board’s current size and composition.</w:t>
      </w:r>
    </w:p>
    <w:p>
      <w:pPr>
        <w:spacing w:after="0" w:line="17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The Nominating and Corporate Governance Committee believes that the minimum qualifications for serving as a director of the Company are that a nominee demonstrate, by significant accomplishment in his or her field, an ability to make a meaningful contribution to the Board’s oversight of the business and affairs of the Company and robust engagement in the strategic planning process, and have a reputation for honest and ethical conduct in both his or her professional and personal activities. The Nominating and Corporate Governance Committee may, from time to time, develop and recommend additional criteria for identifying and evaluating director candidates. In addition, the Nominating and Corporate Governance Committee examines a candidate’s other commitments, potential conflicts of interest, and independence from management and the Company. The Nominating and Corporate Governance Committee and Board believe that differences of viewpoint, professional experience, individual characteristics, personal background, qualities, skills, qualifications, gender, ethnicity, and race help generate varying perspectives and that those varying perspectives are important to the effectiveness of the Board’s oversight of the Company. The Nominating and Corporate Governance Committee proactively considers</w:t>
      </w:r>
    </w:p>
    <w:p>
      <w:pPr>
        <w:spacing w:after="0" w:line="50" w:lineRule="exact"/>
        <w:rPr>
          <w:sz w:val="20"/>
          <w:szCs w:val="20"/>
          <w:color w:val="auto"/>
        </w:rPr>
      </w:pPr>
    </w:p>
    <w:p>
      <w:pPr>
        <w:ind w:left="800" w:hanging="684"/>
        <w:spacing w:after="0"/>
        <w:tabs>
          <w:tab w:leader="none" w:pos="800" w:val="left"/>
        </w:tabs>
        <w:numPr>
          <w:ilvl w:val="0"/>
          <w:numId w:val="25"/>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00"/>
          </w:cols>
          <w:pgMar w:left="32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diversity by annually reviewing with the Board the Board’s composition as a whole and recommending, if appropriate, measures to be taken so that the Board reflects the appropriate balance of knowledge, depth, diversity of backgrounds and experience, and the skills and expertise required for the Board as a whole. The Nominating and Corporate Governance Committee assesses the effectiveness of this policy by periodically reviewing the Board membership criteria with the Board. This assessment enables the Board to update the skills and experience it seeks in the Board as a whole and in individual directors, as the Company’s needs evolve and change over time.</w:t>
      </w:r>
    </w:p>
    <w:p>
      <w:pPr>
        <w:spacing w:after="0" w:line="175" w:lineRule="exact"/>
        <w:rPr>
          <w:sz w:val="20"/>
          <w:szCs w:val="20"/>
          <w:color w:val="auto"/>
        </w:rPr>
      </w:pPr>
    </w:p>
    <w:p>
      <w:pPr>
        <w:jc w:val="both"/>
        <w:ind w:left="120" w:right="180"/>
        <w:spacing w:after="0" w:line="248" w:lineRule="auto"/>
        <w:rPr>
          <w:sz w:val="20"/>
          <w:szCs w:val="20"/>
          <w:color w:val="auto"/>
        </w:rPr>
      </w:pPr>
      <w:r>
        <w:rPr>
          <w:rFonts w:ascii="Arial" w:cs="Arial" w:eastAsia="Arial" w:hAnsi="Arial"/>
          <w:sz w:val="17"/>
          <w:szCs w:val="17"/>
          <w:color w:val="auto"/>
        </w:rPr>
        <w:t>In 2019, the Nominating and Corporate Governance Committee amended the Company’s Corporate Governance Guidelines to establish an NFL- style Rooney Rule policy to consider candidates with diverse backgrounds when evaluating new candidates for the Board. This change was implemented to ensure that any initial slate of candidates includes those with a diversity of race, gender and ethnicity.</w:t>
      </w:r>
    </w:p>
    <w:p>
      <w:pPr>
        <w:spacing w:after="0" w:line="2" w:lineRule="exact"/>
        <w:rPr>
          <w:sz w:val="20"/>
          <w:szCs w:val="20"/>
          <w:color w:val="auto"/>
        </w:rPr>
      </w:pPr>
    </w:p>
    <w:p>
      <w:pPr>
        <w:ind w:left="120" w:right="500"/>
        <w:spacing w:after="0" w:line="246" w:lineRule="auto"/>
        <w:rPr>
          <w:sz w:val="20"/>
          <w:szCs w:val="20"/>
          <w:color w:val="auto"/>
        </w:rPr>
      </w:pPr>
      <w:r>
        <w:rPr>
          <w:rFonts w:ascii="Arial" w:cs="Arial" w:eastAsia="Arial" w:hAnsi="Arial"/>
          <w:sz w:val="18"/>
          <w:szCs w:val="18"/>
          <w:color w:val="auto"/>
        </w:rPr>
        <w:t>Additionally, the Nominating and Corporate Governance Committee had established a goal of 50% diversity among Board members, which we have achieved this year.</w:t>
      </w:r>
    </w:p>
    <w:p>
      <w:pPr>
        <w:spacing w:after="0" w:line="156" w:lineRule="exact"/>
        <w:rPr>
          <w:sz w:val="20"/>
          <w:szCs w:val="20"/>
          <w:color w:val="auto"/>
        </w:rPr>
      </w:pPr>
    </w:p>
    <w:p>
      <w:pPr>
        <w:ind w:left="120" w:right="460"/>
        <w:spacing w:after="0" w:line="238" w:lineRule="auto"/>
        <w:rPr>
          <w:sz w:val="20"/>
          <w:szCs w:val="20"/>
          <w:color w:val="auto"/>
        </w:rPr>
      </w:pPr>
      <w:r>
        <w:rPr>
          <w:rFonts w:ascii="Arial" w:cs="Arial" w:eastAsia="Arial" w:hAnsi="Arial"/>
          <w:sz w:val="18"/>
          <w:szCs w:val="18"/>
          <w:color w:val="auto"/>
        </w:rPr>
        <w:t>In 2019, the Nominating and Corporate Governance Committee revised the annual Board self-evaluation process. Beginning with the 2019 self-evaluation, the Board conducts a three-part evaluation process coordinated by the General Counsel. Each Board member participated in an evaluation of the full Board, each of the Committees on which he or she serves, and individual Board member performance. A summary report of the results was prepared by the General Counsel and presented to the full Board and to each Committee. The Board uses the results in preparing action items as necessary.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C8C4F"/>
        </w:rPr>
        <w:t>KEY RESPONSIBILITIES</w:t>
      </w:r>
    </w:p>
    <w:p>
      <w:pPr>
        <w:spacing w:after="0" w:line="229" w:lineRule="exact"/>
        <w:rPr>
          <w:sz w:val="20"/>
          <w:szCs w:val="20"/>
          <w:color w:val="auto"/>
        </w:rPr>
      </w:pPr>
    </w:p>
    <w:p>
      <w:pPr>
        <w:ind w:left="340" w:right="720" w:hanging="224"/>
        <w:spacing w:after="0" w:line="246" w:lineRule="auto"/>
        <w:tabs>
          <w:tab w:leader="none" w:pos="340" w:val="left"/>
        </w:tabs>
        <w:numPr>
          <w:ilvl w:val="0"/>
          <w:numId w:val="26"/>
        </w:numPr>
        <w:rPr>
          <w:rFonts w:ascii="Arial" w:cs="Arial" w:eastAsia="Arial" w:hAnsi="Arial"/>
          <w:sz w:val="18"/>
          <w:szCs w:val="18"/>
          <w:color w:val="1C8C4F"/>
        </w:rPr>
      </w:pPr>
      <w:r>
        <w:rPr>
          <w:rFonts w:ascii="Arial" w:cs="Arial" w:eastAsia="Arial" w:hAnsi="Arial"/>
          <w:sz w:val="18"/>
          <w:szCs w:val="18"/>
          <w:color w:val="auto"/>
        </w:rPr>
        <w:t>Identifying, evaluating and recommending qualified director candidates, including candidates recommended by shareholders or management</w:t>
      </w:r>
    </w:p>
    <w:p>
      <w:pPr>
        <w:spacing w:after="0" w:line="196" w:lineRule="exact"/>
        <w:rPr>
          <w:rFonts w:ascii="Arial" w:cs="Arial" w:eastAsia="Arial" w:hAnsi="Arial"/>
          <w:sz w:val="18"/>
          <w:szCs w:val="18"/>
          <w:color w:val="1C8C4F"/>
        </w:rPr>
      </w:pPr>
    </w:p>
    <w:p>
      <w:pPr>
        <w:ind w:left="340" w:hanging="224"/>
        <w:spacing w:after="0" w:line="238" w:lineRule="auto"/>
        <w:tabs>
          <w:tab w:leader="none" w:pos="340" w:val="left"/>
        </w:tabs>
        <w:numPr>
          <w:ilvl w:val="0"/>
          <w:numId w:val="26"/>
        </w:numPr>
        <w:rPr>
          <w:rFonts w:ascii="Arial" w:cs="Arial" w:eastAsia="Arial" w:hAnsi="Arial"/>
          <w:sz w:val="18"/>
          <w:szCs w:val="18"/>
          <w:color w:val="1C8C4F"/>
        </w:rPr>
      </w:pPr>
      <w:r>
        <w:rPr>
          <w:rFonts w:ascii="Arial" w:cs="Arial" w:eastAsia="Arial" w:hAnsi="Arial"/>
          <w:sz w:val="18"/>
          <w:szCs w:val="18"/>
          <w:color w:val="auto"/>
        </w:rPr>
        <w:t>Assessing the qualifications, attributes, skills, experience, diversity and independence of Board members, taking into account appropriate considerations such as the Company’s current and planned business, current and potential composition considerations, any planned director successions, and the qualifications required of directors under the gaming laws of jurisdictions where the Company operates</w:t>
      </w:r>
    </w:p>
    <w:p>
      <w:pPr>
        <w:spacing w:after="0" w:line="204" w:lineRule="exact"/>
        <w:rPr>
          <w:rFonts w:ascii="Arial" w:cs="Arial" w:eastAsia="Arial" w:hAnsi="Arial"/>
          <w:sz w:val="18"/>
          <w:szCs w:val="18"/>
          <w:color w:val="1C8C4F"/>
        </w:rPr>
      </w:pPr>
    </w:p>
    <w:p>
      <w:pPr>
        <w:ind w:left="340" w:right="620" w:hanging="224"/>
        <w:spacing w:after="0" w:line="246" w:lineRule="auto"/>
        <w:tabs>
          <w:tab w:leader="none" w:pos="340" w:val="left"/>
        </w:tabs>
        <w:numPr>
          <w:ilvl w:val="0"/>
          <w:numId w:val="26"/>
        </w:numPr>
        <w:rPr>
          <w:rFonts w:ascii="Arial" w:cs="Arial" w:eastAsia="Arial" w:hAnsi="Arial"/>
          <w:sz w:val="18"/>
          <w:szCs w:val="18"/>
          <w:color w:val="1C8C4F"/>
        </w:rPr>
      </w:pPr>
      <w:r>
        <w:rPr>
          <w:rFonts w:ascii="Arial" w:cs="Arial" w:eastAsia="Arial" w:hAnsi="Arial"/>
          <w:sz w:val="18"/>
          <w:szCs w:val="18"/>
          <w:color w:val="auto"/>
        </w:rPr>
        <w:t>Reviewing the composition of the Board and its committees and recommending, as appropriate, measures to be taken for Board refreshment and Board succession planning</w:t>
      </w:r>
    </w:p>
    <w:p>
      <w:pPr>
        <w:spacing w:after="0" w:line="196" w:lineRule="exact"/>
        <w:rPr>
          <w:rFonts w:ascii="Arial" w:cs="Arial" w:eastAsia="Arial" w:hAnsi="Arial"/>
          <w:sz w:val="18"/>
          <w:szCs w:val="18"/>
          <w:color w:val="1C8C4F"/>
        </w:rPr>
      </w:pPr>
    </w:p>
    <w:p>
      <w:pPr>
        <w:ind w:left="340" w:hanging="224"/>
        <w:spacing w:after="0"/>
        <w:tabs>
          <w:tab w:leader="none" w:pos="340" w:val="left"/>
        </w:tabs>
        <w:numPr>
          <w:ilvl w:val="0"/>
          <w:numId w:val="26"/>
        </w:numPr>
        <w:rPr>
          <w:rFonts w:ascii="Arial" w:cs="Arial" w:eastAsia="Arial" w:hAnsi="Arial"/>
          <w:sz w:val="18"/>
          <w:szCs w:val="18"/>
          <w:color w:val="1C8C4F"/>
        </w:rPr>
      </w:pPr>
      <w:r>
        <w:rPr>
          <w:rFonts w:ascii="Arial" w:cs="Arial" w:eastAsia="Arial" w:hAnsi="Arial"/>
          <w:sz w:val="18"/>
          <w:szCs w:val="18"/>
          <w:color w:val="auto"/>
        </w:rPr>
        <w:t>Reviewing and making recommendations regarding the Board’s leadership structure</w:t>
      </w:r>
    </w:p>
    <w:p>
      <w:pPr>
        <w:spacing w:after="0" w:line="211" w:lineRule="exact"/>
        <w:rPr>
          <w:rFonts w:ascii="Arial" w:cs="Arial" w:eastAsia="Arial" w:hAnsi="Arial"/>
          <w:sz w:val="18"/>
          <w:szCs w:val="18"/>
          <w:color w:val="1C8C4F"/>
        </w:rPr>
      </w:pPr>
    </w:p>
    <w:p>
      <w:pPr>
        <w:ind w:left="340" w:right="160" w:hanging="224"/>
        <w:spacing w:after="0" w:line="246" w:lineRule="auto"/>
        <w:tabs>
          <w:tab w:leader="none" w:pos="340" w:val="left"/>
        </w:tabs>
        <w:numPr>
          <w:ilvl w:val="0"/>
          <w:numId w:val="26"/>
        </w:numPr>
        <w:rPr>
          <w:rFonts w:ascii="Arial" w:cs="Arial" w:eastAsia="Arial" w:hAnsi="Arial"/>
          <w:sz w:val="18"/>
          <w:szCs w:val="18"/>
          <w:color w:val="1C8C4F"/>
        </w:rPr>
      </w:pPr>
      <w:r>
        <w:rPr>
          <w:rFonts w:ascii="Arial" w:cs="Arial" w:eastAsia="Arial" w:hAnsi="Arial"/>
          <w:sz w:val="18"/>
          <w:szCs w:val="18"/>
          <w:color w:val="auto"/>
        </w:rPr>
        <w:t>Overseeing corporate governance matters generally and developing and recommending to the Board Company-appropriate corporate governance guidelines</w:t>
      </w:r>
    </w:p>
    <w:p>
      <w:pPr>
        <w:spacing w:after="0" w:line="196" w:lineRule="exact"/>
        <w:rPr>
          <w:rFonts w:ascii="Arial" w:cs="Arial" w:eastAsia="Arial" w:hAnsi="Arial"/>
          <w:sz w:val="18"/>
          <w:szCs w:val="18"/>
          <w:color w:val="1C8C4F"/>
        </w:rPr>
      </w:pPr>
    </w:p>
    <w:p>
      <w:pPr>
        <w:ind w:left="340" w:hanging="224"/>
        <w:spacing w:after="0"/>
        <w:tabs>
          <w:tab w:leader="none" w:pos="340" w:val="left"/>
        </w:tabs>
        <w:numPr>
          <w:ilvl w:val="0"/>
          <w:numId w:val="26"/>
        </w:numPr>
        <w:rPr>
          <w:rFonts w:ascii="Arial" w:cs="Arial" w:eastAsia="Arial" w:hAnsi="Arial"/>
          <w:sz w:val="18"/>
          <w:szCs w:val="18"/>
          <w:color w:val="1C8C4F"/>
        </w:rPr>
      </w:pPr>
      <w:r>
        <w:rPr>
          <w:rFonts w:ascii="Arial" w:cs="Arial" w:eastAsia="Arial" w:hAnsi="Arial"/>
          <w:sz w:val="18"/>
          <w:szCs w:val="18"/>
          <w:color w:val="auto"/>
        </w:rPr>
        <w:t>Overseeing and, as it determines appropriate, designating directors to participate in the Company’s engagement with shareholders</w:t>
      </w:r>
    </w:p>
    <w:p>
      <w:pPr>
        <w:spacing w:after="0" w:line="211" w:lineRule="exact"/>
        <w:rPr>
          <w:rFonts w:ascii="Arial" w:cs="Arial" w:eastAsia="Arial" w:hAnsi="Arial"/>
          <w:sz w:val="18"/>
          <w:szCs w:val="18"/>
          <w:color w:val="1C8C4F"/>
        </w:rPr>
      </w:pPr>
    </w:p>
    <w:p>
      <w:pPr>
        <w:ind w:left="340" w:hanging="224"/>
        <w:spacing w:after="0"/>
        <w:tabs>
          <w:tab w:leader="none" w:pos="340" w:val="left"/>
        </w:tabs>
        <w:numPr>
          <w:ilvl w:val="0"/>
          <w:numId w:val="26"/>
        </w:numPr>
        <w:rPr>
          <w:rFonts w:ascii="Arial" w:cs="Arial" w:eastAsia="Arial" w:hAnsi="Arial"/>
          <w:sz w:val="18"/>
          <w:szCs w:val="18"/>
          <w:color w:val="1C8C4F"/>
        </w:rPr>
      </w:pPr>
      <w:r>
        <w:rPr>
          <w:rFonts w:ascii="Arial" w:cs="Arial" w:eastAsia="Arial" w:hAnsi="Arial"/>
          <w:sz w:val="18"/>
          <w:szCs w:val="18"/>
          <w:color w:val="auto"/>
        </w:rPr>
        <w:t>Overseeing the annual evaluation of the Board and its standing committees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13</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C8C4F"/>
        </w:rPr>
        <w:t>CONSIDERATION OF CANDIDATES RECOMMENDED BY SHAREHOLDERS</w:t>
      </w:r>
    </w:p>
    <w:p>
      <w:pPr>
        <w:spacing w:after="0" w:line="13"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Our Nominating and Corporate Governance Committee is pleased to consider director candidates recommended by shareholders. In considering such candidates, the Nominating and Corporate Governance Committee will take into consideration the Board’s current size and composition; the needs of the Board, including the skills and experience of existing directors; and the qualifications of the candidate. To have a candidate considered by the Nominating and Corporate Governance Committee, a shareholder must submit the recommendation in writing and include the following information:</w:t>
      </w:r>
    </w:p>
    <w:p>
      <w:pPr>
        <w:spacing w:after="0" w:line="202" w:lineRule="exact"/>
        <w:rPr>
          <w:sz w:val="20"/>
          <w:szCs w:val="20"/>
          <w:color w:val="auto"/>
        </w:rPr>
      </w:pPr>
    </w:p>
    <w:p>
      <w:pPr>
        <w:ind w:left="340" w:right="220" w:hanging="224"/>
        <w:spacing w:after="0" w:line="246" w:lineRule="auto"/>
        <w:tabs>
          <w:tab w:leader="none" w:pos="340" w:val="left"/>
        </w:tabs>
        <w:numPr>
          <w:ilvl w:val="0"/>
          <w:numId w:val="27"/>
        </w:numPr>
        <w:rPr>
          <w:rFonts w:ascii="Arial" w:cs="Arial" w:eastAsia="Arial" w:hAnsi="Arial"/>
          <w:sz w:val="18"/>
          <w:szCs w:val="18"/>
          <w:color w:val="1C8C4F"/>
        </w:rPr>
      </w:pPr>
      <w:r>
        <w:rPr>
          <w:rFonts w:ascii="Arial" w:cs="Arial" w:eastAsia="Arial" w:hAnsi="Arial"/>
          <w:sz w:val="18"/>
          <w:szCs w:val="18"/>
          <w:color w:val="auto"/>
        </w:rPr>
        <w:t>The name of the shareholder and evidence of the shareholder’s ownership of Company stock, including the number of shares owned and the length of time of ownership; and</w:t>
      </w:r>
    </w:p>
    <w:p>
      <w:pPr>
        <w:spacing w:after="0" w:line="196" w:lineRule="exact"/>
        <w:rPr>
          <w:rFonts w:ascii="Arial" w:cs="Arial" w:eastAsia="Arial" w:hAnsi="Arial"/>
          <w:sz w:val="18"/>
          <w:szCs w:val="18"/>
          <w:color w:val="1C8C4F"/>
        </w:rPr>
      </w:pPr>
    </w:p>
    <w:p>
      <w:pPr>
        <w:ind w:left="340" w:right="480" w:hanging="224"/>
        <w:spacing w:after="0"/>
        <w:tabs>
          <w:tab w:leader="none" w:pos="340" w:val="left"/>
        </w:tabs>
        <w:numPr>
          <w:ilvl w:val="0"/>
          <w:numId w:val="27"/>
        </w:numPr>
        <w:rPr>
          <w:rFonts w:ascii="Arial" w:cs="Arial" w:eastAsia="Arial" w:hAnsi="Arial"/>
          <w:sz w:val="18"/>
          <w:szCs w:val="18"/>
          <w:color w:val="1C8C4F"/>
        </w:rPr>
      </w:pPr>
      <w:r>
        <w:rPr>
          <w:rFonts w:ascii="Arial" w:cs="Arial" w:eastAsia="Arial" w:hAnsi="Arial"/>
          <w:sz w:val="18"/>
          <w:szCs w:val="18"/>
          <w:color w:val="auto"/>
        </w:rPr>
        <w:t>The name of the candidate, the candidate’s resume or a listing of his or her qualifications to be a director of the Company, and the candidate’s consent to being considered for nomination as a director if selected by the Nominating and Corporate Governance Committee.</w:t>
      </w:r>
    </w:p>
    <w:p>
      <w:pPr>
        <w:spacing w:after="0" w:line="176" w:lineRule="exact"/>
        <w:rPr>
          <w:sz w:val="20"/>
          <w:szCs w:val="20"/>
          <w:color w:val="auto"/>
        </w:rPr>
      </w:pPr>
    </w:p>
    <w:p>
      <w:pPr>
        <w:ind w:left="120" w:right="300"/>
        <w:spacing w:after="0" w:line="246" w:lineRule="auto"/>
        <w:rPr>
          <w:sz w:val="20"/>
          <w:szCs w:val="20"/>
          <w:color w:val="auto"/>
        </w:rPr>
      </w:pPr>
      <w:r>
        <w:rPr>
          <w:rFonts w:ascii="Arial" w:cs="Arial" w:eastAsia="Arial" w:hAnsi="Arial"/>
          <w:sz w:val="18"/>
          <w:szCs w:val="18"/>
          <w:color w:val="auto"/>
        </w:rPr>
        <w:t>The shareholder recommendation and information described above must be sent to Wynn Resorts, Limited, c/o Corporate Secretary at 3131 Las Vegas Boulevard South, Las Vegas, Nevada 89109.</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If the Nominating and Corporate Governance Committee determines to pursue consideration of a person who has been identified as a potential candidate, the Nominating and Corporate Governance Committee may take any or all of the following steps: collect and review publicly available information regarding the candidate, contact and request information from the candidate, vet the candidate’s credentials, conduct one or more interviews with the candidate and contact one or more references provided by the candidate or other persons that may have greater first-hand knowledge of the candidate’s accomplishments. The Nominating and Corporate Governance Committee’s evaluation process takes into account the candidate’s accomplishments and qualifications, including in comparison to any other candidates that the Nominating and Corporate Governance Committee might be considering, and does not vary based on whether or not a candidate is recommended by a shareholder.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Board role in risk oversight</w:t>
      </w:r>
    </w:p>
    <w:p>
      <w:pPr>
        <w:spacing w:after="0" w:line="21" w:lineRule="exact"/>
        <w:rPr>
          <w:sz w:val="20"/>
          <w:szCs w:val="20"/>
          <w:color w:val="auto"/>
        </w:rPr>
      </w:pPr>
    </w:p>
    <w:p>
      <w:pPr>
        <w:jc w:val="both"/>
        <w:ind w:left="120" w:right="160"/>
        <w:spacing w:after="0"/>
        <w:rPr>
          <w:sz w:val="20"/>
          <w:szCs w:val="20"/>
          <w:color w:val="auto"/>
        </w:rPr>
      </w:pPr>
      <w:r>
        <w:rPr>
          <w:rFonts w:ascii="Arial" w:cs="Arial" w:eastAsia="Arial" w:hAnsi="Arial"/>
          <w:sz w:val="18"/>
          <w:szCs w:val="18"/>
          <w:color w:val="auto"/>
        </w:rPr>
        <w:t>The Board’s goals are to build value for the Company’s shareholders and to promote the vitality and sustainability of the Company for its customers, employees, jurisdictions in which it does business, our planet, and the other individuals and organizations that depend on the Company.</w:t>
      </w:r>
    </w:p>
    <w:p>
      <w:pPr>
        <w:spacing w:after="0" w:line="162" w:lineRule="exact"/>
        <w:rPr>
          <w:sz w:val="20"/>
          <w:szCs w:val="20"/>
          <w:color w:val="auto"/>
        </w:rPr>
      </w:pPr>
    </w:p>
    <w:p>
      <w:pPr>
        <w:jc w:val="both"/>
        <w:ind w:left="120" w:right="440"/>
        <w:spacing w:after="0"/>
        <w:rPr>
          <w:sz w:val="20"/>
          <w:szCs w:val="20"/>
          <w:color w:val="auto"/>
        </w:rPr>
      </w:pPr>
      <w:r>
        <w:rPr>
          <w:rFonts w:ascii="Arial" w:cs="Arial" w:eastAsia="Arial" w:hAnsi="Arial"/>
          <w:sz w:val="18"/>
          <w:szCs w:val="18"/>
          <w:color w:val="auto"/>
        </w:rPr>
        <w:t>To achieve these goals, the Board monitors the performance of the Company (in relation to its goals, strategy, risks and competitors); reviews the Company’s compliance efforts; and, through the Compensation Committee, evaluates and addresses the performance of management, including the Chief Executive Officer.</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has an active role in overseeing the Company’s areas of risk.</w:t>
      </w:r>
    </w:p>
    <w:p>
      <w:pPr>
        <w:spacing w:after="0" w:line="212" w:lineRule="exact"/>
        <w:rPr>
          <w:sz w:val="20"/>
          <w:szCs w:val="20"/>
          <w:color w:val="auto"/>
        </w:rPr>
      </w:pPr>
    </w:p>
    <w:p>
      <w:pPr>
        <w:ind w:left="340" w:right="280" w:hanging="224"/>
        <w:spacing w:after="0" w:line="238" w:lineRule="auto"/>
        <w:tabs>
          <w:tab w:leader="none" w:pos="340" w:val="left"/>
        </w:tabs>
        <w:numPr>
          <w:ilvl w:val="0"/>
          <w:numId w:val="28"/>
        </w:numPr>
        <w:rPr>
          <w:rFonts w:ascii="Arial" w:cs="Arial" w:eastAsia="Arial" w:hAnsi="Arial"/>
          <w:sz w:val="18"/>
          <w:szCs w:val="18"/>
          <w:color w:val="1C8C4F"/>
        </w:rPr>
      </w:pPr>
      <w:r>
        <w:rPr>
          <w:rFonts w:ascii="Arial" w:cs="Arial" w:eastAsia="Arial" w:hAnsi="Arial"/>
          <w:sz w:val="18"/>
          <w:szCs w:val="18"/>
          <w:color w:val="auto"/>
        </w:rPr>
        <w:t>The Board and its Committees, in consultation with management and the Company’s independent auditors, regularly review the Company’s risk profile and have identified specific areas of risk including: regulatory compliance; legal and human resource matters; legislative and political conditions; capital availability and liquidity; gaming credit extension and collection; cybersecurity, including protection of customer and employee data; construction; catastrophic events; and succession planning.</w:t>
      </w:r>
    </w:p>
    <w:p>
      <w:pPr>
        <w:spacing w:after="0" w:line="204" w:lineRule="exact"/>
        <w:rPr>
          <w:rFonts w:ascii="Arial" w:cs="Arial" w:eastAsia="Arial" w:hAnsi="Arial"/>
          <w:sz w:val="18"/>
          <w:szCs w:val="18"/>
          <w:color w:val="1C8C4F"/>
        </w:rPr>
      </w:pPr>
    </w:p>
    <w:p>
      <w:pPr>
        <w:ind w:left="340" w:right="20" w:hanging="224"/>
        <w:spacing w:after="0" w:line="246" w:lineRule="auto"/>
        <w:tabs>
          <w:tab w:leader="none" w:pos="340" w:val="left"/>
        </w:tabs>
        <w:numPr>
          <w:ilvl w:val="0"/>
          <w:numId w:val="28"/>
        </w:numPr>
        <w:rPr>
          <w:rFonts w:ascii="Arial" w:cs="Arial" w:eastAsia="Arial" w:hAnsi="Arial"/>
          <w:sz w:val="18"/>
          <w:szCs w:val="18"/>
          <w:color w:val="1C8C4F"/>
        </w:rPr>
      </w:pPr>
      <w:r>
        <w:rPr>
          <w:rFonts w:ascii="Arial" w:cs="Arial" w:eastAsia="Arial" w:hAnsi="Arial"/>
          <w:sz w:val="18"/>
          <w:szCs w:val="18"/>
          <w:color w:val="auto"/>
        </w:rPr>
        <w:t>The Board assesses risks to the Company’s long-term strategic objectives, including threats related to our people, our communities and our planet. The Company addresses these risks through our ESG initiatives.</w:t>
      </w:r>
    </w:p>
    <w:p>
      <w:pPr>
        <w:spacing w:after="0" w:line="196" w:lineRule="exact"/>
        <w:rPr>
          <w:rFonts w:ascii="Arial" w:cs="Arial" w:eastAsia="Arial" w:hAnsi="Arial"/>
          <w:sz w:val="18"/>
          <w:szCs w:val="18"/>
          <w:color w:val="1C8C4F"/>
        </w:rPr>
      </w:pPr>
    </w:p>
    <w:p>
      <w:pPr>
        <w:ind w:left="340" w:right="140" w:hanging="224"/>
        <w:spacing w:after="0"/>
        <w:tabs>
          <w:tab w:leader="none" w:pos="340" w:val="left"/>
        </w:tabs>
        <w:numPr>
          <w:ilvl w:val="0"/>
          <w:numId w:val="28"/>
        </w:numPr>
        <w:rPr>
          <w:rFonts w:ascii="Arial" w:cs="Arial" w:eastAsia="Arial" w:hAnsi="Arial"/>
          <w:sz w:val="18"/>
          <w:szCs w:val="18"/>
          <w:color w:val="1C8C4F"/>
        </w:rPr>
      </w:pPr>
      <w:r>
        <w:rPr>
          <w:rFonts w:ascii="Arial" w:cs="Arial" w:eastAsia="Arial" w:hAnsi="Arial"/>
          <w:sz w:val="18"/>
          <w:szCs w:val="18"/>
          <w:color w:val="auto"/>
        </w:rPr>
        <w:t>The Board (as a whole and through its Committees) has reviewed and approved management’s process for identifying, managing and mitigating these risks. While the full Board has overall responsibility for risk oversight, the Board has assigned certain areas of risk oversight to its Committees as well as to the Company’s Compliance Committee.</w:t>
      </w:r>
    </w:p>
    <w:p>
      <w:pPr>
        <w:spacing w:after="0" w:line="202" w:lineRule="exact"/>
        <w:rPr>
          <w:rFonts w:ascii="Arial" w:cs="Arial" w:eastAsia="Arial" w:hAnsi="Arial"/>
          <w:sz w:val="18"/>
          <w:szCs w:val="18"/>
          <w:color w:val="1C8C4F"/>
        </w:rPr>
      </w:pPr>
    </w:p>
    <w:p>
      <w:pPr>
        <w:ind w:left="340" w:right="100" w:hanging="224"/>
        <w:spacing w:after="0" w:line="238" w:lineRule="auto"/>
        <w:tabs>
          <w:tab w:leader="none" w:pos="340" w:val="left"/>
        </w:tabs>
        <w:numPr>
          <w:ilvl w:val="0"/>
          <w:numId w:val="28"/>
        </w:numPr>
        <w:rPr>
          <w:rFonts w:ascii="Arial" w:cs="Arial" w:eastAsia="Arial" w:hAnsi="Arial"/>
          <w:sz w:val="18"/>
          <w:szCs w:val="18"/>
          <w:color w:val="1C8C4F"/>
        </w:rPr>
      </w:pPr>
      <w:r>
        <w:rPr>
          <w:rFonts w:ascii="Arial" w:cs="Arial" w:eastAsia="Arial" w:hAnsi="Arial"/>
          <w:sz w:val="18"/>
          <w:szCs w:val="18"/>
          <w:color w:val="auto"/>
        </w:rPr>
        <w:t>Throughout the year, the Board, its Committees and the Company’s Compliance Committee receive reports from management that include information regarding major risks and exposures facing the Company and the steps management has taken to monitor and control such risks and exposures. In 2018, the Board also implemented a process to allow for direct communication of risks and issues from employees to the Board of Directors.</w:t>
      </w:r>
    </w:p>
    <w:p>
      <w:pPr>
        <w:spacing w:after="0" w:line="49" w:lineRule="exact"/>
        <w:rPr>
          <w:sz w:val="20"/>
          <w:szCs w:val="20"/>
          <w:color w:val="auto"/>
        </w:rPr>
      </w:pPr>
    </w:p>
    <w:p>
      <w:pPr>
        <w:ind w:left="800" w:hanging="684"/>
        <w:spacing w:after="0"/>
        <w:tabs>
          <w:tab w:leader="none" w:pos="800" w:val="left"/>
        </w:tabs>
        <w:numPr>
          <w:ilvl w:val="0"/>
          <w:numId w:val="29"/>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340" w:right="560" w:hanging="224"/>
        <w:spacing w:after="0" w:line="246" w:lineRule="auto"/>
        <w:tabs>
          <w:tab w:leader="none" w:pos="340" w:val="left"/>
        </w:tabs>
        <w:numPr>
          <w:ilvl w:val="0"/>
          <w:numId w:val="30"/>
        </w:numPr>
        <w:rPr>
          <w:rFonts w:ascii="Arial" w:cs="Arial" w:eastAsia="Arial" w:hAnsi="Arial"/>
          <w:sz w:val="18"/>
          <w:szCs w:val="18"/>
          <w:color w:val="1C8C4F"/>
        </w:rPr>
      </w:pPr>
      <w:r>
        <w:rPr>
          <w:rFonts w:ascii="Arial" w:cs="Arial" w:eastAsia="Arial" w:hAnsi="Arial"/>
          <w:sz w:val="18"/>
          <w:szCs w:val="18"/>
          <w:color w:val="auto"/>
        </w:rPr>
        <w:t>In addition, throughout the year, the Board, its Committees and the Company’s Compliance Committee dedicate a portion of their meetings to review and discuss specific risk topics in greater detail.</w:t>
      </w:r>
    </w:p>
    <w:p>
      <w:pPr>
        <w:spacing w:after="0" w:line="196" w:lineRule="exact"/>
        <w:rPr>
          <w:rFonts w:ascii="Arial" w:cs="Arial" w:eastAsia="Arial" w:hAnsi="Arial"/>
          <w:sz w:val="18"/>
          <w:szCs w:val="18"/>
          <w:color w:val="1C8C4F"/>
        </w:rPr>
      </w:pPr>
    </w:p>
    <w:p>
      <w:pPr>
        <w:ind w:left="340" w:right="400" w:hanging="224"/>
        <w:spacing w:after="0" w:line="246" w:lineRule="auto"/>
        <w:tabs>
          <w:tab w:leader="none" w:pos="340" w:val="left"/>
        </w:tabs>
        <w:numPr>
          <w:ilvl w:val="0"/>
          <w:numId w:val="30"/>
        </w:numPr>
        <w:rPr>
          <w:rFonts w:ascii="Arial" w:cs="Arial" w:eastAsia="Arial" w:hAnsi="Arial"/>
          <w:sz w:val="18"/>
          <w:szCs w:val="18"/>
          <w:color w:val="1C8C4F"/>
        </w:rPr>
      </w:pPr>
      <w:r>
        <w:rPr>
          <w:rFonts w:ascii="Arial" w:cs="Arial" w:eastAsia="Arial" w:hAnsi="Arial"/>
          <w:sz w:val="18"/>
          <w:szCs w:val="18"/>
          <w:color w:val="auto"/>
        </w:rPr>
        <w:t>The Audit Committee is primarily responsible for the oversight of credit, related party, information security, construction and general financial risks.</w:t>
      </w:r>
    </w:p>
    <w:p>
      <w:pPr>
        <w:spacing w:after="0" w:line="196" w:lineRule="exact"/>
        <w:rPr>
          <w:rFonts w:ascii="Arial" w:cs="Arial" w:eastAsia="Arial" w:hAnsi="Arial"/>
          <w:sz w:val="18"/>
          <w:szCs w:val="18"/>
          <w:color w:val="1C8C4F"/>
        </w:rPr>
      </w:pPr>
    </w:p>
    <w:p>
      <w:pPr>
        <w:ind w:left="340" w:right="680" w:hanging="224"/>
        <w:spacing w:after="0" w:line="246" w:lineRule="auto"/>
        <w:tabs>
          <w:tab w:leader="none" w:pos="340" w:val="left"/>
        </w:tabs>
        <w:numPr>
          <w:ilvl w:val="0"/>
          <w:numId w:val="30"/>
        </w:numPr>
        <w:rPr>
          <w:rFonts w:ascii="Arial" w:cs="Arial" w:eastAsia="Arial" w:hAnsi="Arial"/>
          <w:sz w:val="18"/>
          <w:szCs w:val="18"/>
          <w:color w:val="1C8C4F"/>
        </w:rPr>
      </w:pPr>
      <w:r>
        <w:rPr>
          <w:rFonts w:ascii="Arial" w:cs="Arial" w:eastAsia="Arial" w:hAnsi="Arial"/>
          <w:sz w:val="18"/>
          <w:szCs w:val="18"/>
          <w:color w:val="auto"/>
        </w:rPr>
        <w:t>The Company’s Compliance Committee primarily oversees risks relating to regulatory, security, workplace conduct, and political compliance.</w:t>
      </w:r>
    </w:p>
    <w:p>
      <w:pPr>
        <w:spacing w:after="0" w:line="196" w:lineRule="exact"/>
        <w:rPr>
          <w:rFonts w:ascii="Arial" w:cs="Arial" w:eastAsia="Arial" w:hAnsi="Arial"/>
          <w:sz w:val="18"/>
          <w:szCs w:val="18"/>
          <w:color w:val="1C8C4F"/>
        </w:rPr>
      </w:pPr>
    </w:p>
    <w:p>
      <w:pPr>
        <w:ind w:left="340" w:right="220" w:hanging="224"/>
        <w:spacing w:after="0"/>
        <w:tabs>
          <w:tab w:leader="none" w:pos="340" w:val="left"/>
        </w:tabs>
        <w:numPr>
          <w:ilvl w:val="0"/>
          <w:numId w:val="30"/>
        </w:numPr>
        <w:rPr>
          <w:rFonts w:ascii="Arial" w:cs="Arial" w:eastAsia="Arial" w:hAnsi="Arial"/>
          <w:sz w:val="18"/>
          <w:szCs w:val="18"/>
          <w:color w:val="1C8C4F"/>
        </w:rPr>
      </w:pPr>
      <w:r>
        <w:rPr>
          <w:rFonts w:ascii="Arial" w:cs="Arial" w:eastAsia="Arial" w:hAnsi="Arial"/>
          <w:sz w:val="18"/>
          <w:szCs w:val="18"/>
          <w:color w:val="auto"/>
        </w:rPr>
        <w:t>For the 2020 fiscal year, management completed a review of the Company’s compensation policies and practices and presented its analysis to the Compensation Committee. The Compensation Committee concurred with management’s conclusion that such policies and practices do not present risks that are reasonably likely to have a material adverse effect on the Company.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C8C4F"/>
        </w:rPr>
        <w:t>COMPLIANCE COMMITTEE</w:t>
      </w:r>
    </w:p>
    <w:p>
      <w:pPr>
        <w:spacing w:after="0" w:line="1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 xml:space="preserve">The Company maintains a Compliance Program that features a completely-independent Compliance Committee comprised of individuals with extensive familiarity with law enforcement, regulated businesses, ethics, and/or gaming compliance who are not otherwise affiliated with the Company, to oversee and promote the Company’s compliance and to ensure that the Company meets the Company’s strict policy to conduct business at the highest levels of honesty and integrity: Thomas Peterman, former Senior Vice President and Chief Compliance Officer for MGM Resorts International (Chair); Michelle Chatigny, former Vice President, Global Regulatory and Product Compliance for International Game Technology; and Edward Davis, former Commissioner of the Boston Police Department. Chair Satre and Ms. Mulroy serve as </w:t>
      </w:r>
      <w:r>
        <w:rPr>
          <w:rFonts w:ascii="Arial" w:cs="Arial" w:eastAsia="Arial" w:hAnsi="Arial"/>
          <w:sz w:val="18"/>
          <w:szCs w:val="18"/>
          <w:i w:val="1"/>
          <w:iCs w:val="1"/>
          <w:color w:val="auto"/>
        </w:rPr>
        <w:t>ex officio</w:t>
      </w:r>
      <w:r>
        <w:rPr>
          <w:rFonts w:ascii="Arial" w:cs="Arial" w:eastAsia="Arial" w:hAnsi="Arial"/>
          <w:sz w:val="18"/>
          <w:szCs w:val="18"/>
          <w:color w:val="auto"/>
        </w:rPr>
        <w:t xml:space="preserve"> members of the Committee and representatives of the Board. Ms. Webb also attends the meetings of the Compliance Committee The Compliance Program is subject to review and approval of the Nevada Gaming Control Board and the Massachusetts Gaming Commission.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Board meetings/annual meeting</w:t>
      </w:r>
    </w:p>
    <w:p>
      <w:pPr>
        <w:spacing w:after="0" w:line="21"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Board met 18 times during 2020. All of our Board attended more than 90% of the meetings of the Board and of the Committees on which they served. In accordance with our Corporate Governance Guidelines, each of our directors is expected to participate in the Annual Meeting. All of our directors attended the 2020 Annual Meeting.</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Board communication and engagement</w:t>
      </w:r>
    </w:p>
    <w:p>
      <w:pPr>
        <w:spacing w:after="0" w:line="21"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Our Board believes in listening to and communicating with shareholders. We believe our work should be informed by input from those who share a financial stake in our success.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provide a number of ways for shareholders to communicate with the Board and management:</w:t>
      </w:r>
    </w:p>
    <w:p>
      <w:pPr>
        <w:spacing w:after="0" w:line="212" w:lineRule="exact"/>
        <w:rPr>
          <w:sz w:val="20"/>
          <w:szCs w:val="20"/>
          <w:color w:val="auto"/>
        </w:rPr>
      </w:pPr>
    </w:p>
    <w:p>
      <w:pPr>
        <w:ind w:left="340" w:right="1020" w:hanging="224"/>
        <w:spacing w:after="0" w:line="246" w:lineRule="auto"/>
        <w:tabs>
          <w:tab w:leader="none" w:pos="340" w:val="left"/>
        </w:tabs>
        <w:numPr>
          <w:ilvl w:val="0"/>
          <w:numId w:val="31"/>
        </w:numPr>
        <w:rPr>
          <w:rFonts w:ascii="Arial" w:cs="Arial" w:eastAsia="Arial" w:hAnsi="Arial"/>
          <w:sz w:val="18"/>
          <w:szCs w:val="18"/>
          <w:color w:val="1C8C4F"/>
        </w:rPr>
      </w:pPr>
      <w:r>
        <w:rPr>
          <w:rFonts w:ascii="Arial" w:cs="Arial" w:eastAsia="Arial" w:hAnsi="Arial"/>
          <w:sz w:val="18"/>
          <w:szCs w:val="18"/>
          <w:color w:val="auto"/>
        </w:rPr>
        <w:t>Shareholders may speak with us when we reach out to engage both via governance communications and investor relations communications.</w:t>
      </w:r>
    </w:p>
    <w:p>
      <w:pPr>
        <w:spacing w:after="0" w:line="196" w:lineRule="exact"/>
        <w:rPr>
          <w:rFonts w:ascii="Arial" w:cs="Arial" w:eastAsia="Arial" w:hAnsi="Arial"/>
          <w:sz w:val="18"/>
          <w:szCs w:val="18"/>
          <w:color w:val="1C8C4F"/>
        </w:rPr>
      </w:pPr>
    </w:p>
    <w:p>
      <w:pPr>
        <w:ind w:left="340" w:right="20" w:hanging="224"/>
        <w:spacing w:after="0" w:line="237" w:lineRule="auto"/>
        <w:tabs>
          <w:tab w:leader="none" w:pos="340" w:val="left"/>
        </w:tabs>
        <w:numPr>
          <w:ilvl w:val="0"/>
          <w:numId w:val="31"/>
        </w:numPr>
        <w:rPr>
          <w:rFonts w:ascii="Arial" w:cs="Arial" w:eastAsia="Arial" w:hAnsi="Arial"/>
          <w:sz w:val="18"/>
          <w:szCs w:val="18"/>
          <w:color w:val="1C8C4F"/>
        </w:rPr>
      </w:pPr>
      <w:r>
        <w:rPr>
          <w:rFonts w:ascii="Arial" w:cs="Arial" w:eastAsia="Arial" w:hAnsi="Arial"/>
          <w:sz w:val="18"/>
          <w:szCs w:val="18"/>
          <w:color w:val="auto"/>
        </w:rPr>
        <w:t>Shareholders who wish to communicate in writing with the Board or any director, or with any Committee of the Board, including the chair of any Committee, may do so by writing to the following address: Wynn Resorts, Limited, c/o Corporate Secretary, 3131 Las Vegas Boulevard South, Las Vegas, Nevada 89109. All communications received will be opened by the office of our General Counsel for the purpose of assessing the nature of the communications. With the exception of advertising, promotions of a product or service, and patently offensive material, communications will be forwarded promptly to the addressee. In the case of communications addressed to more than one director, the General Counsel’s office will make sure each addressee receives the communication, which may be done by e-mail.</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15</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Shareholder engagement</w:t>
      </w:r>
    </w:p>
    <w:p>
      <w:pPr>
        <w:spacing w:after="0" w:line="21" w:lineRule="exact"/>
        <w:rPr>
          <w:sz w:val="20"/>
          <w:szCs w:val="20"/>
          <w:color w:val="auto"/>
        </w:rPr>
      </w:pPr>
    </w:p>
    <w:p>
      <w:pPr>
        <w:ind w:left="120" w:right="380"/>
        <w:spacing w:after="0" w:line="238" w:lineRule="auto"/>
        <w:rPr>
          <w:sz w:val="20"/>
          <w:szCs w:val="20"/>
          <w:color w:val="auto"/>
        </w:rPr>
      </w:pPr>
      <w:r>
        <w:rPr>
          <w:rFonts w:ascii="Arial" w:cs="Arial" w:eastAsia="Arial" w:hAnsi="Arial"/>
          <w:sz w:val="18"/>
          <w:szCs w:val="18"/>
          <w:color w:val="auto"/>
        </w:rPr>
        <w:t>We regularly engage with shareholders and other stakeholders to receive their insights on significant issues, including company performance and strategy, corporate governance, executive compensation, and environmental, social, and governance topics. Management provides the Board with extensive analysis of shareholder feedback and shareholder voting results. As a result of this review, over the last several years, the Board has made significant changes to compensation practices, governance matters and ESG reporting.</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and Company management remain committed to frequent and robust shareholder engagement. We have made important updates to our pay plans and corporate governance documents and policies based on our changing needs and the input we have received from engagements with our shareholders.</w:t>
      </w:r>
    </w:p>
    <w:p>
      <w:pPr>
        <w:spacing w:after="0" w:line="162" w:lineRule="exact"/>
        <w:rPr>
          <w:sz w:val="20"/>
          <w:szCs w:val="20"/>
          <w:color w:val="auto"/>
        </w:rPr>
      </w:pPr>
    </w:p>
    <w:p>
      <w:pPr>
        <w:ind w:left="120" w:right="180"/>
        <w:spacing w:after="0" w:line="274" w:lineRule="auto"/>
        <w:rPr>
          <w:sz w:val="20"/>
          <w:szCs w:val="20"/>
          <w:color w:val="auto"/>
        </w:rPr>
      </w:pPr>
      <w:r>
        <w:rPr>
          <w:rFonts w:ascii="Arial" w:cs="Arial" w:eastAsia="Arial" w:hAnsi="Arial"/>
          <w:sz w:val="17"/>
          <w:szCs w:val="17"/>
          <w:color w:val="auto"/>
        </w:rPr>
        <w:t>Based on specific feedback received, the Board adopted the SASB reporting metrics that were included in our 2019 ESG Report. The Board believes that these metrics provide greater transparency in our reporting as well as heightened accountability to our stakeholders.</w:t>
      </w: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Arial" w:cs="Arial" w:eastAsia="Arial" w:hAnsi="Arial"/>
          <w:sz w:val="27"/>
          <w:szCs w:val="27"/>
          <w:color w:val="1C8C4F"/>
        </w:rPr>
        <w:t>Board compensation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Directors who are not employees of the Company currently receive fees for service on the Board and Committees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5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Board Service</w:t>
      </w:r>
    </w:p>
    <w:p>
      <w:pPr>
        <w:spacing w:after="0" w:line="16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Audit Committee Service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Compensation Committee Service</w:t>
      </w:r>
    </w:p>
    <w:p>
      <w:pPr>
        <w:spacing w:after="0" w:line="24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Nominating and Corporate Governance Committee Service</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ind w:left="128" w:hanging="128"/>
        <w:spacing w:after="0"/>
        <w:tabs>
          <w:tab w:leader="none" w:pos="128" w:val="left"/>
        </w:tabs>
        <w:numPr>
          <w:ilvl w:val="0"/>
          <w:numId w:val="32"/>
        </w:numPr>
        <w:rPr>
          <w:rFonts w:ascii="Arial" w:cs="Arial" w:eastAsia="Arial" w:hAnsi="Arial"/>
          <w:sz w:val="14"/>
          <w:szCs w:val="14"/>
          <w:color w:val="B28700"/>
        </w:rPr>
      </w:pPr>
      <w:r>
        <w:rPr>
          <w:rFonts w:ascii="Arial" w:cs="Arial" w:eastAsia="Arial" w:hAnsi="Arial"/>
          <w:sz w:val="14"/>
          <w:szCs w:val="14"/>
          <w:color w:val="auto"/>
        </w:rPr>
        <w:t>Member monthly fee of $5,000</w:t>
      </w:r>
    </w:p>
    <w:p>
      <w:pPr>
        <w:spacing w:after="0" w:line="68" w:lineRule="exact"/>
        <w:rPr>
          <w:rFonts w:ascii="Arial" w:cs="Arial" w:eastAsia="Arial" w:hAnsi="Arial"/>
          <w:sz w:val="14"/>
          <w:szCs w:val="14"/>
          <w:color w:val="B28700"/>
        </w:rPr>
      </w:pPr>
    </w:p>
    <w:p>
      <w:pPr>
        <w:ind w:left="128" w:hanging="128"/>
        <w:spacing w:after="0"/>
        <w:tabs>
          <w:tab w:leader="none" w:pos="128" w:val="left"/>
        </w:tabs>
        <w:numPr>
          <w:ilvl w:val="0"/>
          <w:numId w:val="32"/>
        </w:numPr>
        <w:rPr>
          <w:rFonts w:ascii="Arial" w:cs="Arial" w:eastAsia="Arial" w:hAnsi="Arial"/>
          <w:sz w:val="14"/>
          <w:szCs w:val="14"/>
          <w:color w:val="B28700"/>
        </w:rPr>
      </w:pPr>
      <w:r>
        <w:rPr>
          <w:rFonts w:ascii="Arial" w:cs="Arial" w:eastAsia="Arial" w:hAnsi="Arial"/>
          <w:sz w:val="14"/>
          <w:szCs w:val="14"/>
          <w:color w:val="auto"/>
        </w:rPr>
        <w:t>Member monthly fee of $1,250</w:t>
      </w:r>
    </w:p>
    <w:p>
      <w:pPr>
        <w:spacing w:after="0" w:line="1" w:lineRule="exact"/>
        <w:rPr>
          <w:rFonts w:ascii="Arial" w:cs="Arial" w:eastAsia="Arial" w:hAnsi="Arial"/>
          <w:sz w:val="14"/>
          <w:szCs w:val="14"/>
          <w:color w:val="B28700"/>
        </w:rPr>
      </w:pPr>
    </w:p>
    <w:p>
      <w:pPr>
        <w:ind w:left="128" w:hanging="128"/>
        <w:spacing w:after="0"/>
        <w:tabs>
          <w:tab w:leader="none" w:pos="128" w:val="left"/>
        </w:tabs>
        <w:numPr>
          <w:ilvl w:val="0"/>
          <w:numId w:val="32"/>
        </w:numPr>
        <w:rPr>
          <w:rFonts w:ascii="Arial" w:cs="Arial" w:eastAsia="Arial" w:hAnsi="Arial"/>
          <w:sz w:val="14"/>
          <w:szCs w:val="14"/>
          <w:color w:val="B28700"/>
        </w:rPr>
      </w:pPr>
      <w:r>
        <w:rPr>
          <w:rFonts w:ascii="Arial" w:cs="Arial" w:eastAsia="Arial" w:hAnsi="Arial"/>
          <w:sz w:val="14"/>
          <w:szCs w:val="14"/>
          <w:color w:val="auto"/>
        </w:rPr>
        <w:t>Chair monthly fee of $2,500</w:t>
      </w:r>
    </w:p>
    <w:p>
      <w:pPr>
        <w:spacing w:after="0" w:line="82" w:lineRule="exact"/>
        <w:rPr>
          <w:rFonts w:ascii="Arial" w:cs="Arial" w:eastAsia="Arial" w:hAnsi="Arial"/>
          <w:sz w:val="14"/>
          <w:szCs w:val="14"/>
          <w:color w:val="B28700"/>
        </w:rPr>
      </w:pPr>
    </w:p>
    <w:p>
      <w:pPr>
        <w:ind w:left="128" w:hanging="128"/>
        <w:spacing w:after="0"/>
        <w:tabs>
          <w:tab w:leader="none" w:pos="128" w:val="left"/>
        </w:tabs>
        <w:numPr>
          <w:ilvl w:val="0"/>
          <w:numId w:val="32"/>
        </w:numPr>
        <w:rPr>
          <w:rFonts w:ascii="Arial" w:cs="Arial" w:eastAsia="Arial" w:hAnsi="Arial"/>
          <w:sz w:val="14"/>
          <w:szCs w:val="14"/>
          <w:color w:val="B28700"/>
        </w:rPr>
      </w:pPr>
      <w:r>
        <w:rPr>
          <w:rFonts w:ascii="Arial" w:cs="Arial" w:eastAsia="Arial" w:hAnsi="Arial"/>
          <w:sz w:val="14"/>
          <w:szCs w:val="14"/>
          <w:color w:val="auto"/>
        </w:rPr>
        <w:t>Member monthly fee of $1,000</w:t>
      </w:r>
    </w:p>
    <w:p>
      <w:pPr>
        <w:spacing w:after="0" w:line="1" w:lineRule="exact"/>
        <w:rPr>
          <w:rFonts w:ascii="Arial" w:cs="Arial" w:eastAsia="Arial" w:hAnsi="Arial"/>
          <w:sz w:val="14"/>
          <w:szCs w:val="14"/>
          <w:color w:val="B28700"/>
        </w:rPr>
      </w:pPr>
    </w:p>
    <w:p>
      <w:pPr>
        <w:ind w:left="128" w:hanging="128"/>
        <w:spacing w:after="0"/>
        <w:tabs>
          <w:tab w:leader="none" w:pos="128" w:val="left"/>
        </w:tabs>
        <w:numPr>
          <w:ilvl w:val="0"/>
          <w:numId w:val="32"/>
        </w:numPr>
        <w:rPr>
          <w:rFonts w:ascii="Arial" w:cs="Arial" w:eastAsia="Arial" w:hAnsi="Arial"/>
          <w:sz w:val="14"/>
          <w:szCs w:val="14"/>
          <w:color w:val="B28700"/>
        </w:rPr>
      </w:pPr>
      <w:r>
        <w:rPr>
          <w:rFonts w:ascii="Arial" w:cs="Arial" w:eastAsia="Arial" w:hAnsi="Arial"/>
          <w:sz w:val="14"/>
          <w:szCs w:val="14"/>
          <w:color w:val="auto"/>
        </w:rPr>
        <w:t>Chair monthly fee of $2,000</w:t>
      </w:r>
    </w:p>
    <w:p>
      <w:pPr>
        <w:spacing w:after="0" w:line="82" w:lineRule="exact"/>
        <w:rPr>
          <w:rFonts w:ascii="Arial" w:cs="Arial" w:eastAsia="Arial" w:hAnsi="Arial"/>
          <w:sz w:val="14"/>
          <w:szCs w:val="14"/>
          <w:color w:val="B28700"/>
        </w:rPr>
      </w:pPr>
    </w:p>
    <w:p>
      <w:pPr>
        <w:ind w:left="128" w:hanging="128"/>
        <w:spacing w:after="0"/>
        <w:tabs>
          <w:tab w:leader="none" w:pos="128" w:val="left"/>
        </w:tabs>
        <w:numPr>
          <w:ilvl w:val="0"/>
          <w:numId w:val="32"/>
        </w:numPr>
        <w:rPr>
          <w:rFonts w:ascii="Arial" w:cs="Arial" w:eastAsia="Arial" w:hAnsi="Arial"/>
          <w:sz w:val="14"/>
          <w:szCs w:val="14"/>
          <w:color w:val="B28700"/>
        </w:rPr>
      </w:pPr>
      <w:r>
        <w:rPr>
          <w:rFonts w:ascii="Arial" w:cs="Arial" w:eastAsia="Arial" w:hAnsi="Arial"/>
          <w:sz w:val="14"/>
          <w:szCs w:val="14"/>
          <w:color w:val="auto"/>
        </w:rPr>
        <w:t>Member monthly fee of $1,000</w:t>
      </w:r>
    </w:p>
    <w:p>
      <w:pPr>
        <w:spacing w:after="0" w:line="1" w:lineRule="exact"/>
        <w:rPr>
          <w:rFonts w:ascii="Arial" w:cs="Arial" w:eastAsia="Arial" w:hAnsi="Arial"/>
          <w:sz w:val="14"/>
          <w:szCs w:val="14"/>
          <w:color w:val="B28700"/>
        </w:rPr>
      </w:pPr>
    </w:p>
    <w:p>
      <w:pPr>
        <w:ind w:left="128" w:hanging="128"/>
        <w:spacing w:after="0"/>
        <w:tabs>
          <w:tab w:leader="none" w:pos="128" w:val="left"/>
        </w:tabs>
        <w:numPr>
          <w:ilvl w:val="0"/>
          <w:numId w:val="32"/>
        </w:numPr>
        <w:rPr>
          <w:rFonts w:ascii="Arial" w:cs="Arial" w:eastAsia="Arial" w:hAnsi="Arial"/>
          <w:sz w:val="14"/>
          <w:szCs w:val="14"/>
          <w:color w:val="B28700"/>
        </w:rPr>
      </w:pPr>
      <w:r>
        <w:rPr>
          <w:rFonts w:ascii="Arial" w:cs="Arial" w:eastAsia="Arial" w:hAnsi="Arial"/>
          <w:sz w:val="14"/>
          <w:szCs w:val="14"/>
          <w:color w:val="auto"/>
        </w:rPr>
        <w:t>Chair monthly fee of $2,000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-490220</wp:posOffset>
            </wp:positionV>
            <wp:extent cx="6995160"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72" w:space="720"/>
            <w:col w:w="5028"/>
          </w:cols>
          <w:pgMar w:left="320" w:top="459" w:right="459" w:bottom="1440" w:gutter="0" w:footer="0" w:header="0"/>
          <w:type w:val="continuous"/>
        </w:sectPr>
      </w:pP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Each non-employee director also receives a $1,500 meeting fee for each Board or Committee meeting he or she attends. In addition,</w:t>
      </w:r>
    </w:p>
    <w:p>
      <w:pPr>
        <w:ind w:left="120"/>
        <w:spacing w:after="0"/>
        <w:rPr>
          <w:sz w:val="20"/>
          <w:szCs w:val="20"/>
          <w:color w:val="auto"/>
        </w:rPr>
      </w:pPr>
      <w:r>
        <w:rPr>
          <w:rFonts w:ascii="Arial" w:cs="Arial" w:eastAsia="Arial" w:hAnsi="Arial"/>
          <w:sz w:val="17"/>
          <w:szCs w:val="17"/>
          <w:color w:val="auto"/>
        </w:rPr>
        <w:t>non-employee directors are granted annual equity awards in the form of stock options or restricted stock determined annually at a meeting</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 Board. In response to the COVID-19 pandemic and the financial impact on the Company, each non-employee director elected to</w:t>
      </w:r>
    </w:p>
    <w:p>
      <w:pPr>
        <w:ind w:left="120"/>
        <w:spacing w:after="0" w:line="234" w:lineRule="auto"/>
        <w:rPr>
          <w:sz w:val="20"/>
          <w:szCs w:val="20"/>
          <w:color w:val="auto"/>
        </w:rPr>
      </w:pPr>
      <w:r>
        <w:rPr>
          <w:rFonts w:ascii="Arial" w:cs="Arial" w:eastAsia="Arial" w:hAnsi="Arial"/>
          <w:sz w:val="18"/>
          <w:szCs w:val="18"/>
          <w:color w:val="auto"/>
        </w:rPr>
        <w:t>receive a certain amount of stock in lieu of the monthly fee for their Board service. For 2020, each non-employee director received a grant</w:t>
      </w:r>
    </w:p>
    <w:p>
      <w:pPr>
        <w:ind w:left="120"/>
        <w:spacing w:after="0" w:line="235" w:lineRule="auto"/>
        <w:rPr>
          <w:sz w:val="20"/>
          <w:szCs w:val="20"/>
          <w:color w:val="auto"/>
        </w:rPr>
      </w:pPr>
      <w:r>
        <w:rPr>
          <w:rFonts w:ascii="Arial" w:cs="Arial" w:eastAsia="Arial" w:hAnsi="Arial"/>
          <w:sz w:val="18"/>
          <w:szCs w:val="18"/>
          <w:color w:val="auto"/>
        </w:rPr>
        <w:t>of restricted stock equal in value to $250,000 (determined as of the June 24, 2020 grant date) that vests 25% per year on each of the first</w:t>
      </w:r>
    </w:p>
    <w:p>
      <w:pPr>
        <w:ind w:left="120"/>
        <w:spacing w:after="0" w:line="235" w:lineRule="auto"/>
        <w:rPr>
          <w:sz w:val="20"/>
          <w:szCs w:val="20"/>
          <w:color w:val="auto"/>
        </w:rPr>
      </w:pPr>
      <w:r>
        <w:rPr>
          <w:rFonts w:ascii="Arial" w:cs="Arial" w:eastAsia="Arial" w:hAnsi="Arial"/>
          <w:sz w:val="18"/>
          <w:szCs w:val="18"/>
          <w:color w:val="auto"/>
        </w:rPr>
        <w:t xml:space="preserve">four anniversaries of the date of grant, subject to continued service through each vesting date. </w:t>
      </w:r>
      <w:r>
        <w:rPr>
          <w:rFonts w:ascii="Arial" w:cs="Arial" w:eastAsia="Arial" w:hAnsi="Arial"/>
          <w:sz w:val="18"/>
          <w:szCs w:val="18"/>
          <w:i w:val="1"/>
          <w:iCs w:val="1"/>
          <w:color w:val="auto"/>
        </w:rPr>
        <w:t>Ex officio</w:t>
      </w:r>
      <w:r>
        <w:rPr>
          <w:rFonts w:ascii="Arial" w:cs="Arial" w:eastAsia="Arial" w:hAnsi="Arial"/>
          <w:sz w:val="18"/>
          <w:szCs w:val="18"/>
          <w:color w:val="auto"/>
        </w:rPr>
        <w:t xml:space="preserve"> members of the Compliance</w:t>
      </w:r>
    </w:p>
    <w:p>
      <w:pPr>
        <w:ind w:left="120"/>
        <w:spacing w:after="0" w:line="235" w:lineRule="auto"/>
        <w:rPr>
          <w:sz w:val="20"/>
          <w:szCs w:val="20"/>
          <w:color w:val="auto"/>
        </w:rPr>
      </w:pPr>
      <w:r>
        <w:rPr>
          <w:rFonts w:ascii="Arial" w:cs="Arial" w:eastAsia="Arial" w:hAnsi="Arial"/>
          <w:sz w:val="18"/>
          <w:szCs w:val="18"/>
          <w:color w:val="auto"/>
        </w:rPr>
        <w:t>Committee receive an annual retainer of $75,000. The Chair of the Audit Committee receives an attendance fee of $1,500 for telephonic</w:t>
      </w:r>
    </w:p>
    <w:p>
      <w:pPr>
        <w:ind w:left="120"/>
        <w:spacing w:after="0" w:line="235" w:lineRule="auto"/>
        <w:rPr>
          <w:sz w:val="20"/>
          <w:szCs w:val="20"/>
          <w:color w:val="auto"/>
        </w:rPr>
      </w:pPr>
      <w:r>
        <w:rPr>
          <w:rFonts w:ascii="Arial" w:cs="Arial" w:eastAsia="Arial" w:hAnsi="Arial"/>
          <w:sz w:val="18"/>
          <w:szCs w:val="18"/>
          <w:color w:val="auto"/>
        </w:rPr>
        <w:t>meetings and $2,500 for in-person meetings of the Compliance Committee. The Chair of the Board receives an annual retainer of</w:t>
      </w:r>
    </w:p>
    <w:p>
      <w:pPr>
        <w:ind w:left="120"/>
        <w:spacing w:after="0" w:line="234" w:lineRule="auto"/>
        <w:rPr>
          <w:sz w:val="20"/>
          <w:szCs w:val="20"/>
          <w:color w:val="auto"/>
        </w:rPr>
      </w:pPr>
      <w:r>
        <w:rPr>
          <w:rFonts w:ascii="Arial" w:cs="Arial" w:eastAsia="Arial" w:hAnsi="Arial"/>
          <w:sz w:val="18"/>
          <w:szCs w:val="18"/>
          <w:color w:val="auto"/>
        </w:rPr>
        <w:t>$100,000. All directors are provided complimentary room, food and beverage privileges at our properties and are reimbursed for any other</w:t>
      </w:r>
    </w:p>
    <w:p>
      <w:pPr>
        <w:ind w:left="120"/>
        <w:spacing w:after="0" w:line="235" w:lineRule="auto"/>
        <w:rPr>
          <w:sz w:val="20"/>
          <w:szCs w:val="20"/>
          <w:color w:val="auto"/>
        </w:rPr>
      </w:pPr>
      <w:r>
        <w:rPr>
          <w:rFonts w:ascii="Arial" w:cs="Arial" w:eastAsia="Arial" w:hAnsi="Arial"/>
          <w:sz w:val="18"/>
          <w:szCs w:val="18"/>
          <w:color w:val="auto"/>
        </w:rPr>
        <w:t>out-of-pocket expenses related to their attendance at Board or Committee meetings or other corporate events. Directors from time to time</w:t>
      </w:r>
    </w:p>
    <w:p>
      <w:pPr>
        <w:ind w:left="120"/>
        <w:spacing w:after="0" w:line="235" w:lineRule="auto"/>
        <w:rPr>
          <w:sz w:val="20"/>
          <w:szCs w:val="20"/>
          <w:color w:val="auto"/>
        </w:rPr>
      </w:pPr>
      <w:r>
        <w:rPr>
          <w:rFonts w:ascii="Arial" w:cs="Arial" w:eastAsia="Arial" w:hAnsi="Arial"/>
          <w:sz w:val="18"/>
          <w:szCs w:val="18"/>
          <w:color w:val="auto"/>
        </w:rPr>
        <w:t>may receive other benefits as discussed in the table below under “All Other Compensation.” The Company does not provide non-equity</w:t>
      </w:r>
    </w:p>
    <w:p>
      <w:pPr>
        <w:ind w:left="120"/>
        <w:spacing w:after="0"/>
        <w:rPr>
          <w:sz w:val="20"/>
          <w:szCs w:val="20"/>
          <w:color w:val="auto"/>
        </w:rPr>
      </w:pPr>
      <w:r>
        <w:rPr>
          <w:rFonts w:ascii="Arial" w:cs="Arial" w:eastAsia="Arial" w:hAnsi="Arial"/>
          <w:sz w:val="18"/>
          <w:szCs w:val="18"/>
          <w:color w:val="auto"/>
        </w:rPr>
        <w:t>incentive plan awards or deferred compensation or retirement plans for non-employee directors.</w:t>
      </w:r>
    </w:p>
    <w:p>
      <w:pPr>
        <w:spacing w:after="0" w:line="55" w:lineRule="exact"/>
        <w:rPr>
          <w:sz w:val="20"/>
          <w:szCs w:val="20"/>
          <w:color w:val="auto"/>
        </w:rPr>
      </w:pPr>
    </w:p>
    <w:p>
      <w:pPr>
        <w:ind w:left="800" w:hanging="684"/>
        <w:spacing w:after="0"/>
        <w:tabs>
          <w:tab w:leader="none" w:pos="800" w:val="left"/>
        </w:tabs>
        <w:numPr>
          <w:ilvl w:val="0"/>
          <w:numId w:val="33"/>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20"/>
          </w:cols>
          <w:pgMar w:left="320" w:top="459" w:right="45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1C8C4F"/>
        </w:rPr>
        <w:t>NON-EMPLOYEE DIRECTOR COMPENSATION TABLE</w:t>
      </w:r>
    </w:p>
    <w:p>
      <w:pPr>
        <w:spacing w:after="0" w:line="1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The table below summarizes the total compensation awarded to, earned by or paid to each of the non-employee directors for the fiscal year ended December 31, 2020. Mr. Maddox receives no compensation for his service as a director and, therefore, is not included in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21170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2117090"/>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180" w:type="dxa"/>
            <w:vAlign w:val="bottom"/>
            <w:shd w:val="clear" w:color="auto" w:fill="1C8C4F"/>
          </w:tcPr>
          <w:p>
            <w:pPr>
              <w:spacing w:after="0"/>
              <w:rPr>
                <w:sz w:val="17"/>
                <w:szCs w:val="17"/>
                <w:color w:val="auto"/>
              </w:rPr>
            </w:pPr>
          </w:p>
        </w:tc>
        <w:tc>
          <w:tcPr>
            <w:tcW w:w="2060" w:type="dxa"/>
            <w:vAlign w:val="bottom"/>
            <w:shd w:val="clear" w:color="auto" w:fill="1C8C4F"/>
          </w:tcPr>
          <w:p>
            <w:pPr>
              <w:spacing w:after="0"/>
              <w:rPr>
                <w:sz w:val="17"/>
                <w:szCs w:val="17"/>
                <w:color w:val="auto"/>
              </w:rPr>
            </w:pPr>
          </w:p>
        </w:tc>
        <w:tc>
          <w:tcPr>
            <w:tcW w:w="1680" w:type="dxa"/>
            <w:vAlign w:val="bottom"/>
            <w:shd w:val="clear" w:color="auto" w:fill="1C8C4F"/>
          </w:tcPr>
          <w:p>
            <w:pPr>
              <w:spacing w:after="0"/>
              <w:rPr>
                <w:sz w:val="17"/>
                <w:szCs w:val="17"/>
                <w:color w:val="auto"/>
              </w:rPr>
            </w:pPr>
          </w:p>
        </w:tc>
        <w:tc>
          <w:tcPr>
            <w:tcW w:w="880" w:type="dxa"/>
            <w:vAlign w:val="bottom"/>
            <w:shd w:val="clear" w:color="auto" w:fill="1C8C4F"/>
          </w:tcPr>
          <w:p>
            <w:pPr>
              <w:jc w:val="right"/>
              <w:ind w:right="108"/>
              <w:spacing w:after="0"/>
              <w:rPr>
                <w:sz w:val="20"/>
                <w:szCs w:val="20"/>
                <w:color w:val="auto"/>
              </w:rPr>
            </w:pPr>
            <w:r>
              <w:rPr>
                <w:rFonts w:ascii="Arial" w:cs="Arial" w:eastAsia="Arial" w:hAnsi="Arial"/>
                <w:sz w:val="14"/>
                <w:szCs w:val="14"/>
                <w:b w:val="1"/>
                <w:bCs w:val="1"/>
                <w:color w:val="FFFFFF"/>
              </w:rPr>
              <w:t>OPTION</w:t>
            </w:r>
          </w:p>
        </w:tc>
        <w:tc>
          <w:tcPr>
            <w:tcW w:w="1320" w:type="dxa"/>
            <w:vAlign w:val="bottom"/>
            <w:shd w:val="clear" w:color="auto" w:fill="1C8C4F"/>
          </w:tcPr>
          <w:p>
            <w:pPr>
              <w:jc w:val="center"/>
              <w:ind w:left="68"/>
              <w:spacing w:after="0"/>
              <w:rPr>
                <w:sz w:val="20"/>
                <w:szCs w:val="20"/>
                <w:color w:val="auto"/>
              </w:rPr>
            </w:pPr>
            <w:r>
              <w:rPr>
                <w:rFonts w:ascii="Arial" w:cs="Arial" w:eastAsia="Arial" w:hAnsi="Arial"/>
                <w:sz w:val="14"/>
                <w:szCs w:val="14"/>
                <w:b w:val="1"/>
                <w:bCs w:val="1"/>
                <w:color w:val="FFFFFF"/>
              </w:rPr>
              <w:t>ALL OTHER</w:t>
            </w:r>
          </w:p>
        </w:tc>
        <w:tc>
          <w:tcPr>
            <w:tcW w:w="420" w:type="dxa"/>
            <w:vAlign w:val="bottom"/>
            <w:shd w:val="clear" w:color="auto" w:fill="1C8C4F"/>
          </w:tcPr>
          <w:p>
            <w:pPr>
              <w:spacing w:after="0"/>
              <w:rPr>
                <w:sz w:val="17"/>
                <w:szCs w:val="17"/>
                <w:color w:val="auto"/>
              </w:rPr>
            </w:pPr>
          </w:p>
        </w:tc>
        <w:tc>
          <w:tcPr>
            <w:tcW w:w="1480" w:type="dxa"/>
            <w:vAlign w:val="bottom"/>
            <w:shd w:val="clear" w:color="auto" w:fill="1C8C4F"/>
          </w:tcPr>
          <w:p>
            <w:pPr>
              <w:spacing w:after="0"/>
              <w:rPr>
                <w:sz w:val="17"/>
                <w:szCs w:val="17"/>
                <w:color w:val="auto"/>
              </w:rPr>
            </w:pPr>
          </w:p>
        </w:tc>
      </w:tr>
      <w:tr>
        <w:trPr>
          <w:trHeight w:val="162"/>
        </w:trPr>
        <w:tc>
          <w:tcPr>
            <w:tcW w:w="3180" w:type="dxa"/>
            <w:vAlign w:val="bottom"/>
            <w:shd w:val="clear" w:color="auto" w:fill="1C8C4F"/>
          </w:tcPr>
          <w:p>
            <w:pPr>
              <w:spacing w:after="0"/>
              <w:rPr>
                <w:sz w:val="14"/>
                <w:szCs w:val="14"/>
                <w:color w:val="auto"/>
              </w:rPr>
            </w:pPr>
          </w:p>
        </w:tc>
        <w:tc>
          <w:tcPr>
            <w:tcW w:w="2060" w:type="dxa"/>
            <w:vAlign w:val="bottom"/>
            <w:shd w:val="clear" w:color="auto" w:fill="1C8C4F"/>
          </w:tcPr>
          <w:p>
            <w:pPr>
              <w:jc w:val="right"/>
              <w:ind w:right="348"/>
              <w:spacing w:after="0"/>
              <w:rPr>
                <w:sz w:val="20"/>
                <w:szCs w:val="20"/>
                <w:color w:val="auto"/>
              </w:rPr>
            </w:pPr>
            <w:r>
              <w:rPr>
                <w:rFonts w:ascii="Arial" w:cs="Arial" w:eastAsia="Arial" w:hAnsi="Arial"/>
                <w:sz w:val="14"/>
                <w:szCs w:val="14"/>
                <w:b w:val="1"/>
                <w:bCs w:val="1"/>
                <w:color w:val="FFFFFF"/>
              </w:rPr>
              <w:t>FEES EARNED OR</w:t>
            </w:r>
          </w:p>
        </w:tc>
        <w:tc>
          <w:tcPr>
            <w:tcW w:w="1680" w:type="dxa"/>
            <w:vAlign w:val="bottom"/>
            <w:shd w:val="clear" w:color="auto" w:fill="1C8C4F"/>
          </w:tcPr>
          <w:p>
            <w:pPr>
              <w:jc w:val="right"/>
              <w:ind w:right="508"/>
              <w:spacing w:after="0"/>
              <w:rPr>
                <w:sz w:val="20"/>
                <w:szCs w:val="20"/>
                <w:color w:val="auto"/>
              </w:rPr>
            </w:pPr>
            <w:r>
              <w:rPr>
                <w:rFonts w:ascii="Arial" w:cs="Arial" w:eastAsia="Arial" w:hAnsi="Arial"/>
                <w:sz w:val="14"/>
                <w:szCs w:val="14"/>
                <w:b w:val="1"/>
                <w:bCs w:val="1"/>
                <w:color w:val="FFFFFF"/>
              </w:rPr>
              <w:t>STOCK</w:t>
            </w:r>
          </w:p>
        </w:tc>
        <w:tc>
          <w:tcPr>
            <w:tcW w:w="880" w:type="dxa"/>
            <w:vAlign w:val="bottom"/>
            <w:shd w:val="clear" w:color="auto" w:fill="1C8C4F"/>
          </w:tcPr>
          <w:p>
            <w:pPr>
              <w:jc w:val="right"/>
              <w:ind w:right="68"/>
              <w:spacing w:after="0"/>
              <w:rPr>
                <w:sz w:val="20"/>
                <w:szCs w:val="20"/>
                <w:color w:val="auto"/>
              </w:rPr>
            </w:pPr>
            <w:r>
              <w:rPr>
                <w:rFonts w:ascii="Arial" w:cs="Arial" w:eastAsia="Arial" w:hAnsi="Arial"/>
                <w:sz w:val="14"/>
                <w:szCs w:val="14"/>
                <w:b w:val="1"/>
                <w:bCs w:val="1"/>
                <w:color w:val="FFFFFF"/>
              </w:rPr>
              <w:t>AWARDS</w:t>
            </w:r>
          </w:p>
        </w:tc>
        <w:tc>
          <w:tcPr>
            <w:tcW w:w="1320" w:type="dxa"/>
            <w:vAlign w:val="bottom"/>
            <w:shd w:val="clear" w:color="auto" w:fill="1C8C4F"/>
          </w:tcPr>
          <w:p>
            <w:pPr>
              <w:jc w:val="center"/>
              <w:ind w:left="88"/>
              <w:spacing w:after="0"/>
              <w:rPr>
                <w:sz w:val="20"/>
                <w:szCs w:val="20"/>
                <w:color w:val="auto"/>
              </w:rPr>
            </w:pPr>
            <w:r>
              <w:rPr>
                <w:rFonts w:ascii="Arial" w:cs="Arial" w:eastAsia="Arial" w:hAnsi="Arial"/>
                <w:sz w:val="14"/>
                <w:szCs w:val="14"/>
                <w:b w:val="1"/>
                <w:bCs w:val="1"/>
                <w:color w:val="FFFFFF"/>
              </w:rPr>
              <w:t>COMPENSATION</w:t>
            </w:r>
          </w:p>
        </w:tc>
        <w:tc>
          <w:tcPr>
            <w:tcW w:w="420" w:type="dxa"/>
            <w:vAlign w:val="bottom"/>
            <w:shd w:val="clear" w:color="auto" w:fill="1C8C4F"/>
          </w:tcPr>
          <w:p>
            <w:pPr>
              <w:spacing w:after="0"/>
              <w:rPr>
                <w:sz w:val="14"/>
                <w:szCs w:val="14"/>
                <w:color w:val="auto"/>
              </w:rPr>
            </w:pPr>
          </w:p>
        </w:tc>
        <w:tc>
          <w:tcPr>
            <w:tcW w:w="1480" w:type="dxa"/>
            <w:vAlign w:val="bottom"/>
            <w:shd w:val="clear" w:color="auto" w:fill="1C8C4F"/>
          </w:tcPr>
          <w:p>
            <w:pPr>
              <w:spacing w:after="0"/>
              <w:rPr>
                <w:sz w:val="14"/>
                <w:szCs w:val="14"/>
                <w:color w:val="auto"/>
              </w:rPr>
            </w:pPr>
          </w:p>
        </w:tc>
      </w:tr>
      <w:tr>
        <w:trPr>
          <w:trHeight w:val="204"/>
        </w:trPr>
        <w:tc>
          <w:tcPr>
            <w:tcW w:w="3180" w:type="dxa"/>
            <w:vAlign w:val="bottom"/>
            <w:shd w:val="clear" w:color="auto" w:fill="1C8C4F"/>
          </w:tcPr>
          <w:p>
            <w:pPr>
              <w:ind w:left="60"/>
              <w:spacing w:after="0"/>
              <w:rPr>
                <w:sz w:val="20"/>
                <w:szCs w:val="20"/>
                <w:color w:val="auto"/>
              </w:rPr>
            </w:pPr>
            <w:r>
              <w:rPr>
                <w:rFonts w:ascii="Arial" w:cs="Arial" w:eastAsia="Arial" w:hAnsi="Arial"/>
                <w:sz w:val="14"/>
                <w:szCs w:val="14"/>
                <w:b w:val="1"/>
                <w:bCs w:val="1"/>
                <w:color w:val="FFFFFF"/>
              </w:rPr>
              <w:t>NAME</w:t>
            </w:r>
          </w:p>
        </w:tc>
        <w:tc>
          <w:tcPr>
            <w:tcW w:w="2060" w:type="dxa"/>
            <w:vAlign w:val="bottom"/>
            <w:shd w:val="clear" w:color="auto" w:fill="1C8C4F"/>
          </w:tcPr>
          <w:p>
            <w:pPr>
              <w:jc w:val="right"/>
              <w:ind w:right="308"/>
              <w:spacing w:after="0"/>
              <w:rPr>
                <w:sz w:val="20"/>
                <w:szCs w:val="20"/>
                <w:color w:val="auto"/>
              </w:rPr>
            </w:pPr>
            <w:r>
              <w:rPr>
                <w:rFonts w:ascii="Arial" w:cs="Arial" w:eastAsia="Arial" w:hAnsi="Arial"/>
                <w:sz w:val="14"/>
                <w:szCs w:val="14"/>
                <w:b w:val="1"/>
                <w:bCs w:val="1"/>
                <w:color w:val="FFFFFF"/>
              </w:rPr>
              <w:t>PAID IN CASH($) (1)</w:t>
            </w:r>
          </w:p>
        </w:tc>
        <w:tc>
          <w:tcPr>
            <w:tcW w:w="1680" w:type="dxa"/>
            <w:vAlign w:val="bottom"/>
            <w:shd w:val="clear" w:color="auto" w:fill="1C8C4F"/>
          </w:tcPr>
          <w:p>
            <w:pPr>
              <w:jc w:val="right"/>
              <w:ind w:right="168"/>
              <w:spacing w:after="0"/>
              <w:rPr>
                <w:sz w:val="20"/>
                <w:szCs w:val="20"/>
                <w:color w:val="auto"/>
              </w:rPr>
            </w:pPr>
            <w:r>
              <w:rPr>
                <w:rFonts w:ascii="Arial" w:cs="Arial" w:eastAsia="Arial" w:hAnsi="Arial"/>
                <w:sz w:val="14"/>
                <w:szCs w:val="14"/>
                <w:b w:val="1"/>
                <w:bCs w:val="1"/>
                <w:color w:val="FFFFFF"/>
              </w:rPr>
              <w:t>AWARDS($) (1)(2)</w:t>
            </w:r>
          </w:p>
        </w:tc>
        <w:tc>
          <w:tcPr>
            <w:tcW w:w="880" w:type="dxa"/>
            <w:vAlign w:val="bottom"/>
            <w:shd w:val="clear" w:color="auto" w:fill="1C8C4F"/>
          </w:tcPr>
          <w:p>
            <w:pPr>
              <w:jc w:val="right"/>
              <w:ind w:right="188"/>
              <w:spacing w:after="0"/>
              <w:rPr>
                <w:sz w:val="20"/>
                <w:szCs w:val="20"/>
                <w:color w:val="auto"/>
              </w:rPr>
            </w:pPr>
            <w:r>
              <w:rPr>
                <w:rFonts w:ascii="Arial" w:cs="Arial" w:eastAsia="Arial" w:hAnsi="Arial"/>
                <w:sz w:val="14"/>
                <w:szCs w:val="14"/>
                <w:b w:val="1"/>
                <w:bCs w:val="1"/>
                <w:color w:val="FFFFFF"/>
              </w:rPr>
              <w:t>($) (3)</w:t>
            </w:r>
          </w:p>
        </w:tc>
        <w:tc>
          <w:tcPr>
            <w:tcW w:w="1320" w:type="dxa"/>
            <w:vAlign w:val="bottom"/>
            <w:shd w:val="clear" w:color="auto" w:fill="1C8C4F"/>
          </w:tcPr>
          <w:p>
            <w:pPr>
              <w:jc w:val="center"/>
              <w:ind w:left="88"/>
              <w:spacing w:after="0"/>
              <w:rPr>
                <w:sz w:val="20"/>
                <w:szCs w:val="20"/>
                <w:color w:val="auto"/>
              </w:rPr>
            </w:pPr>
            <w:r>
              <w:rPr>
                <w:rFonts w:ascii="Arial" w:cs="Arial" w:eastAsia="Arial" w:hAnsi="Arial"/>
                <w:sz w:val="14"/>
                <w:szCs w:val="14"/>
                <w:b w:val="1"/>
                <w:bCs w:val="1"/>
                <w:color w:val="FFFFFF"/>
              </w:rPr>
              <w:t>($) (4)</w:t>
            </w:r>
          </w:p>
        </w:tc>
        <w:tc>
          <w:tcPr>
            <w:tcW w:w="420" w:type="dxa"/>
            <w:vAlign w:val="bottom"/>
            <w:shd w:val="clear" w:color="auto" w:fill="1C8C4F"/>
          </w:tcPr>
          <w:p>
            <w:pPr>
              <w:spacing w:after="0"/>
              <w:rPr>
                <w:sz w:val="17"/>
                <w:szCs w:val="17"/>
                <w:color w:val="auto"/>
              </w:rPr>
            </w:pPr>
          </w:p>
        </w:tc>
        <w:tc>
          <w:tcPr>
            <w:tcW w:w="1480" w:type="dxa"/>
            <w:vAlign w:val="bottom"/>
            <w:shd w:val="clear" w:color="auto" w:fill="1C8C4F"/>
          </w:tcPr>
          <w:p>
            <w:pPr>
              <w:jc w:val="right"/>
              <w:ind w:right="428"/>
              <w:spacing w:after="0"/>
              <w:rPr>
                <w:sz w:val="20"/>
                <w:szCs w:val="20"/>
                <w:color w:val="auto"/>
              </w:rPr>
            </w:pPr>
            <w:r>
              <w:rPr>
                <w:rFonts w:ascii="Arial" w:cs="Arial" w:eastAsia="Arial" w:hAnsi="Arial"/>
                <w:sz w:val="14"/>
                <w:szCs w:val="14"/>
                <w:b w:val="1"/>
                <w:bCs w:val="1"/>
                <w:color w:val="FFFFFF"/>
              </w:rPr>
              <w:t>TOTAL($)</w:t>
            </w:r>
          </w:p>
        </w:tc>
      </w:tr>
      <w:tr>
        <w:trPr>
          <w:trHeight w:val="93"/>
        </w:trPr>
        <w:tc>
          <w:tcPr>
            <w:tcW w:w="3180" w:type="dxa"/>
            <w:vAlign w:val="bottom"/>
            <w:shd w:val="clear" w:color="auto" w:fill="1C8C4F"/>
          </w:tcPr>
          <w:p>
            <w:pPr>
              <w:spacing w:after="0"/>
              <w:rPr>
                <w:sz w:val="8"/>
                <w:szCs w:val="8"/>
                <w:color w:val="auto"/>
              </w:rPr>
            </w:pPr>
          </w:p>
        </w:tc>
        <w:tc>
          <w:tcPr>
            <w:tcW w:w="2060" w:type="dxa"/>
            <w:vAlign w:val="bottom"/>
            <w:shd w:val="clear" w:color="auto" w:fill="1C8C4F"/>
          </w:tcPr>
          <w:p>
            <w:pPr>
              <w:spacing w:after="0"/>
              <w:rPr>
                <w:sz w:val="8"/>
                <w:szCs w:val="8"/>
                <w:color w:val="auto"/>
              </w:rPr>
            </w:pPr>
          </w:p>
        </w:tc>
        <w:tc>
          <w:tcPr>
            <w:tcW w:w="1680" w:type="dxa"/>
            <w:vAlign w:val="bottom"/>
            <w:shd w:val="clear" w:color="auto" w:fill="1C8C4F"/>
          </w:tcPr>
          <w:p>
            <w:pPr>
              <w:spacing w:after="0"/>
              <w:rPr>
                <w:sz w:val="8"/>
                <w:szCs w:val="8"/>
                <w:color w:val="auto"/>
              </w:rPr>
            </w:pPr>
          </w:p>
        </w:tc>
        <w:tc>
          <w:tcPr>
            <w:tcW w:w="880" w:type="dxa"/>
            <w:vAlign w:val="bottom"/>
            <w:shd w:val="clear" w:color="auto" w:fill="1C8C4F"/>
          </w:tcPr>
          <w:p>
            <w:pPr>
              <w:spacing w:after="0"/>
              <w:rPr>
                <w:sz w:val="8"/>
                <w:szCs w:val="8"/>
                <w:color w:val="auto"/>
              </w:rPr>
            </w:pPr>
          </w:p>
        </w:tc>
        <w:tc>
          <w:tcPr>
            <w:tcW w:w="1740" w:type="dxa"/>
            <w:vAlign w:val="bottom"/>
            <w:gridSpan w:val="2"/>
            <w:shd w:val="clear" w:color="auto" w:fill="1C8C4F"/>
          </w:tcPr>
          <w:p>
            <w:pPr>
              <w:spacing w:after="0"/>
              <w:rPr>
                <w:sz w:val="8"/>
                <w:szCs w:val="8"/>
                <w:color w:val="auto"/>
              </w:rPr>
            </w:pPr>
          </w:p>
        </w:tc>
        <w:tc>
          <w:tcPr>
            <w:tcW w:w="1480" w:type="dxa"/>
            <w:vAlign w:val="bottom"/>
            <w:shd w:val="clear" w:color="auto" w:fill="1C8C4F"/>
          </w:tcPr>
          <w:p>
            <w:pPr>
              <w:spacing w:after="0"/>
              <w:rPr>
                <w:sz w:val="8"/>
                <w:szCs w:val="8"/>
                <w:color w:val="auto"/>
              </w:rPr>
            </w:pPr>
          </w:p>
        </w:tc>
      </w:tr>
      <w:tr>
        <w:trPr>
          <w:trHeight w:val="277"/>
        </w:trPr>
        <w:tc>
          <w:tcPr>
            <w:tcW w:w="3180" w:type="dxa"/>
            <w:vAlign w:val="bottom"/>
            <w:tcBorders>
              <w:bottom w:val="single" w:sz="8" w:color="F4F9D8"/>
            </w:tcBorders>
            <w:shd w:val="clear" w:color="auto" w:fill="F4F9D8"/>
          </w:tcPr>
          <w:p>
            <w:pPr>
              <w:ind w:left="60"/>
              <w:spacing w:after="0"/>
              <w:rPr>
                <w:sz w:val="20"/>
                <w:szCs w:val="20"/>
                <w:color w:val="auto"/>
              </w:rPr>
            </w:pPr>
            <w:r>
              <w:rPr>
                <w:rFonts w:ascii="Arial" w:cs="Arial" w:eastAsia="Arial" w:hAnsi="Arial"/>
                <w:sz w:val="14"/>
                <w:szCs w:val="14"/>
                <w:color w:val="auto"/>
              </w:rPr>
              <w:t>Betsy S. Atkins</w:t>
            </w:r>
          </w:p>
        </w:tc>
        <w:tc>
          <w:tcPr>
            <w:tcW w:w="2060" w:type="dxa"/>
            <w:vAlign w:val="bottom"/>
            <w:tcBorders>
              <w:bottom w:val="single" w:sz="8" w:color="F4F9D8"/>
            </w:tcBorders>
            <w:shd w:val="clear" w:color="auto" w:fill="F4F9D8"/>
          </w:tcPr>
          <w:p>
            <w:pPr>
              <w:jc w:val="right"/>
              <w:ind w:right="168"/>
              <w:spacing w:after="0"/>
              <w:rPr>
                <w:sz w:val="20"/>
                <w:szCs w:val="20"/>
                <w:color w:val="auto"/>
              </w:rPr>
            </w:pPr>
            <w:r>
              <w:rPr>
                <w:rFonts w:ascii="Arial" w:cs="Arial" w:eastAsia="Arial" w:hAnsi="Arial"/>
                <w:sz w:val="14"/>
                <w:szCs w:val="14"/>
                <w:color w:val="auto"/>
              </w:rPr>
              <w:t>$142,500</w:t>
            </w:r>
          </w:p>
        </w:tc>
        <w:tc>
          <w:tcPr>
            <w:tcW w:w="1680" w:type="dxa"/>
            <w:vAlign w:val="bottom"/>
            <w:tcBorders>
              <w:bottom w:val="single" w:sz="8" w:color="F4F9D8"/>
            </w:tcBorders>
            <w:shd w:val="clear" w:color="auto" w:fill="F4F9D8"/>
          </w:tcPr>
          <w:p>
            <w:pPr>
              <w:jc w:val="right"/>
              <w:ind w:right="48"/>
              <w:spacing w:after="0"/>
              <w:rPr>
                <w:sz w:val="20"/>
                <w:szCs w:val="20"/>
                <w:color w:val="auto"/>
              </w:rPr>
            </w:pPr>
            <w:r>
              <w:rPr>
                <w:rFonts w:ascii="Arial" w:cs="Arial" w:eastAsia="Arial" w:hAnsi="Arial"/>
                <w:sz w:val="14"/>
                <w:szCs w:val="14"/>
                <w:color w:val="auto"/>
              </w:rPr>
              <w:t>$258,538</w:t>
            </w:r>
          </w:p>
        </w:tc>
        <w:tc>
          <w:tcPr>
            <w:tcW w:w="880" w:type="dxa"/>
            <w:vAlign w:val="bottom"/>
            <w:tcBorders>
              <w:bottom w:val="single" w:sz="8" w:color="F4F9D8"/>
            </w:tcBorders>
            <w:shd w:val="clear" w:color="auto" w:fill="F4F9D8"/>
          </w:tcPr>
          <w:p>
            <w:pPr>
              <w:jc w:val="right"/>
              <w:ind w:right="2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F4F9D8"/>
            </w:tcBorders>
            <w:gridSpan w:val="2"/>
            <w:shd w:val="clear" w:color="auto" w:fill="F4F9D8"/>
          </w:tcPr>
          <w:p>
            <w:pPr>
              <w:jc w:val="right"/>
              <w:ind w:right="288"/>
              <w:spacing w:after="0"/>
              <w:rPr>
                <w:sz w:val="20"/>
                <w:szCs w:val="20"/>
                <w:color w:val="auto"/>
              </w:rPr>
            </w:pPr>
            <w:r>
              <w:rPr>
                <w:rFonts w:ascii="Arial" w:cs="Arial" w:eastAsia="Arial" w:hAnsi="Arial"/>
                <w:sz w:val="14"/>
                <w:szCs w:val="14"/>
                <w:color w:val="auto"/>
              </w:rPr>
              <w:t>$2,750</w:t>
            </w:r>
          </w:p>
        </w:tc>
        <w:tc>
          <w:tcPr>
            <w:tcW w:w="1480" w:type="dxa"/>
            <w:vAlign w:val="bottom"/>
            <w:tcBorders>
              <w:bottom w:val="single" w:sz="8" w:color="F4F9D8"/>
            </w:tcBorders>
            <w:shd w:val="clear" w:color="auto" w:fill="F4F9D8"/>
          </w:tcPr>
          <w:p>
            <w:pPr>
              <w:jc w:val="right"/>
              <w:ind w:right="108"/>
              <w:spacing w:after="0"/>
              <w:rPr>
                <w:sz w:val="20"/>
                <w:szCs w:val="20"/>
                <w:color w:val="auto"/>
              </w:rPr>
            </w:pPr>
            <w:r>
              <w:rPr>
                <w:rFonts w:ascii="Arial" w:cs="Arial" w:eastAsia="Arial" w:hAnsi="Arial"/>
                <w:sz w:val="14"/>
                <w:szCs w:val="14"/>
                <w:color w:val="auto"/>
              </w:rPr>
              <w:t>$403,788</w:t>
            </w:r>
          </w:p>
        </w:tc>
      </w:tr>
      <w:tr>
        <w:trPr>
          <w:trHeight w:val="244"/>
        </w:trPr>
        <w:tc>
          <w:tcPr>
            <w:tcW w:w="3180" w:type="dxa"/>
            <w:vAlign w:val="bottom"/>
          </w:tcPr>
          <w:p>
            <w:pPr>
              <w:ind w:left="60"/>
              <w:spacing w:after="0"/>
              <w:rPr>
                <w:sz w:val="20"/>
                <w:szCs w:val="20"/>
                <w:color w:val="auto"/>
              </w:rPr>
            </w:pPr>
            <w:r>
              <w:rPr>
                <w:rFonts w:ascii="Arial" w:cs="Arial" w:eastAsia="Arial" w:hAnsi="Arial"/>
                <w:sz w:val="14"/>
                <w:szCs w:val="14"/>
                <w:color w:val="auto"/>
              </w:rPr>
              <w:t>Richard J. Byrne</w:t>
            </w:r>
          </w:p>
        </w:tc>
        <w:tc>
          <w:tcPr>
            <w:tcW w:w="2060" w:type="dxa"/>
            <w:vAlign w:val="bottom"/>
          </w:tcPr>
          <w:p>
            <w:pPr>
              <w:jc w:val="right"/>
              <w:ind w:right="168"/>
              <w:spacing w:after="0"/>
              <w:rPr>
                <w:sz w:val="20"/>
                <w:szCs w:val="20"/>
                <w:color w:val="auto"/>
              </w:rPr>
            </w:pPr>
            <w:r>
              <w:rPr>
                <w:rFonts w:ascii="Arial" w:cs="Arial" w:eastAsia="Arial" w:hAnsi="Arial"/>
                <w:sz w:val="14"/>
                <w:szCs w:val="14"/>
                <w:color w:val="auto"/>
              </w:rPr>
              <w:t>$138,000</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$258,538</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288"/>
              <w:spacing w:after="0"/>
              <w:rPr>
                <w:sz w:val="20"/>
                <w:szCs w:val="20"/>
                <w:color w:val="auto"/>
              </w:rPr>
            </w:pPr>
            <w:r>
              <w:rPr>
                <w:rFonts w:ascii="Arial" w:cs="Arial" w:eastAsia="Arial" w:hAnsi="Arial"/>
                <w:sz w:val="14"/>
                <w:szCs w:val="14"/>
                <w:color w:val="auto"/>
              </w:rPr>
              <w:t>$1,768</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$398,306</w:t>
            </w:r>
          </w:p>
        </w:tc>
      </w:tr>
      <w:tr>
        <w:trPr>
          <w:trHeight w:val="53"/>
        </w:trPr>
        <w:tc>
          <w:tcPr>
            <w:tcW w:w="3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1480" w:type="dxa"/>
            <w:vAlign w:val="bottom"/>
          </w:tcPr>
          <w:p>
            <w:pPr>
              <w:spacing w:after="0"/>
              <w:rPr>
                <w:sz w:val="4"/>
                <w:szCs w:val="4"/>
                <w:color w:val="auto"/>
              </w:rPr>
            </w:pPr>
          </w:p>
        </w:tc>
      </w:tr>
      <w:tr>
        <w:trPr>
          <w:trHeight w:val="277"/>
        </w:trPr>
        <w:tc>
          <w:tcPr>
            <w:tcW w:w="3180" w:type="dxa"/>
            <w:vAlign w:val="bottom"/>
            <w:tcBorders>
              <w:bottom w:val="single" w:sz="8" w:color="F4F9D8"/>
            </w:tcBorders>
            <w:shd w:val="clear" w:color="auto" w:fill="F4F9D8"/>
          </w:tcPr>
          <w:p>
            <w:pPr>
              <w:ind w:left="60"/>
              <w:spacing w:after="0"/>
              <w:rPr>
                <w:sz w:val="20"/>
                <w:szCs w:val="20"/>
                <w:color w:val="auto"/>
              </w:rPr>
            </w:pPr>
            <w:r>
              <w:rPr>
                <w:rFonts w:ascii="Arial" w:cs="Arial" w:eastAsia="Arial" w:hAnsi="Arial"/>
                <w:sz w:val="14"/>
                <w:szCs w:val="14"/>
                <w:color w:val="auto"/>
              </w:rPr>
              <w:t>Jay L. Johnson</w:t>
            </w:r>
          </w:p>
        </w:tc>
        <w:tc>
          <w:tcPr>
            <w:tcW w:w="2060" w:type="dxa"/>
            <w:vAlign w:val="bottom"/>
            <w:tcBorders>
              <w:bottom w:val="single" w:sz="8" w:color="F4F9D8"/>
            </w:tcBorders>
            <w:shd w:val="clear" w:color="auto" w:fill="F4F9D8"/>
          </w:tcPr>
          <w:p>
            <w:pPr>
              <w:jc w:val="right"/>
              <w:ind w:right="168"/>
              <w:spacing w:after="0"/>
              <w:rPr>
                <w:sz w:val="20"/>
                <w:szCs w:val="20"/>
                <w:color w:val="auto"/>
              </w:rPr>
            </w:pPr>
            <w:r>
              <w:rPr>
                <w:rFonts w:ascii="Arial" w:cs="Arial" w:eastAsia="Arial" w:hAnsi="Arial"/>
                <w:sz w:val="14"/>
                <w:szCs w:val="14"/>
                <w:color w:val="auto"/>
              </w:rPr>
              <w:t>$130,750</w:t>
            </w:r>
          </w:p>
        </w:tc>
        <w:tc>
          <w:tcPr>
            <w:tcW w:w="1680" w:type="dxa"/>
            <w:vAlign w:val="bottom"/>
            <w:tcBorders>
              <w:bottom w:val="single" w:sz="8" w:color="F4F9D8"/>
            </w:tcBorders>
            <w:shd w:val="clear" w:color="auto" w:fill="F4F9D8"/>
          </w:tcPr>
          <w:p>
            <w:pPr>
              <w:jc w:val="right"/>
              <w:ind w:right="48"/>
              <w:spacing w:after="0"/>
              <w:rPr>
                <w:sz w:val="20"/>
                <w:szCs w:val="20"/>
                <w:color w:val="auto"/>
              </w:rPr>
            </w:pPr>
            <w:r>
              <w:rPr>
                <w:rFonts w:ascii="Arial" w:cs="Arial" w:eastAsia="Arial" w:hAnsi="Arial"/>
                <w:sz w:val="14"/>
                <w:szCs w:val="14"/>
                <w:color w:val="auto"/>
              </w:rPr>
              <w:t>$258,538</w:t>
            </w:r>
          </w:p>
        </w:tc>
        <w:tc>
          <w:tcPr>
            <w:tcW w:w="880" w:type="dxa"/>
            <w:vAlign w:val="bottom"/>
            <w:tcBorders>
              <w:bottom w:val="single" w:sz="8" w:color="F4F9D8"/>
            </w:tcBorders>
            <w:shd w:val="clear" w:color="auto" w:fill="F4F9D8"/>
          </w:tcPr>
          <w:p>
            <w:pPr>
              <w:jc w:val="right"/>
              <w:ind w:right="2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F4F9D8"/>
            </w:tcBorders>
            <w:gridSpan w:val="2"/>
            <w:shd w:val="clear" w:color="auto" w:fill="F4F9D8"/>
          </w:tcPr>
          <w:p>
            <w:pPr>
              <w:jc w:val="right"/>
              <w:ind w:right="288"/>
              <w:spacing w:after="0"/>
              <w:rPr>
                <w:sz w:val="20"/>
                <w:szCs w:val="20"/>
                <w:color w:val="auto"/>
              </w:rPr>
            </w:pPr>
            <w:r>
              <w:rPr>
                <w:rFonts w:ascii="Arial" w:cs="Arial" w:eastAsia="Arial" w:hAnsi="Arial"/>
                <w:sz w:val="14"/>
                <w:szCs w:val="14"/>
                <w:color w:val="auto"/>
              </w:rPr>
              <w:t>$3,826</w:t>
            </w:r>
          </w:p>
        </w:tc>
        <w:tc>
          <w:tcPr>
            <w:tcW w:w="1480" w:type="dxa"/>
            <w:vAlign w:val="bottom"/>
            <w:tcBorders>
              <w:bottom w:val="single" w:sz="8" w:color="F4F9D8"/>
            </w:tcBorders>
            <w:shd w:val="clear" w:color="auto" w:fill="F4F9D8"/>
          </w:tcPr>
          <w:p>
            <w:pPr>
              <w:jc w:val="right"/>
              <w:ind w:right="108"/>
              <w:spacing w:after="0"/>
              <w:rPr>
                <w:sz w:val="20"/>
                <w:szCs w:val="20"/>
                <w:color w:val="auto"/>
              </w:rPr>
            </w:pPr>
            <w:r>
              <w:rPr>
                <w:rFonts w:ascii="Arial" w:cs="Arial" w:eastAsia="Arial" w:hAnsi="Arial"/>
                <w:sz w:val="14"/>
                <w:szCs w:val="14"/>
                <w:color w:val="auto"/>
              </w:rPr>
              <w:t>$393,114</w:t>
            </w:r>
          </w:p>
        </w:tc>
      </w:tr>
      <w:tr>
        <w:trPr>
          <w:trHeight w:val="244"/>
        </w:trPr>
        <w:tc>
          <w:tcPr>
            <w:tcW w:w="3180" w:type="dxa"/>
            <w:vAlign w:val="bottom"/>
          </w:tcPr>
          <w:p>
            <w:pPr>
              <w:ind w:left="60"/>
              <w:spacing w:after="0"/>
              <w:rPr>
                <w:sz w:val="20"/>
                <w:szCs w:val="20"/>
                <w:color w:val="auto"/>
              </w:rPr>
            </w:pPr>
            <w:r>
              <w:rPr>
                <w:rFonts w:ascii="Arial" w:cs="Arial" w:eastAsia="Arial" w:hAnsi="Arial"/>
                <w:sz w:val="14"/>
                <w:szCs w:val="14"/>
                <w:color w:val="auto"/>
              </w:rPr>
              <w:t>Patricia Mulroy</w:t>
            </w:r>
          </w:p>
        </w:tc>
        <w:tc>
          <w:tcPr>
            <w:tcW w:w="2060" w:type="dxa"/>
            <w:vAlign w:val="bottom"/>
          </w:tcPr>
          <w:p>
            <w:pPr>
              <w:jc w:val="right"/>
              <w:ind w:right="168"/>
              <w:spacing w:after="0"/>
              <w:rPr>
                <w:sz w:val="20"/>
                <w:szCs w:val="20"/>
                <w:color w:val="auto"/>
              </w:rPr>
            </w:pPr>
            <w:r>
              <w:rPr>
                <w:rFonts w:ascii="Arial" w:cs="Arial" w:eastAsia="Arial" w:hAnsi="Arial"/>
                <w:sz w:val="14"/>
                <w:szCs w:val="14"/>
                <w:color w:val="auto"/>
              </w:rPr>
              <w:t>$205,500</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$252,822</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288"/>
              <w:spacing w:after="0"/>
              <w:rPr>
                <w:sz w:val="20"/>
                <w:szCs w:val="20"/>
                <w:color w:val="auto"/>
              </w:rPr>
            </w:pPr>
            <w:r>
              <w:rPr>
                <w:rFonts w:ascii="Arial" w:cs="Arial" w:eastAsia="Arial" w:hAnsi="Arial"/>
                <w:sz w:val="14"/>
                <w:szCs w:val="14"/>
                <w:color w:val="auto"/>
              </w:rPr>
              <w:t>$4,466</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$462,788</w:t>
            </w:r>
          </w:p>
        </w:tc>
      </w:tr>
      <w:tr>
        <w:trPr>
          <w:trHeight w:val="53"/>
        </w:trPr>
        <w:tc>
          <w:tcPr>
            <w:tcW w:w="3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1480" w:type="dxa"/>
            <w:vAlign w:val="bottom"/>
          </w:tcPr>
          <w:p>
            <w:pPr>
              <w:spacing w:after="0"/>
              <w:rPr>
                <w:sz w:val="4"/>
                <w:szCs w:val="4"/>
                <w:color w:val="auto"/>
              </w:rPr>
            </w:pPr>
          </w:p>
        </w:tc>
      </w:tr>
      <w:tr>
        <w:trPr>
          <w:trHeight w:val="277"/>
        </w:trPr>
        <w:tc>
          <w:tcPr>
            <w:tcW w:w="3180" w:type="dxa"/>
            <w:vAlign w:val="bottom"/>
            <w:tcBorders>
              <w:bottom w:val="single" w:sz="8" w:color="F4F9D8"/>
            </w:tcBorders>
            <w:shd w:val="clear" w:color="auto" w:fill="F4F9D8"/>
          </w:tcPr>
          <w:p>
            <w:pPr>
              <w:ind w:left="60"/>
              <w:spacing w:after="0"/>
              <w:rPr>
                <w:sz w:val="20"/>
                <w:szCs w:val="20"/>
                <w:color w:val="auto"/>
              </w:rPr>
            </w:pPr>
            <w:r>
              <w:rPr>
                <w:rFonts w:ascii="Arial" w:cs="Arial" w:eastAsia="Arial" w:hAnsi="Arial"/>
                <w:sz w:val="14"/>
                <w:szCs w:val="14"/>
                <w:color w:val="auto"/>
              </w:rPr>
              <w:t>Margaret J. Myers</w:t>
            </w:r>
          </w:p>
        </w:tc>
        <w:tc>
          <w:tcPr>
            <w:tcW w:w="2060" w:type="dxa"/>
            <w:vAlign w:val="bottom"/>
            <w:tcBorders>
              <w:bottom w:val="single" w:sz="8" w:color="F4F9D8"/>
            </w:tcBorders>
            <w:shd w:val="clear" w:color="auto" w:fill="F4F9D8"/>
          </w:tcPr>
          <w:p>
            <w:pPr>
              <w:jc w:val="right"/>
              <w:ind w:right="168"/>
              <w:spacing w:after="0"/>
              <w:rPr>
                <w:sz w:val="20"/>
                <w:szCs w:val="20"/>
                <w:color w:val="auto"/>
              </w:rPr>
            </w:pPr>
            <w:r>
              <w:rPr>
                <w:rFonts w:ascii="Arial" w:cs="Arial" w:eastAsia="Arial" w:hAnsi="Arial"/>
                <w:sz w:val="14"/>
                <w:szCs w:val="14"/>
                <w:color w:val="auto"/>
              </w:rPr>
              <w:t>$132,000</w:t>
            </w:r>
          </w:p>
        </w:tc>
        <w:tc>
          <w:tcPr>
            <w:tcW w:w="1680" w:type="dxa"/>
            <w:vAlign w:val="bottom"/>
            <w:tcBorders>
              <w:bottom w:val="single" w:sz="8" w:color="F4F9D8"/>
            </w:tcBorders>
            <w:shd w:val="clear" w:color="auto" w:fill="F4F9D8"/>
          </w:tcPr>
          <w:p>
            <w:pPr>
              <w:jc w:val="right"/>
              <w:ind w:right="48"/>
              <w:spacing w:after="0"/>
              <w:rPr>
                <w:sz w:val="20"/>
                <w:szCs w:val="20"/>
                <w:color w:val="auto"/>
              </w:rPr>
            </w:pPr>
            <w:r>
              <w:rPr>
                <w:rFonts w:ascii="Arial" w:cs="Arial" w:eastAsia="Arial" w:hAnsi="Arial"/>
                <w:sz w:val="14"/>
                <w:szCs w:val="14"/>
                <w:color w:val="auto"/>
              </w:rPr>
              <w:t>$258,538</w:t>
            </w:r>
          </w:p>
        </w:tc>
        <w:tc>
          <w:tcPr>
            <w:tcW w:w="880" w:type="dxa"/>
            <w:vAlign w:val="bottom"/>
            <w:tcBorders>
              <w:bottom w:val="single" w:sz="8" w:color="F4F9D8"/>
            </w:tcBorders>
            <w:shd w:val="clear" w:color="auto" w:fill="F4F9D8"/>
          </w:tcPr>
          <w:p>
            <w:pPr>
              <w:jc w:val="right"/>
              <w:ind w:right="2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F4F9D8"/>
            </w:tcBorders>
            <w:gridSpan w:val="2"/>
            <w:shd w:val="clear" w:color="auto" w:fill="F4F9D8"/>
          </w:tcPr>
          <w:p>
            <w:pPr>
              <w:jc w:val="right"/>
              <w:ind w:right="288"/>
              <w:spacing w:after="0"/>
              <w:rPr>
                <w:sz w:val="20"/>
                <w:szCs w:val="20"/>
                <w:color w:val="auto"/>
              </w:rPr>
            </w:pPr>
            <w:r>
              <w:rPr>
                <w:rFonts w:ascii="Arial" w:cs="Arial" w:eastAsia="Arial" w:hAnsi="Arial"/>
                <w:sz w:val="14"/>
                <w:szCs w:val="14"/>
                <w:color w:val="auto"/>
              </w:rPr>
              <w:t>$2,750</w:t>
            </w:r>
          </w:p>
        </w:tc>
        <w:tc>
          <w:tcPr>
            <w:tcW w:w="1480" w:type="dxa"/>
            <w:vAlign w:val="bottom"/>
            <w:tcBorders>
              <w:bottom w:val="single" w:sz="8" w:color="F4F9D8"/>
            </w:tcBorders>
            <w:shd w:val="clear" w:color="auto" w:fill="F4F9D8"/>
          </w:tcPr>
          <w:p>
            <w:pPr>
              <w:jc w:val="right"/>
              <w:ind w:right="108"/>
              <w:spacing w:after="0"/>
              <w:rPr>
                <w:sz w:val="20"/>
                <w:szCs w:val="20"/>
                <w:color w:val="auto"/>
              </w:rPr>
            </w:pPr>
            <w:r>
              <w:rPr>
                <w:rFonts w:ascii="Arial" w:cs="Arial" w:eastAsia="Arial" w:hAnsi="Arial"/>
                <w:sz w:val="14"/>
                <w:szCs w:val="14"/>
                <w:color w:val="auto"/>
              </w:rPr>
              <w:t>$393,288</w:t>
            </w:r>
          </w:p>
        </w:tc>
      </w:tr>
      <w:tr>
        <w:trPr>
          <w:trHeight w:val="244"/>
        </w:trPr>
        <w:tc>
          <w:tcPr>
            <w:tcW w:w="3180" w:type="dxa"/>
            <w:vAlign w:val="bottom"/>
          </w:tcPr>
          <w:p>
            <w:pPr>
              <w:ind w:left="60"/>
              <w:spacing w:after="0"/>
              <w:rPr>
                <w:sz w:val="20"/>
                <w:szCs w:val="20"/>
                <w:color w:val="auto"/>
              </w:rPr>
            </w:pPr>
            <w:r>
              <w:rPr>
                <w:rFonts w:ascii="Arial" w:cs="Arial" w:eastAsia="Arial" w:hAnsi="Arial"/>
                <w:sz w:val="14"/>
                <w:szCs w:val="14"/>
                <w:color w:val="auto"/>
              </w:rPr>
              <w:t>Clark T. Randt, Jr.</w:t>
            </w:r>
          </w:p>
        </w:tc>
        <w:tc>
          <w:tcPr>
            <w:tcW w:w="2060" w:type="dxa"/>
            <w:vAlign w:val="bottom"/>
          </w:tcPr>
          <w:p>
            <w:pPr>
              <w:jc w:val="right"/>
              <w:ind w:right="168"/>
              <w:spacing w:after="0"/>
              <w:rPr>
                <w:sz w:val="20"/>
                <w:szCs w:val="20"/>
                <w:color w:val="auto"/>
              </w:rPr>
            </w:pPr>
            <w:r>
              <w:rPr>
                <w:rFonts w:ascii="Arial" w:cs="Arial" w:eastAsia="Arial" w:hAnsi="Arial"/>
                <w:sz w:val="14"/>
                <w:szCs w:val="14"/>
                <w:color w:val="auto"/>
              </w:rPr>
              <w:t>$105,000</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$252,822</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288"/>
              <w:spacing w:after="0"/>
              <w:rPr>
                <w:sz w:val="20"/>
                <w:szCs w:val="20"/>
                <w:color w:val="auto"/>
              </w:rPr>
            </w:pPr>
            <w:r>
              <w:rPr>
                <w:rFonts w:ascii="Arial" w:cs="Arial" w:eastAsia="Arial" w:hAnsi="Arial"/>
                <w:sz w:val="14"/>
                <w:szCs w:val="14"/>
                <w:color w:val="auto"/>
              </w:rPr>
              <w:t>$4,466</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$362,288</w:t>
            </w:r>
          </w:p>
        </w:tc>
      </w:tr>
      <w:tr>
        <w:trPr>
          <w:trHeight w:val="53"/>
        </w:trPr>
        <w:tc>
          <w:tcPr>
            <w:tcW w:w="3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1480" w:type="dxa"/>
            <w:vAlign w:val="bottom"/>
          </w:tcPr>
          <w:p>
            <w:pPr>
              <w:spacing w:after="0"/>
              <w:rPr>
                <w:sz w:val="4"/>
                <w:szCs w:val="4"/>
                <w:color w:val="auto"/>
              </w:rPr>
            </w:pPr>
          </w:p>
        </w:tc>
      </w:tr>
      <w:tr>
        <w:trPr>
          <w:trHeight w:val="277"/>
        </w:trPr>
        <w:tc>
          <w:tcPr>
            <w:tcW w:w="3180" w:type="dxa"/>
            <w:vAlign w:val="bottom"/>
            <w:tcBorders>
              <w:bottom w:val="single" w:sz="8" w:color="F4F9D8"/>
            </w:tcBorders>
            <w:shd w:val="clear" w:color="auto" w:fill="F4F9D8"/>
          </w:tcPr>
          <w:p>
            <w:pPr>
              <w:ind w:left="60"/>
              <w:spacing w:after="0"/>
              <w:rPr>
                <w:sz w:val="20"/>
                <w:szCs w:val="20"/>
                <w:color w:val="auto"/>
              </w:rPr>
            </w:pPr>
            <w:r>
              <w:rPr>
                <w:rFonts w:ascii="Arial" w:cs="Arial" w:eastAsia="Arial" w:hAnsi="Arial"/>
                <w:sz w:val="14"/>
                <w:szCs w:val="14"/>
                <w:color w:val="auto"/>
              </w:rPr>
              <w:t>Philip G. Satre</w:t>
            </w:r>
          </w:p>
        </w:tc>
        <w:tc>
          <w:tcPr>
            <w:tcW w:w="2060" w:type="dxa"/>
            <w:vAlign w:val="bottom"/>
            <w:tcBorders>
              <w:bottom w:val="single" w:sz="8" w:color="F4F9D8"/>
            </w:tcBorders>
            <w:shd w:val="clear" w:color="auto" w:fill="F4F9D8"/>
          </w:tcPr>
          <w:p>
            <w:pPr>
              <w:jc w:val="right"/>
              <w:ind w:right="168"/>
              <w:spacing w:after="0"/>
              <w:rPr>
                <w:sz w:val="20"/>
                <w:szCs w:val="20"/>
                <w:color w:val="auto"/>
              </w:rPr>
            </w:pPr>
            <w:r>
              <w:rPr>
                <w:rFonts w:ascii="Arial" w:cs="Arial" w:eastAsia="Arial" w:hAnsi="Arial"/>
                <w:sz w:val="14"/>
                <w:szCs w:val="14"/>
                <w:color w:val="auto"/>
              </w:rPr>
              <w:t>$281,500</w:t>
            </w:r>
          </w:p>
        </w:tc>
        <w:tc>
          <w:tcPr>
            <w:tcW w:w="1680" w:type="dxa"/>
            <w:vAlign w:val="bottom"/>
            <w:tcBorders>
              <w:bottom w:val="single" w:sz="8" w:color="F4F9D8"/>
            </w:tcBorders>
            <w:shd w:val="clear" w:color="auto" w:fill="F4F9D8"/>
          </w:tcPr>
          <w:p>
            <w:pPr>
              <w:jc w:val="right"/>
              <w:ind w:right="48"/>
              <w:spacing w:after="0"/>
              <w:rPr>
                <w:sz w:val="20"/>
                <w:szCs w:val="20"/>
                <w:color w:val="auto"/>
              </w:rPr>
            </w:pPr>
            <w:r>
              <w:rPr>
                <w:rFonts w:ascii="Arial" w:cs="Arial" w:eastAsia="Arial" w:hAnsi="Arial"/>
                <w:sz w:val="14"/>
                <w:szCs w:val="14"/>
                <w:color w:val="auto"/>
              </w:rPr>
              <w:t>$272,772</w:t>
            </w:r>
          </w:p>
        </w:tc>
        <w:tc>
          <w:tcPr>
            <w:tcW w:w="880" w:type="dxa"/>
            <w:vAlign w:val="bottom"/>
            <w:tcBorders>
              <w:bottom w:val="single" w:sz="8" w:color="F4F9D8"/>
            </w:tcBorders>
            <w:shd w:val="clear" w:color="auto" w:fill="F4F9D8"/>
          </w:tcPr>
          <w:p>
            <w:pPr>
              <w:jc w:val="right"/>
              <w:ind w:right="20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F4F9D8"/>
            </w:tcBorders>
            <w:gridSpan w:val="2"/>
            <w:shd w:val="clear" w:color="auto" w:fill="F4F9D8"/>
          </w:tcPr>
          <w:p>
            <w:pPr>
              <w:jc w:val="right"/>
              <w:ind w:right="288"/>
              <w:spacing w:after="0"/>
              <w:rPr>
                <w:sz w:val="20"/>
                <w:szCs w:val="20"/>
                <w:color w:val="auto"/>
              </w:rPr>
            </w:pPr>
            <w:r>
              <w:rPr>
                <w:rFonts w:ascii="Arial" w:cs="Arial" w:eastAsia="Arial" w:hAnsi="Arial"/>
                <w:sz w:val="14"/>
                <w:szCs w:val="14"/>
                <w:color w:val="auto"/>
              </w:rPr>
              <w:t>$1,768</w:t>
            </w:r>
          </w:p>
        </w:tc>
        <w:tc>
          <w:tcPr>
            <w:tcW w:w="1480" w:type="dxa"/>
            <w:vAlign w:val="bottom"/>
            <w:tcBorders>
              <w:bottom w:val="single" w:sz="8" w:color="F4F9D8"/>
            </w:tcBorders>
            <w:shd w:val="clear" w:color="auto" w:fill="F4F9D8"/>
          </w:tcPr>
          <w:p>
            <w:pPr>
              <w:jc w:val="right"/>
              <w:ind w:right="108"/>
              <w:spacing w:after="0"/>
              <w:rPr>
                <w:sz w:val="20"/>
                <w:szCs w:val="20"/>
                <w:color w:val="auto"/>
              </w:rPr>
            </w:pPr>
            <w:r>
              <w:rPr>
                <w:rFonts w:ascii="Arial" w:cs="Arial" w:eastAsia="Arial" w:hAnsi="Arial"/>
                <w:sz w:val="14"/>
                <w:szCs w:val="14"/>
                <w:color w:val="auto"/>
              </w:rPr>
              <w:t>$556,040</w:t>
            </w:r>
          </w:p>
        </w:tc>
      </w:tr>
      <w:tr>
        <w:trPr>
          <w:trHeight w:val="244"/>
        </w:trPr>
        <w:tc>
          <w:tcPr>
            <w:tcW w:w="3180" w:type="dxa"/>
            <w:vAlign w:val="bottom"/>
          </w:tcPr>
          <w:p>
            <w:pPr>
              <w:ind w:left="60"/>
              <w:spacing w:after="0"/>
              <w:rPr>
                <w:sz w:val="20"/>
                <w:szCs w:val="20"/>
                <w:color w:val="auto"/>
              </w:rPr>
            </w:pPr>
            <w:r>
              <w:rPr>
                <w:rFonts w:ascii="Arial" w:cs="Arial" w:eastAsia="Arial" w:hAnsi="Arial"/>
                <w:sz w:val="14"/>
                <w:szCs w:val="14"/>
                <w:color w:val="auto"/>
              </w:rPr>
              <w:t>Darnell Strom</w:t>
            </w:r>
          </w:p>
        </w:tc>
        <w:tc>
          <w:tcPr>
            <w:tcW w:w="2060" w:type="dxa"/>
            <w:vAlign w:val="bottom"/>
          </w:tcPr>
          <w:p>
            <w:pPr>
              <w:jc w:val="right"/>
              <w:ind w:right="168"/>
              <w:spacing w:after="0"/>
              <w:rPr>
                <w:sz w:val="20"/>
                <w:szCs w:val="20"/>
                <w:color w:val="auto"/>
              </w:rPr>
            </w:pPr>
            <w:r>
              <w:rPr>
                <w:rFonts w:ascii="Arial" w:cs="Arial" w:eastAsia="Arial" w:hAnsi="Arial"/>
                <w:sz w:val="14"/>
                <w:szCs w:val="14"/>
                <w:color w:val="auto"/>
              </w:rPr>
              <w:t>$ 21,904</w:t>
            </w:r>
          </w:p>
        </w:tc>
        <w:tc>
          <w:tcPr>
            <w:tcW w:w="1680" w:type="dxa"/>
            <w:vAlign w:val="bottom"/>
          </w:tcPr>
          <w:p>
            <w:pPr>
              <w:jc w:val="right"/>
              <w:ind w:right="48"/>
              <w:spacing w:after="0"/>
              <w:rPr>
                <w:sz w:val="20"/>
                <w:szCs w:val="20"/>
                <w:color w:val="auto"/>
              </w:rPr>
            </w:pPr>
            <w:r>
              <w:rPr>
                <w:rFonts w:ascii="Arial" w:cs="Arial" w:eastAsia="Arial" w:hAnsi="Arial"/>
                <w:sz w:val="14"/>
                <w:szCs w:val="14"/>
                <w:color w:val="auto"/>
              </w:rPr>
              <w:t>$228,360</w:t>
            </w:r>
          </w:p>
        </w:tc>
        <w:tc>
          <w:tcPr>
            <w:tcW w:w="8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88"/>
              <w:spacing w:after="0"/>
              <w:rPr>
                <w:sz w:val="20"/>
                <w:szCs w:val="20"/>
                <w:color w:val="auto"/>
              </w:rPr>
            </w:pPr>
            <w:r>
              <w:rPr>
                <w:rFonts w:ascii="Arial" w:cs="Arial" w:eastAsia="Arial" w:hAnsi="Arial"/>
                <w:sz w:val="14"/>
                <w:szCs w:val="14"/>
                <w:color w:val="auto"/>
                <w:w w:val="84"/>
              </w:rPr>
              <w:t>-</w:t>
            </w:r>
          </w:p>
        </w:tc>
        <w:tc>
          <w:tcPr>
            <w:tcW w:w="1480" w:type="dxa"/>
            <w:vAlign w:val="bottom"/>
          </w:tcPr>
          <w:p>
            <w:pPr>
              <w:jc w:val="right"/>
              <w:ind w:right="108"/>
              <w:spacing w:after="0"/>
              <w:rPr>
                <w:sz w:val="20"/>
                <w:szCs w:val="20"/>
                <w:color w:val="auto"/>
              </w:rPr>
            </w:pPr>
            <w:r>
              <w:rPr>
                <w:rFonts w:ascii="Arial" w:cs="Arial" w:eastAsia="Arial" w:hAnsi="Arial"/>
                <w:sz w:val="14"/>
                <w:szCs w:val="14"/>
                <w:color w:val="auto"/>
              </w:rPr>
              <w:t>$250,264</w:t>
            </w:r>
          </w:p>
        </w:tc>
      </w:tr>
      <w:tr>
        <w:trPr>
          <w:trHeight w:val="53"/>
        </w:trPr>
        <w:tc>
          <w:tcPr>
            <w:tcW w:w="3180" w:type="dxa"/>
            <w:vAlign w:val="bottom"/>
          </w:tcPr>
          <w:p>
            <w:pPr>
              <w:spacing w:after="0"/>
              <w:rPr>
                <w:sz w:val="4"/>
                <w:szCs w:val="4"/>
                <w:color w:val="auto"/>
              </w:rPr>
            </w:pPr>
          </w:p>
        </w:tc>
        <w:tc>
          <w:tcPr>
            <w:tcW w:w="2060" w:type="dxa"/>
            <w:vAlign w:val="bottom"/>
          </w:tcPr>
          <w:p>
            <w:pPr>
              <w:spacing w:after="0"/>
              <w:rPr>
                <w:sz w:val="4"/>
                <w:szCs w:val="4"/>
                <w:color w:val="auto"/>
              </w:rPr>
            </w:pPr>
          </w:p>
        </w:tc>
        <w:tc>
          <w:tcPr>
            <w:tcW w:w="1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gridSpan w:val="2"/>
          </w:tcPr>
          <w:p>
            <w:pPr>
              <w:spacing w:after="0"/>
              <w:rPr>
                <w:sz w:val="4"/>
                <w:szCs w:val="4"/>
                <w:color w:val="auto"/>
              </w:rPr>
            </w:pPr>
          </w:p>
        </w:tc>
        <w:tc>
          <w:tcPr>
            <w:tcW w:w="1480" w:type="dxa"/>
            <w:vAlign w:val="bottom"/>
          </w:tcPr>
          <w:p>
            <w:pPr>
              <w:spacing w:after="0"/>
              <w:rPr>
                <w:sz w:val="4"/>
                <w:szCs w:val="4"/>
                <w:color w:val="auto"/>
              </w:rPr>
            </w:pPr>
          </w:p>
        </w:tc>
      </w:tr>
      <w:tr>
        <w:trPr>
          <w:trHeight w:val="244"/>
        </w:trPr>
        <w:tc>
          <w:tcPr>
            <w:tcW w:w="3180" w:type="dxa"/>
            <w:vAlign w:val="bottom"/>
            <w:shd w:val="clear" w:color="auto" w:fill="F4F9D8"/>
          </w:tcPr>
          <w:p>
            <w:pPr>
              <w:ind w:left="60"/>
              <w:spacing w:after="0"/>
              <w:rPr>
                <w:sz w:val="20"/>
                <w:szCs w:val="20"/>
                <w:color w:val="auto"/>
              </w:rPr>
            </w:pPr>
            <w:r>
              <w:rPr>
                <w:rFonts w:ascii="Arial" w:cs="Arial" w:eastAsia="Arial" w:hAnsi="Arial"/>
                <w:sz w:val="14"/>
                <w:szCs w:val="14"/>
                <w:color w:val="auto"/>
              </w:rPr>
              <w:t>Winifred M. Webb</w:t>
            </w:r>
          </w:p>
        </w:tc>
        <w:tc>
          <w:tcPr>
            <w:tcW w:w="2060" w:type="dxa"/>
            <w:vAlign w:val="bottom"/>
            <w:shd w:val="clear" w:color="auto" w:fill="F4F9D8"/>
          </w:tcPr>
          <w:p>
            <w:pPr>
              <w:jc w:val="right"/>
              <w:ind w:right="168"/>
              <w:spacing w:after="0"/>
              <w:rPr>
                <w:sz w:val="20"/>
                <w:szCs w:val="20"/>
                <w:color w:val="auto"/>
              </w:rPr>
            </w:pPr>
            <w:r>
              <w:rPr>
                <w:rFonts w:ascii="Arial" w:cs="Arial" w:eastAsia="Arial" w:hAnsi="Arial"/>
                <w:sz w:val="14"/>
                <w:szCs w:val="14"/>
                <w:color w:val="auto"/>
              </w:rPr>
              <w:t>$132,000</w:t>
            </w:r>
          </w:p>
        </w:tc>
        <w:tc>
          <w:tcPr>
            <w:tcW w:w="1680" w:type="dxa"/>
            <w:vAlign w:val="bottom"/>
            <w:shd w:val="clear" w:color="auto" w:fill="F4F9D8"/>
          </w:tcPr>
          <w:p>
            <w:pPr>
              <w:jc w:val="right"/>
              <w:ind w:right="48"/>
              <w:spacing w:after="0"/>
              <w:rPr>
                <w:sz w:val="20"/>
                <w:szCs w:val="20"/>
                <w:color w:val="auto"/>
              </w:rPr>
            </w:pPr>
            <w:r>
              <w:rPr>
                <w:rFonts w:ascii="Arial" w:cs="Arial" w:eastAsia="Arial" w:hAnsi="Arial"/>
                <w:sz w:val="14"/>
                <w:szCs w:val="14"/>
                <w:color w:val="auto"/>
              </w:rPr>
              <w:t>$258,538</w:t>
            </w:r>
          </w:p>
        </w:tc>
        <w:tc>
          <w:tcPr>
            <w:tcW w:w="880" w:type="dxa"/>
            <w:vAlign w:val="bottom"/>
            <w:shd w:val="clear" w:color="auto" w:fill="F4F9D8"/>
          </w:tcPr>
          <w:p>
            <w:pPr>
              <w:jc w:val="right"/>
              <w:ind w:right="208"/>
              <w:spacing w:after="0"/>
              <w:rPr>
                <w:sz w:val="20"/>
                <w:szCs w:val="20"/>
                <w:color w:val="auto"/>
              </w:rPr>
            </w:pPr>
            <w:r>
              <w:rPr>
                <w:rFonts w:ascii="Arial" w:cs="Arial" w:eastAsia="Arial" w:hAnsi="Arial"/>
                <w:sz w:val="14"/>
                <w:szCs w:val="14"/>
                <w:color w:val="auto"/>
              </w:rPr>
              <w:t>$-</w:t>
            </w:r>
          </w:p>
        </w:tc>
        <w:tc>
          <w:tcPr>
            <w:tcW w:w="1740" w:type="dxa"/>
            <w:vAlign w:val="bottom"/>
            <w:gridSpan w:val="2"/>
            <w:shd w:val="clear" w:color="auto" w:fill="F4F9D8"/>
          </w:tcPr>
          <w:p>
            <w:pPr>
              <w:jc w:val="right"/>
              <w:ind w:right="288"/>
              <w:spacing w:after="0"/>
              <w:rPr>
                <w:sz w:val="20"/>
                <w:szCs w:val="20"/>
                <w:color w:val="auto"/>
              </w:rPr>
            </w:pPr>
            <w:r>
              <w:rPr>
                <w:rFonts w:ascii="Arial" w:cs="Arial" w:eastAsia="Arial" w:hAnsi="Arial"/>
                <w:sz w:val="14"/>
                <w:szCs w:val="14"/>
                <w:color w:val="auto"/>
              </w:rPr>
              <w:t>$2,750</w:t>
            </w:r>
          </w:p>
        </w:tc>
        <w:tc>
          <w:tcPr>
            <w:tcW w:w="1480" w:type="dxa"/>
            <w:vAlign w:val="bottom"/>
            <w:shd w:val="clear" w:color="auto" w:fill="F4F9D8"/>
          </w:tcPr>
          <w:p>
            <w:pPr>
              <w:jc w:val="right"/>
              <w:ind w:right="108"/>
              <w:spacing w:after="0"/>
              <w:rPr>
                <w:sz w:val="20"/>
                <w:szCs w:val="20"/>
                <w:color w:val="auto"/>
              </w:rPr>
            </w:pPr>
            <w:r>
              <w:rPr>
                <w:rFonts w:ascii="Arial" w:cs="Arial" w:eastAsia="Arial" w:hAnsi="Arial"/>
                <w:sz w:val="14"/>
                <w:szCs w:val="14"/>
                <w:color w:val="auto"/>
              </w:rPr>
              <w:t>$393,288</w:t>
            </w:r>
          </w:p>
        </w:tc>
      </w:tr>
      <w:tr>
        <w:trPr>
          <w:trHeight w:val="53"/>
        </w:trPr>
        <w:tc>
          <w:tcPr>
            <w:tcW w:w="3180" w:type="dxa"/>
            <w:vAlign w:val="bottom"/>
            <w:shd w:val="clear" w:color="auto" w:fill="F4F9D8"/>
          </w:tcPr>
          <w:p>
            <w:pPr>
              <w:spacing w:after="0"/>
              <w:rPr>
                <w:sz w:val="4"/>
                <w:szCs w:val="4"/>
                <w:color w:val="auto"/>
              </w:rPr>
            </w:pPr>
          </w:p>
        </w:tc>
        <w:tc>
          <w:tcPr>
            <w:tcW w:w="2060" w:type="dxa"/>
            <w:vAlign w:val="bottom"/>
            <w:shd w:val="clear" w:color="auto" w:fill="F4F9D8"/>
          </w:tcPr>
          <w:p>
            <w:pPr>
              <w:spacing w:after="0"/>
              <w:rPr>
                <w:sz w:val="4"/>
                <w:szCs w:val="4"/>
                <w:color w:val="auto"/>
              </w:rPr>
            </w:pPr>
          </w:p>
        </w:tc>
        <w:tc>
          <w:tcPr>
            <w:tcW w:w="1680" w:type="dxa"/>
            <w:vAlign w:val="bottom"/>
            <w:shd w:val="clear" w:color="auto" w:fill="F4F9D8"/>
          </w:tcPr>
          <w:p>
            <w:pPr>
              <w:spacing w:after="0"/>
              <w:rPr>
                <w:sz w:val="4"/>
                <w:szCs w:val="4"/>
                <w:color w:val="auto"/>
              </w:rPr>
            </w:pPr>
          </w:p>
        </w:tc>
        <w:tc>
          <w:tcPr>
            <w:tcW w:w="880" w:type="dxa"/>
            <w:vAlign w:val="bottom"/>
            <w:shd w:val="clear" w:color="auto" w:fill="F4F9D8"/>
          </w:tcPr>
          <w:p>
            <w:pPr>
              <w:spacing w:after="0"/>
              <w:rPr>
                <w:sz w:val="4"/>
                <w:szCs w:val="4"/>
                <w:color w:val="auto"/>
              </w:rPr>
            </w:pPr>
          </w:p>
        </w:tc>
        <w:tc>
          <w:tcPr>
            <w:tcW w:w="1320" w:type="dxa"/>
            <w:vAlign w:val="bottom"/>
            <w:shd w:val="clear" w:color="auto" w:fill="F4F9D8"/>
          </w:tcPr>
          <w:p>
            <w:pPr>
              <w:spacing w:after="0"/>
              <w:rPr>
                <w:sz w:val="4"/>
                <w:szCs w:val="4"/>
                <w:color w:val="auto"/>
              </w:rPr>
            </w:pPr>
          </w:p>
        </w:tc>
        <w:tc>
          <w:tcPr>
            <w:tcW w:w="420" w:type="dxa"/>
            <w:vAlign w:val="bottom"/>
            <w:shd w:val="clear" w:color="auto" w:fill="F4F9D8"/>
          </w:tcPr>
          <w:p>
            <w:pPr>
              <w:spacing w:after="0"/>
              <w:rPr>
                <w:sz w:val="4"/>
                <w:szCs w:val="4"/>
                <w:color w:val="auto"/>
              </w:rPr>
            </w:pPr>
          </w:p>
        </w:tc>
        <w:tc>
          <w:tcPr>
            <w:tcW w:w="1480" w:type="dxa"/>
            <w:vAlign w:val="bottom"/>
            <w:shd w:val="clear" w:color="auto" w:fill="F4F9D8"/>
          </w:tcPr>
          <w:p>
            <w:pPr>
              <w:spacing w:after="0"/>
              <w:rPr>
                <w:sz w:val="4"/>
                <w:szCs w:val="4"/>
                <w:color w:val="auto"/>
              </w:rPr>
            </w:pPr>
          </w:p>
        </w:tc>
      </w:tr>
    </w:tbl>
    <w:p>
      <w:pPr>
        <w:spacing w:after="0" w:line="102" w:lineRule="exact"/>
        <w:rPr>
          <w:sz w:val="20"/>
          <w:szCs w:val="20"/>
          <w:color w:val="auto"/>
        </w:rPr>
      </w:pPr>
    </w:p>
    <w:p>
      <w:pPr>
        <w:ind w:left="120" w:right="120" w:hanging="4"/>
        <w:spacing w:after="0" w:line="220" w:lineRule="auto"/>
        <w:tabs>
          <w:tab w:leader="none" w:pos="309"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amounts set forth in this column reflects each non-employee director’s total annual fees, inclusive of their respective total annual retainer fees. On March 23, 2020, in response to the COVID-19 pandemic, Ms. Atkins, Messrs. Byrne and Satre, Admiral Johnson, Ms. Myers, Ambassador Randt, and Ms. Webb each elected to receive 100% of the remainder of their respective annual retainer fees in the form of a restricted stock award, and Ms. Mulroy and Ambassador Randt each elected to receive 33% of the remainder of their respective annual retainer fees in the form of a restricted stock award. The full annual fees for each such non-employee director are reflected above in the Fees Earned or Paid in Cash column and the incremental value of such restricted stock awards, as computed in accordance with FASB ASC Topic 718, is included in the Stock Awards column. Such incremental amounts included in the Stock Awards column were: for Ms. Atkins, Mr. Byrne, Admiral Johnson, Ms. Myers, and Ms. Webb, $8,540 each; for Mr. Satre, $22,774; and for Ms. Mulroy and Ambassador Randt, $2,824 each. The number of shares each Non-employee Director was granted was determined based on each of their respective annual fees for the remainder of the year and the 3-day volume weighted average of the Company’s stock price ending March 20, 2020.</w:t>
      </w:r>
    </w:p>
    <w:p>
      <w:pPr>
        <w:spacing w:after="0" w:line="91" w:lineRule="exact"/>
        <w:rPr>
          <w:rFonts w:ascii="Arial" w:cs="Arial" w:eastAsia="Arial" w:hAnsi="Arial"/>
          <w:sz w:val="13"/>
          <w:szCs w:val="13"/>
          <w:color w:val="auto"/>
        </w:rPr>
      </w:pPr>
    </w:p>
    <w:p>
      <w:pPr>
        <w:ind w:left="120" w:right="100" w:hanging="4"/>
        <w:spacing w:after="0" w:line="221" w:lineRule="auto"/>
        <w:tabs>
          <w:tab w:leader="none" w:pos="309"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amounts set forth in this column reflect 1) the incremental value of restricted stock awards granted in exchange for a voluntary reduction of a portion of the non-employee director’s annual retainer fees for the remainder of 2020 in response to the COVID-19 pandemic, as described in the preceding footnote (1): for Ms. Atkins, Mr. Byrne, Admiral Johnson, Ms. Myers, and Ms. Webb, $8,540 each; for Mr. Satre, $22,774; and for Ms. Mulroy and Ambassador Randt, $2,824 each; 2) the aggregate grant date fair value of 3,324 restricted stock awards granted to each director on June 24, 2020, except for Mr. Strom; and 3) the aggregate grant date fair value of 3,000 shares of fully vested stock granted on November 4, 2020 to Mr. Strom, who was appointed to the Board of Directors effective October 14, 2020. The aggregate number of unvested stock awards held by each director at December 31, 2020, is as follows: Ms. Atkins, Ms. Myers and Ms. Webb, 5,305 each; Admiral Johnson, Ms. Mulroy, and Ambassador Randt, 5,843 each; Messrs. Byrne and Satre, 4,650 each; and Mr. Strom, none.</w:t>
      </w:r>
    </w:p>
    <w:p>
      <w:pPr>
        <w:spacing w:after="0" w:line="77" w:lineRule="exact"/>
        <w:rPr>
          <w:rFonts w:ascii="Arial" w:cs="Arial" w:eastAsia="Arial" w:hAnsi="Arial"/>
          <w:sz w:val="13"/>
          <w:szCs w:val="13"/>
          <w:color w:val="auto"/>
        </w:rPr>
      </w:pPr>
    </w:p>
    <w:p>
      <w:pPr>
        <w:ind w:left="300" w:hanging="184"/>
        <w:spacing w:after="0"/>
        <w:tabs>
          <w:tab w:leader="none" w:pos="3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aggregate number of outstanding option awards held by each director at December 31, 2020, is as follows: Admiral Johnson 10,000 vested; Ambassador Randt 7,000 vested; and</w:t>
      </w:r>
    </w:p>
    <w:p>
      <w:pPr>
        <w:ind w:left="120"/>
        <w:spacing w:after="0"/>
        <w:rPr>
          <w:sz w:val="20"/>
          <w:szCs w:val="20"/>
          <w:color w:val="auto"/>
        </w:rPr>
      </w:pPr>
      <w:r>
        <w:rPr>
          <w:rFonts w:ascii="Arial" w:cs="Arial" w:eastAsia="Arial" w:hAnsi="Arial"/>
          <w:sz w:val="13"/>
          <w:szCs w:val="13"/>
          <w:color w:val="auto"/>
        </w:rPr>
        <w:t>Ms. Mulroy 6,700 vested.</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3"/>
          <w:szCs w:val="13"/>
          <w:color w:val="auto"/>
        </w:rPr>
        <w:t>(4) For each director “All Other Compensation” consists entirely of cash dividends accrued on unvested stock, which is paid if and when the stock vests.</w:t>
      </w:r>
    </w:p>
    <w:p>
      <w:pPr>
        <w:spacing w:after="0" w:line="125" w:lineRule="exact"/>
        <w:rPr>
          <w:sz w:val="20"/>
          <w:szCs w:val="20"/>
          <w:color w:val="auto"/>
        </w:rPr>
      </w:pPr>
    </w:p>
    <w:p>
      <w:pPr>
        <w:ind w:left="11020"/>
        <w:spacing w:after="0"/>
        <w:rPr>
          <w:sz w:val="20"/>
          <w:szCs w:val="20"/>
          <w:color w:val="auto"/>
        </w:rPr>
      </w:pPr>
      <w:r>
        <w:rPr>
          <w:rFonts w:ascii="Arial" w:cs="Arial" w:eastAsia="Arial" w:hAnsi="Arial"/>
          <w:sz w:val="10"/>
          <w:szCs w:val="10"/>
          <w:b w:val="1"/>
          <w:bCs w:val="1"/>
          <w:color w:val="auto"/>
        </w:rPr>
        <w:t>17</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357505</wp:posOffset>
            </wp:positionV>
            <wp:extent cx="7029450" cy="91554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31"/>
          <w:szCs w:val="31"/>
          <w:color w:val="3D0A51"/>
        </w:rPr>
        <w:t>Introduction</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this section we will tell you about:</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People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Communities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Planet</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16"/>
          <w:szCs w:val="16"/>
          <w:color w:val="3D0A51"/>
        </w:rPr>
        <w:t>Being socially responsible is not simply a catch-phrase at Wynn Resorts.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6"/>
          <w:szCs w:val="16"/>
          <w:color w:val="3D0A51"/>
        </w:rPr>
        <w:t>It is an essential mindset that is built into all our operations and business plans.</w:t>
      </w:r>
    </w:p>
    <w:p>
      <w:pPr>
        <w:spacing w:after="0" w:line="242" w:lineRule="exact"/>
        <w:rPr>
          <w:sz w:val="20"/>
          <w:szCs w:val="20"/>
          <w:color w:val="auto"/>
        </w:rPr>
      </w:pPr>
    </w:p>
    <w:p>
      <w:pPr>
        <w:ind w:left="120" w:right="100"/>
        <w:spacing w:after="0" w:line="249" w:lineRule="auto"/>
        <w:rPr>
          <w:sz w:val="20"/>
          <w:szCs w:val="20"/>
          <w:color w:val="auto"/>
        </w:rPr>
      </w:pPr>
      <w:r>
        <w:rPr>
          <w:rFonts w:ascii="Arial" w:cs="Arial" w:eastAsia="Arial" w:hAnsi="Arial"/>
          <w:sz w:val="16"/>
          <w:szCs w:val="16"/>
          <w:color w:val="auto"/>
        </w:rPr>
        <w:t>Under the direction of the Board, our executive team has set forth a strong set of values that supports our employees and their families, our communities and our planet. Our Board and executive team understand that being socially responsible is not only the right thing to do, it is a business imperative. Long-term value is only possible if all the Company’s stakeholders thrive, including our shareholders, employees, suppliers, the communities in which we operate and the environment. The Board has committed to a set of Environmental, Social and Governance (“ESG”) goals to drive long-term corporate value, and to measuring and reporting our progress toward our goals in each of these areas through certain Sustainability Accounting Standards Board (“SASB”) metrics.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foundation of our ESG approach is our best-in-the-business corporate governance, discussed throughout this Proxy Statement.</w:t>
      </w:r>
    </w:p>
    <w:p>
      <w:pPr>
        <w:spacing w:after="0" w:line="84" w:lineRule="exact"/>
        <w:rPr>
          <w:sz w:val="20"/>
          <w:szCs w:val="20"/>
          <w:color w:val="auto"/>
        </w:rPr>
      </w:pPr>
    </w:p>
    <w:tbl>
      <w:tblPr>
        <w:tblLayout w:type="fixed"/>
        <w:tblInd w:w="120" w:type="dxa"/>
        <w:tblCellMar>
          <w:top w:w="0" w:type="dxa"/>
          <w:left w:w="0" w:type="dxa"/>
          <w:bottom w:w="0" w:type="dxa"/>
          <w:right w:w="0" w:type="dxa"/>
        </w:tblCellMar>
      </w:tblPr>
      <w:tr>
        <w:trPr>
          <w:trHeight w:val="250"/>
        </w:trPr>
        <w:tc>
          <w:tcPr>
            <w:tcW w:w="3780" w:type="dxa"/>
            <w:vAlign w:val="bottom"/>
            <w:tcBorders>
              <w:bottom w:val="single" w:sz="8" w:color="3D0A51"/>
            </w:tcBorders>
            <w:shd w:val="clear" w:color="auto" w:fill="3D0A51"/>
          </w:tcPr>
          <w:p>
            <w:pPr>
              <w:spacing w:after="0"/>
              <w:rPr>
                <w:sz w:val="21"/>
                <w:szCs w:val="21"/>
                <w:color w:val="auto"/>
              </w:rPr>
            </w:pPr>
          </w:p>
        </w:tc>
        <w:tc>
          <w:tcPr>
            <w:tcW w:w="3440" w:type="dxa"/>
            <w:vAlign w:val="bottom"/>
            <w:tcBorders>
              <w:bottom w:val="single" w:sz="8" w:color="3D0A51"/>
            </w:tcBorders>
            <w:shd w:val="clear" w:color="auto" w:fill="3D0A51"/>
          </w:tcPr>
          <w:p>
            <w:pPr>
              <w:ind w:left="1000"/>
              <w:spacing w:after="0"/>
              <w:rPr>
                <w:sz w:val="20"/>
                <w:szCs w:val="20"/>
                <w:color w:val="auto"/>
              </w:rPr>
            </w:pPr>
            <w:r>
              <w:rPr>
                <w:rFonts w:ascii="Arial" w:cs="Arial" w:eastAsia="Arial" w:hAnsi="Arial"/>
                <w:sz w:val="14"/>
                <w:szCs w:val="14"/>
                <w:b w:val="1"/>
                <w:bCs w:val="1"/>
                <w:color w:val="FFFFFF"/>
              </w:rPr>
              <w:t>CORPORATE GOVERNANCE</w:t>
            </w:r>
          </w:p>
        </w:tc>
        <w:tc>
          <w:tcPr>
            <w:tcW w:w="3800" w:type="dxa"/>
            <w:vAlign w:val="bottom"/>
            <w:tcBorders>
              <w:bottom w:val="single" w:sz="8" w:color="3D0A51"/>
            </w:tcBorders>
            <w:shd w:val="clear" w:color="auto" w:fill="3D0A51"/>
          </w:tcPr>
          <w:p>
            <w:pPr>
              <w:spacing w:after="0"/>
              <w:rPr>
                <w:sz w:val="21"/>
                <w:szCs w:val="21"/>
                <w:color w:val="auto"/>
              </w:rPr>
            </w:pPr>
          </w:p>
        </w:tc>
      </w:tr>
      <w:tr>
        <w:trPr>
          <w:trHeight w:val="250"/>
        </w:trPr>
        <w:tc>
          <w:tcPr>
            <w:tcW w:w="3780" w:type="dxa"/>
            <w:vAlign w:val="bottom"/>
            <w:tcBorders>
              <w:bottom w:val="single" w:sz="8" w:color="9E84A8"/>
            </w:tcBorders>
            <w:shd w:val="clear" w:color="auto" w:fill="9E84A8"/>
          </w:tcPr>
          <w:p>
            <w:pPr>
              <w:spacing w:after="0"/>
              <w:rPr>
                <w:sz w:val="21"/>
                <w:szCs w:val="21"/>
                <w:color w:val="auto"/>
              </w:rPr>
            </w:pPr>
          </w:p>
        </w:tc>
        <w:tc>
          <w:tcPr>
            <w:tcW w:w="3440" w:type="dxa"/>
            <w:vAlign w:val="bottom"/>
            <w:tcBorders>
              <w:bottom w:val="single" w:sz="8" w:color="9E84A8"/>
            </w:tcBorders>
            <w:shd w:val="clear" w:color="auto" w:fill="9E84A8"/>
          </w:tcPr>
          <w:p>
            <w:pPr>
              <w:ind w:left="1520"/>
              <w:spacing w:after="0"/>
              <w:rPr>
                <w:sz w:val="20"/>
                <w:szCs w:val="20"/>
                <w:color w:val="auto"/>
              </w:rPr>
            </w:pPr>
            <w:r>
              <w:rPr>
                <w:rFonts w:ascii="Arial" w:cs="Arial" w:eastAsia="Arial" w:hAnsi="Arial"/>
                <w:sz w:val="14"/>
                <w:szCs w:val="14"/>
                <w:b w:val="1"/>
                <w:bCs w:val="1"/>
                <w:color w:val="FFFFFF"/>
              </w:rPr>
              <w:t>OUR VALUES</w:t>
            </w:r>
          </w:p>
        </w:tc>
        <w:tc>
          <w:tcPr>
            <w:tcW w:w="3800" w:type="dxa"/>
            <w:vAlign w:val="bottom"/>
            <w:tcBorders>
              <w:bottom w:val="single" w:sz="8" w:color="9E84A8"/>
            </w:tcBorders>
            <w:shd w:val="clear" w:color="auto" w:fill="9E84A8"/>
          </w:tcPr>
          <w:p>
            <w:pPr>
              <w:spacing w:after="0"/>
              <w:rPr>
                <w:sz w:val="21"/>
                <w:szCs w:val="21"/>
                <w:color w:val="auto"/>
              </w:rPr>
            </w:pPr>
          </w:p>
        </w:tc>
      </w:tr>
      <w:tr>
        <w:trPr>
          <w:trHeight w:val="258"/>
        </w:trPr>
        <w:tc>
          <w:tcPr>
            <w:tcW w:w="3780" w:type="dxa"/>
            <w:vAlign w:val="bottom"/>
            <w:shd w:val="clear" w:color="auto" w:fill="E2EDED"/>
          </w:tcPr>
          <w:p>
            <w:pPr>
              <w:ind w:left="80"/>
              <w:spacing w:after="0"/>
              <w:rPr>
                <w:sz w:val="20"/>
                <w:szCs w:val="20"/>
                <w:color w:val="auto"/>
              </w:rPr>
            </w:pPr>
            <w:r>
              <w:rPr>
                <w:rFonts w:ascii="Arial" w:cs="Arial" w:eastAsia="Arial" w:hAnsi="Arial"/>
                <w:sz w:val="16"/>
                <w:szCs w:val="16"/>
                <w:color w:val="auto"/>
              </w:rPr>
              <w:t>OUR PEOPLE</w:t>
            </w:r>
          </w:p>
        </w:tc>
        <w:tc>
          <w:tcPr>
            <w:tcW w:w="3440" w:type="dxa"/>
            <w:vAlign w:val="bottom"/>
            <w:shd w:val="clear" w:color="auto" w:fill="E2EDED"/>
          </w:tcPr>
          <w:p>
            <w:pPr>
              <w:ind w:left="220"/>
              <w:spacing w:after="0"/>
              <w:rPr>
                <w:sz w:val="20"/>
                <w:szCs w:val="20"/>
                <w:color w:val="auto"/>
              </w:rPr>
            </w:pPr>
            <w:r>
              <w:rPr>
                <w:rFonts w:ascii="Arial" w:cs="Arial" w:eastAsia="Arial" w:hAnsi="Arial"/>
                <w:sz w:val="16"/>
                <w:szCs w:val="16"/>
                <w:color w:val="auto"/>
              </w:rPr>
              <w:t>OUR COMMUNITIES</w:t>
            </w:r>
          </w:p>
        </w:tc>
        <w:tc>
          <w:tcPr>
            <w:tcW w:w="3800" w:type="dxa"/>
            <w:vAlign w:val="bottom"/>
            <w:shd w:val="clear" w:color="auto" w:fill="E2EDED"/>
          </w:tcPr>
          <w:p>
            <w:pPr>
              <w:ind w:left="460"/>
              <w:spacing w:after="0"/>
              <w:rPr>
                <w:sz w:val="20"/>
                <w:szCs w:val="20"/>
                <w:color w:val="auto"/>
              </w:rPr>
            </w:pPr>
            <w:r>
              <w:rPr>
                <w:rFonts w:ascii="Arial" w:cs="Arial" w:eastAsia="Arial" w:hAnsi="Arial"/>
                <w:sz w:val="16"/>
                <w:szCs w:val="16"/>
                <w:color w:val="auto"/>
              </w:rPr>
              <w:t>OUR PLANET</w:t>
            </w:r>
          </w:p>
        </w:tc>
      </w:tr>
      <w:tr>
        <w:trPr>
          <w:trHeight w:val="189"/>
        </w:trPr>
        <w:tc>
          <w:tcPr>
            <w:tcW w:w="3780" w:type="dxa"/>
            <w:vAlign w:val="bottom"/>
            <w:shd w:val="clear" w:color="auto" w:fill="E2EDED"/>
          </w:tcPr>
          <w:p>
            <w:pPr>
              <w:ind w:left="80"/>
              <w:spacing w:after="0"/>
              <w:rPr>
                <w:sz w:val="20"/>
                <w:szCs w:val="20"/>
                <w:color w:val="auto"/>
              </w:rPr>
            </w:pPr>
            <w:r>
              <w:rPr>
                <w:rFonts w:ascii="Arial" w:cs="Arial" w:eastAsia="Arial" w:hAnsi="Arial"/>
                <w:sz w:val="16"/>
                <w:szCs w:val="16"/>
                <w:color w:val="auto"/>
              </w:rPr>
              <w:t>• Human Capital Management</w:t>
            </w:r>
          </w:p>
        </w:tc>
        <w:tc>
          <w:tcPr>
            <w:tcW w:w="3440" w:type="dxa"/>
            <w:vAlign w:val="bottom"/>
            <w:shd w:val="clear" w:color="auto" w:fill="E2EDED"/>
          </w:tcPr>
          <w:p>
            <w:pPr>
              <w:ind w:left="220"/>
              <w:spacing w:after="0"/>
              <w:rPr>
                <w:sz w:val="20"/>
                <w:szCs w:val="20"/>
                <w:color w:val="auto"/>
              </w:rPr>
            </w:pPr>
            <w:r>
              <w:rPr>
                <w:rFonts w:ascii="Arial" w:cs="Arial" w:eastAsia="Arial" w:hAnsi="Arial"/>
                <w:sz w:val="16"/>
                <w:szCs w:val="16"/>
                <w:color w:val="auto"/>
              </w:rPr>
              <w:t>• Giving and Volunteerism</w:t>
            </w:r>
          </w:p>
        </w:tc>
        <w:tc>
          <w:tcPr>
            <w:tcW w:w="3800" w:type="dxa"/>
            <w:vAlign w:val="bottom"/>
            <w:shd w:val="clear" w:color="auto" w:fill="E2EDED"/>
          </w:tcPr>
          <w:p>
            <w:pPr>
              <w:ind w:left="460"/>
              <w:spacing w:after="0"/>
              <w:rPr>
                <w:sz w:val="20"/>
                <w:szCs w:val="20"/>
                <w:color w:val="auto"/>
              </w:rPr>
            </w:pPr>
            <w:r>
              <w:rPr>
                <w:rFonts w:ascii="Arial" w:cs="Arial" w:eastAsia="Arial" w:hAnsi="Arial"/>
                <w:sz w:val="16"/>
                <w:szCs w:val="16"/>
                <w:color w:val="auto"/>
              </w:rPr>
              <w:t>• Net-Zero by 2050</w:t>
            </w:r>
          </w:p>
        </w:tc>
      </w:tr>
      <w:tr>
        <w:trPr>
          <w:trHeight w:val="189"/>
        </w:trPr>
        <w:tc>
          <w:tcPr>
            <w:tcW w:w="3780" w:type="dxa"/>
            <w:vAlign w:val="bottom"/>
            <w:shd w:val="clear" w:color="auto" w:fill="E2EDED"/>
          </w:tcPr>
          <w:p>
            <w:pPr>
              <w:ind w:left="80"/>
              <w:spacing w:after="0"/>
              <w:rPr>
                <w:sz w:val="20"/>
                <w:szCs w:val="20"/>
                <w:color w:val="auto"/>
              </w:rPr>
            </w:pPr>
            <w:r>
              <w:rPr>
                <w:rFonts w:ascii="Arial" w:cs="Arial" w:eastAsia="Arial" w:hAnsi="Arial"/>
                <w:sz w:val="16"/>
                <w:szCs w:val="16"/>
                <w:color w:val="auto"/>
              </w:rPr>
              <w:t>• Employee Benefits</w:t>
            </w:r>
          </w:p>
        </w:tc>
        <w:tc>
          <w:tcPr>
            <w:tcW w:w="3440" w:type="dxa"/>
            <w:vAlign w:val="bottom"/>
            <w:shd w:val="clear" w:color="auto" w:fill="E2EDED"/>
          </w:tcPr>
          <w:p>
            <w:pPr>
              <w:ind w:left="220"/>
              <w:spacing w:after="0"/>
              <w:rPr>
                <w:sz w:val="20"/>
                <w:szCs w:val="20"/>
                <w:color w:val="auto"/>
              </w:rPr>
            </w:pPr>
            <w:r>
              <w:rPr>
                <w:rFonts w:ascii="Arial" w:cs="Arial" w:eastAsia="Arial" w:hAnsi="Arial"/>
                <w:sz w:val="16"/>
                <w:szCs w:val="16"/>
                <w:color w:val="auto"/>
              </w:rPr>
              <w:t>• Responsible Gaming</w:t>
            </w:r>
          </w:p>
        </w:tc>
        <w:tc>
          <w:tcPr>
            <w:tcW w:w="3800" w:type="dxa"/>
            <w:vAlign w:val="bottom"/>
            <w:shd w:val="clear" w:color="auto" w:fill="E2EDED"/>
          </w:tcPr>
          <w:p>
            <w:pPr>
              <w:ind w:left="460"/>
              <w:spacing w:after="0"/>
              <w:rPr>
                <w:sz w:val="20"/>
                <w:szCs w:val="20"/>
                <w:color w:val="auto"/>
              </w:rPr>
            </w:pPr>
            <w:r>
              <w:rPr>
                <w:rFonts w:ascii="Arial" w:cs="Arial" w:eastAsia="Arial" w:hAnsi="Arial"/>
                <w:sz w:val="16"/>
                <w:szCs w:val="16"/>
                <w:color w:val="auto"/>
              </w:rPr>
              <w:t>• Carbon peak 2030</w:t>
            </w:r>
          </w:p>
        </w:tc>
      </w:tr>
      <w:tr>
        <w:trPr>
          <w:trHeight w:val="189"/>
        </w:trPr>
        <w:tc>
          <w:tcPr>
            <w:tcW w:w="3780" w:type="dxa"/>
            <w:vAlign w:val="bottom"/>
            <w:shd w:val="clear" w:color="auto" w:fill="E2EDED"/>
          </w:tcPr>
          <w:p>
            <w:pPr>
              <w:ind w:left="80"/>
              <w:spacing w:after="0"/>
              <w:rPr>
                <w:sz w:val="20"/>
                <w:szCs w:val="20"/>
                <w:color w:val="auto"/>
              </w:rPr>
            </w:pPr>
            <w:r>
              <w:rPr>
                <w:rFonts w:ascii="Arial" w:cs="Arial" w:eastAsia="Arial" w:hAnsi="Arial"/>
                <w:sz w:val="16"/>
                <w:szCs w:val="16"/>
                <w:color w:val="auto"/>
              </w:rPr>
              <w:t>• Diversity and Inclusion</w:t>
            </w:r>
          </w:p>
        </w:tc>
        <w:tc>
          <w:tcPr>
            <w:tcW w:w="3440" w:type="dxa"/>
            <w:vAlign w:val="bottom"/>
            <w:shd w:val="clear" w:color="auto" w:fill="E2EDED"/>
          </w:tcPr>
          <w:p>
            <w:pPr>
              <w:ind w:left="220"/>
              <w:spacing w:after="0"/>
              <w:rPr>
                <w:sz w:val="20"/>
                <w:szCs w:val="20"/>
                <w:color w:val="auto"/>
              </w:rPr>
            </w:pPr>
            <w:r>
              <w:rPr>
                <w:rFonts w:ascii="Arial" w:cs="Arial" w:eastAsia="Arial" w:hAnsi="Arial"/>
                <w:sz w:val="16"/>
                <w:szCs w:val="16"/>
                <w:color w:val="auto"/>
              </w:rPr>
              <w:t>• Human Trafficking Prevention Policy</w:t>
            </w:r>
          </w:p>
        </w:tc>
        <w:tc>
          <w:tcPr>
            <w:tcW w:w="3800" w:type="dxa"/>
            <w:vAlign w:val="bottom"/>
            <w:shd w:val="clear" w:color="auto" w:fill="E2EDED"/>
          </w:tcPr>
          <w:p>
            <w:pPr>
              <w:ind w:left="460"/>
              <w:spacing w:after="0"/>
              <w:rPr>
                <w:sz w:val="20"/>
                <w:szCs w:val="20"/>
                <w:color w:val="auto"/>
              </w:rPr>
            </w:pPr>
            <w:r>
              <w:rPr>
                <w:rFonts w:ascii="Arial" w:cs="Arial" w:eastAsia="Arial" w:hAnsi="Arial"/>
                <w:sz w:val="16"/>
                <w:szCs w:val="16"/>
                <w:color w:val="auto"/>
              </w:rPr>
              <w:t>• Renewable Energy Procurement 2030</w:t>
            </w:r>
          </w:p>
        </w:tc>
      </w:tr>
      <w:tr>
        <w:trPr>
          <w:trHeight w:val="195"/>
        </w:trPr>
        <w:tc>
          <w:tcPr>
            <w:tcW w:w="3780" w:type="dxa"/>
            <w:vAlign w:val="bottom"/>
            <w:shd w:val="clear" w:color="auto" w:fill="E2EDED"/>
          </w:tcPr>
          <w:p>
            <w:pPr>
              <w:ind w:left="80"/>
              <w:spacing w:after="0"/>
              <w:rPr>
                <w:sz w:val="20"/>
                <w:szCs w:val="20"/>
                <w:color w:val="auto"/>
              </w:rPr>
            </w:pPr>
            <w:r>
              <w:rPr>
                <w:rFonts w:ascii="Arial" w:cs="Arial" w:eastAsia="Arial" w:hAnsi="Arial"/>
                <w:sz w:val="16"/>
                <w:szCs w:val="16"/>
                <w:color w:val="auto"/>
              </w:rPr>
              <w:t>• Training and Development</w:t>
            </w:r>
          </w:p>
        </w:tc>
        <w:tc>
          <w:tcPr>
            <w:tcW w:w="3440" w:type="dxa"/>
            <w:vAlign w:val="bottom"/>
            <w:shd w:val="clear" w:color="auto" w:fill="E2EDED"/>
          </w:tcPr>
          <w:p>
            <w:pPr>
              <w:spacing w:after="0"/>
              <w:rPr>
                <w:sz w:val="16"/>
                <w:szCs w:val="16"/>
                <w:color w:val="auto"/>
              </w:rPr>
            </w:pPr>
          </w:p>
        </w:tc>
        <w:tc>
          <w:tcPr>
            <w:tcW w:w="3800" w:type="dxa"/>
            <w:vAlign w:val="bottom"/>
            <w:shd w:val="clear" w:color="auto" w:fill="E2EDED"/>
          </w:tcPr>
          <w:p>
            <w:pPr>
              <w:spacing w:after="0"/>
              <w:rPr>
                <w:sz w:val="16"/>
                <w:szCs w:val="16"/>
                <w:color w:val="auto"/>
              </w:rPr>
            </w:pPr>
          </w:p>
        </w:tc>
      </w:tr>
      <w:tr>
        <w:trPr>
          <w:trHeight w:val="182"/>
        </w:trPr>
        <w:tc>
          <w:tcPr>
            <w:tcW w:w="3780" w:type="dxa"/>
            <w:vAlign w:val="bottom"/>
            <w:shd w:val="clear" w:color="auto" w:fill="E2EDED"/>
          </w:tcPr>
          <w:p>
            <w:pPr>
              <w:spacing w:after="0"/>
              <w:rPr>
                <w:sz w:val="15"/>
                <w:szCs w:val="15"/>
                <w:color w:val="auto"/>
              </w:rPr>
            </w:pPr>
          </w:p>
        </w:tc>
        <w:tc>
          <w:tcPr>
            <w:tcW w:w="3440" w:type="dxa"/>
            <w:vAlign w:val="bottom"/>
            <w:shd w:val="clear" w:color="auto" w:fill="E2EDED"/>
          </w:tcPr>
          <w:p>
            <w:pPr>
              <w:spacing w:after="0"/>
              <w:rPr>
                <w:sz w:val="15"/>
                <w:szCs w:val="15"/>
                <w:color w:val="auto"/>
              </w:rPr>
            </w:pPr>
          </w:p>
        </w:tc>
        <w:tc>
          <w:tcPr>
            <w:tcW w:w="3800" w:type="dxa"/>
            <w:vAlign w:val="bottom"/>
            <w:shd w:val="clear" w:color="auto" w:fill="E2EDED"/>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-762635</wp:posOffset>
            </wp:positionV>
            <wp:extent cx="34290" cy="763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763270"/>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-762635</wp:posOffset>
            </wp:positionV>
            <wp:extent cx="34290" cy="763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763270"/>
                    </a:xfrm>
                    <a:prstGeom prst="rect">
                      <a:avLst/>
                    </a:prstGeom>
                    <a:noFill/>
                  </pic:spPr>
                </pic:pic>
              </a:graphicData>
            </a:graphic>
          </wp:anchor>
        </w:drawing>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3D0A51"/>
        </w:rPr>
        <w:t>At a corporate level</w:t>
      </w:r>
      <w:r>
        <w:rPr>
          <w:rFonts w:ascii="Arial" w:cs="Arial" w:eastAsia="Arial" w:hAnsi="Arial"/>
          <w:sz w:val="16"/>
          <w:szCs w:val="16"/>
          <w:color w:val="000000"/>
        </w:rPr>
        <w:t>, our overarching commitment to social responsibility includes:</w:t>
      </w:r>
    </w:p>
    <w:p>
      <w:pPr>
        <w:spacing w:after="0" w:line="25" w:lineRule="exact"/>
        <w:rPr>
          <w:sz w:val="20"/>
          <w:szCs w:val="20"/>
          <w:color w:val="auto"/>
        </w:rPr>
      </w:pPr>
    </w:p>
    <w:p>
      <w:pPr>
        <w:ind w:left="540" w:hanging="42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Creating a five-star workplace</w:t>
      </w:r>
    </w:p>
    <w:p>
      <w:pPr>
        <w:spacing w:after="0" w:line="5" w:lineRule="exact"/>
        <w:rPr>
          <w:rFonts w:ascii="Arial" w:cs="Arial" w:eastAsia="Arial" w:hAnsi="Arial"/>
          <w:sz w:val="16"/>
          <w:szCs w:val="16"/>
          <w:color w:val="auto"/>
        </w:rPr>
      </w:pPr>
    </w:p>
    <w:p>
      <w:pPr>
        <w:ind w:left="540" w:hanging="42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Fostering a diverse and inclusive workforce</w:t>
      </w:r>
    </w:p>
    <w:p>
      <w:pPr>
        <w:spacing w:after="0" w:line="5" w:lineRule="exact"/>
        <w:rPr>
          <w:rFonts w:ascii="Arial" w:cs="Arial" w:eastAsia="Arial" w:hAnsi="Arial"/>
          <w:sz w:val="16"/>
          <w:szCs w:val="16"/>
          <w:color w:val="auto"/>
        </w:rPr>
      </w:pPr>
    </w:p>
    <w:p>
      <w:pPr>
        <w:ind w:left="540" w:hanging="42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Investing in the training and development of our employees and others in our community</w:t>
      </w:r>
    </w:p>
    <w:p>
      <w:pPr>
        <w:spacing w:after="0" w:line="5" w:lineRule="exact"/>
        <w:rPr>
          <w:rFonts w:ascii="Arial" w:cs="Arial" w:eastAsia="Arial" w:hAnsi="Arial"/>
          <w:sz w:val="16"/>
          <w:szCs w:val="16"/>
          <w:color w:val="auto"/>
        </w:rPr>
      </w:pPr>
    </w:p>
    <w:p>
      <w:pPr>
        <w:ind w:left="540" w:hanging="42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Furthering social impact initiatives in our communities</w:t>
      </w:r>
    </w:p>
    <w:p>
      <w:pPr>
        <w:spacing w:after="0" w:line="5" w:lineRule="exact"/>
        <w:rPr>
          <w:rFonts w:ascii="Arial" w:cs="Arial" w:eastAsia="Arial" w:hAnsi="Arial"/>
          <w:sz w:val="16"/>
          <w:szCs w:val="16"/>
          <w:color w:val="auto"/>
        </w:rPr>
      </w:pPr>
    </w:p>
    <w:p>
      <w:pPr>
        <w:ind w:left="540" w:right="440" w:hanging="424"/>
        <w:spacing w:after="0" w:line="246"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Minimizing the harm and maximizing the benefit that we have on our community and environment by using and sourcing energy and materials responsibly</w:t>
      </w:r>
    </w:p>
    <w:p>
      <w:pPr>
        <w:ind w:left="540" w:hanging="424"/>
        <w:spacing w:after="0"/>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Elevating our corporate governance practices to ensure they appropriately support the long-term interests of our stakeholders</w:t>
      </w:r>
    </w:p>
    <w:p>
      <w:pPr>
        <w:spacing w:after="0" w:line="201"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b w:val="1"/>
          <w:bCs w:val="1"/>
          <w:color w:val="3D0A51"/>
        </w:rPr>
        <w:t>In North America</w:t>
      </w:r>
      <w:r>
        <w:rPr>
          <w:rFonts w:ascii="Arial" w:cs="Arial" w:eastAsia="Arial" w:hAnsi="Arial"/>
          <w:sz w:val="16"/>
          <w:szCs w:val="16"/>
          <w:color w:val="000000"/>
        </w:rPr>
        <w:t>, we have taken a leading role in the hospitality industry’s transition to clean and sustainable sources of energy. Our investments in</w:t>
      </w:r>
      <w:r>
        <w:rPr>
          <w:rFonts w:ascii="Arial" w:cs="Arial" w:eastAsia="Arial" w:hAnsi="Arial"/>
          <w:sz w:val="16"/>
          <w:szCs w:val="16"/>
          <w:b w:val="1"/>
          <w:bCs w:val="1"/>
          <w:color w:val="3D0A51"/>
        </w:rPr>
        <w:t xml:space="preserve"> </w:t>
      </w:r>
      <w:r>
        <w:rPr>
          <w:rFonts w:ascii="Arial" w:cs="Arial" w:eastAsia="Arial" w:hAnsi="Arial"/>
          <w:sz w:val="16"/>
          <w:szCs w:val="16"/>
          <w:color w:val="000000"/>
        </w:rPr>
        <w:t>alternative energy, including on-site solar facilities and notably, a 160-acre solar facility in Northern Nevada, have earned us an invitation to join the U.S. Environmental Protection Agency’s Green Power Partnership and a top ranking among Fortune 500 companies that voluntarily use green power to reduce air pollution and other environmental impacts associated with electricity use.</w:t>
      </w:r>
    </w:p>
    <w:p>
      <w:pPr>
        <w:spacing w:after="0" w:line="198" w:lineRule="exact"/>
        <w:rPr>
          <w:sz w:val="20"/>
          <w:szCs w:val="20"/>
          <w:color w:val="auto"/>
        </w:rPr>
      </w:pPr>
    </w:p>
    <w:p>
      <w:pPr>
        <w:ind w:left="120" w:right="480"/>
        <w:spacing w:after="0" w:line="251" w:lineRule="auto"/>
        <w:rPr>
          <w:sz w:val="20"/>
          <w:szCs w:val="20"/>
          <w:color w:val="auto"/>
        </w:rPr>
      </w:pPr>
      <w:r>
        <w:rPr>
          <w:rFonts w:ascii="Arial" w:cs="Arial" w:eastAsia="Arial" w:hAnsi="Arial"/>
          <w:sz w:val="16"/>
          <w:szCs w:val="16"/>
          <w:color w:val="auto"/>
        </w:rPr>
        <w:t>We benefit from a diverse and inclusive workforce in which divergent perspectives create a thoughtful approach to solving business challenges. We encourage our employees to avail themselves of numerous leadership and development opportunities and use our resources to also assist in the education and development of the next generation of employees and leaders. In this extraordinary year, we have focused on the well-being of our employees and renewed our focus on diversity and inclusion.</w:t>
      </w:r>
    </w:p>
    <w:p>
      <w:pPr>
        <w:spacing w:after="0" w:line="202" w:lineRule="exact"/>
        <w:rPr>
          <w:sz w:val="20"/>
          <w:szCs w:val="20"/>
          <w:color w:val="auto"/>
        </w:rPr>
      </w:pPr>
    </w:p>
    <w:p>
      <w:pPr>
        <w:ind w:left="120" w:right="320"/>
        <w:spacing w:after="0" w:line="260" w:lineRule="auto"/>
        <w:rPr>
          <w:sz w:val="20"/>
          <w:szCs w:val="20"/>
          <w:color w:val="auto"/>
        </w:rPr>
      </w:pPr>
      <w:r>
        <w:rPr>
          <w:rFonts w:ascii="Arial" w:cs="Arial" w:eastAsia="Arial" w:hAnsi="Arial"/>
          <w:sz w:val="16"/>
          <w:szCs w:val="16"/>
          <w:color w:val="auto"/>
        </w:rPr>
        <w:t>We are also fully committed to supporting our communities in the Las Vegas and Boston areas, through our corporate giving program and through the Wynn Employee Foundation (“WEF”), which fosters charitable giving and volunteerism among Wynn employees and community partners.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21</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76"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b w:val="1"/>
          <w:bCs w:val="1"/>
          <w:color w:val="3D0A51"/>
        </w:rPr>
        <w:t xml:space="preserve">In Macau </w:t>
      </w:r>
      <w:r>
        <w:rPr>
          <w:rFonts w:ascii="Arial" w:cs="Arial" w:eastAsia="Arial" w:hAnsi="Arial"/>
          <w:sz w:val="16"/>
          <w:szCs w:val="16"/>
          <w:color w:val="000000"/>
        </w:rPr>
        <w:t>and across the Greater Bay Area (the region encompassing Macau, Hong Kong and southern Guangdong Province), we strive to drive</w:t>
      </w:r>
      <w:r>
        <w:rPr>
          <w:rFonts w:ascii="Arial" w:cs="Arial" w:eastAsia="Arial" w:hAnsi="Arial"/>
          <w:sz w:val="16"/>
          <w:szCs w:val="16"/>
          <w:b w:val="1"/>
          <w:bCs w:val="1"/>
          <w:color w:val="3D0A51"/>
        </w:rPr>
        <w:t xml:space="preserve"> </w:t>
      </w:r>
      <w:r>
        <w:rPr>
          <w:rFonts w:ascii="Arial" w:cs="Arial" w:eastAsia="Arial" w:hAnsi="Arial"/>
          <w:sz w:val="16"/>
          <w:szCs w:val="16"/>
          <w:color w:val="000000"/>
        </w:rPr>
        <w:t>reinvestment in our community, encourage volunteerism, and promote responsible gaming through our Wynn Care program. Since launching this program in Macau, we have centralized our community-focused initiatives under one umbrella and meaningfully increased our involvement in various volunteer activities and community events in Macau, the Greater Bay Area, and beyond. We are also fully committed to the sustainable development of Macau and endeavor to provide our guests with a premium experience while remaining environmentally conscious by monitoring and reducing inefficient consumption and embracing technologies that help us to responsibly use our resources. In addition, we provide our employees in Macau with numerous professional development and training opportunities to elevate core and leadership skills.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31"/>
          <w:szCs w:val="31"/>
          <w:color w:val="3D0A51"/>
        </w:rPr>
        <w:t>Our people</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HUMAN CAPITAL MANAGEMENT</w:t>
      </w:r>
    </w:p>
    <w:p>
      <w:pPr>
        <w:spacing w:after="0" w:line="13"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Our core philosophy that “Only People Can Make People Happy” has resulted in a culture focused on the engagement and happiness of our employees.</w:t>
      </w:r>
    </w:p>
    <w:p>
      <w:pPr>
        <w:spacing w:after="0" w:line="170" w:lineRule="exact"/>
        <w:rPr>
          <w:sz w:val="20"/>
          <w:szCs w:val="20"/>
          <w:color w:val="auto"/>
        </w:rPr>
      </w:pPr>
    </w:p>
    <w:p>
      <w:pPr>
        <w:ind w:left="120" w:right="60"/>
        <w:spacing w:after="0" w:line="246" w:lineRule="auto"/>
        <w:rPr>
          <w:sz w:val="20"/>
          <w:szCs w:val="20"/>
          <w:color w:val="auto"/>
        </w:rPr>
      </w:pPr>
      <w:r>
        <w:rPr>
          <w:rFonts w:ascii="Arial" w:cs="Arial" w:eastAsia="Arial" w:hAnsi="Arial"/>
          <w:sz w:val="18"/>
          <w:szCs w:val="18"/>
          <w:color w:val="auto"/>
        </w:rPr>
        <w:t>In the face of the COVID-19 pandemic, we began addressing the widespread and unexpected business challenges it created by focusing on the well-being of our greatest asset: our employees. In 2020, we:</w:t>
      </w:r>
    </w:p>
    <w:p>
      <w:pPr>
        <w:spacing w:after="0" w:line="224" w:lineRule="exact"/>
        <w:rPr>
          <w:sz w:val="20"/>
          <w:szCs w:val="20"/>
          <w:color w:val="auto"/>
        </w:rPr>
      </w:pPr>
    </w:p>
    <w:p>
      <w:pPr>
        <w:ind w:left="540" w:right="140" w:hanging="424"/>
        <w:spacing w:after="0" w:line="246"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Committed to pay all employees, including part-time employees, full compensation including wages and an estimate of tips and full benefits while our resorts were closed, keeping 16,000 valued team members from joining the ranks of the unemployed.</w:t>
      </w:r>
    </w:p>
    <w:p>
      <w:pPr>
        <w:spacing w:after="0" w:line="223" w:lineRule="exact"/>
        <w:rPr>
          <w:rFonts w:ascii="Arial" w:cs="Arial" w:eastAsia="Arial" w:hAnsi="Arial"/>
          <w:sz w:val="18"/>
          <w:szCs w:val="18"/>
          <w:color w:val="auto"/>
        </w:rPr>
      </w:pPr>
    </w:p>
    <w:p>
      <w:pPr>
        <w:ind w:left="540" w:right="180" w:hanging="424"/>
        <w:spacing w:after="0" w:line="246"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Made wellness and mental health of our employees a focus throughout the pandemic, offering emotional, financial and community health information and launched the Wellness Coach App for all employees for tools and resources to enhance their well-being.</w:t>
      </w:r>
    </w:p>
    <w:p>
      <w:pPr>
        <w:spacing w:after="0" w:line="223" w:lineRule="exact"/>
        <w:rPr>
          <w:rFonts w:ascii="Arial" w:cs="Arial" w:eastAsia="Arial" w:hAnsi="Arial"/>
          <w:sz w:val="18"/>
          <w:szCs w:val="18"/>
          <w:color w:val="auto"/>
        </w:rPr>
      </w:pPr>
    </w:p>
    <w:p>
      <w:pPr>
        <w:ind w:left="540" w:hanging="424"/>
        <w:spacing w:after="0" w:line="246"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Launched a Virtual Volunteer program to provide team members with a digital platform to give back through national and local online volunteer opportunities.</w:t>
      </w:r>
    </w:p>
    <w:p>
      <w:pPr>
        <w:spacing w:after="0" w:line="223" w:lineRule="exact"/>
        <w:rPr>
          <w:rFonts w:ascii="Arial" w:cs="Arial" w:eastAsia="Arial" w:hAnsi="Arial"/>
          <w:sz w:val="18"/>
          <w:szCs w:val="18"/>
          <w:color w:val="auto"/>
        </w:rPr>
      </w:pPr>
    </w:p>
    <w:p>
      <w:pPr>
        <w:ind w:left="540" w:right="700" w:hanging="424"/>
        <w:spacing w:after="0" w:line="246"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Voluntarily adopted an emergency leave policy to allow employees to take paid sick leave if they or a family member in their household is diagnosed with COVID-19.</w:t>
      </w:r>
    </w:p>
    <w:p>
      <w:pPr>
        <w:spacing w:after="0" w:line="223" w:lineRule="exact"/>
        <w:rPr>
          <w:rFonts w:ascii="Arial" w:cs="Arial" w:eastAsia="Arial" w:hAnsi="Arial"/>
          <w:sz w:val="18"/>
          <w:szCs w:val="18"/>
          <w:color w:val="auto"/>
        </w:rPr>
      </w:pPr>
    </w:p>
    <w:p>
      <w:pPr>
        <w:ind w:left="540" w:right="740" w:hanging="424"/>
        <w:spacing w:after="0" w:line="246"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Partnered with University Medical Center to test our employees and exposed family members, with over 25,000 tests being administered in 2020.</w:t>
      </w:r>
    </w:p>
    <w:p>
      <w:pPr>
        <w:spacing w:after="0" w:line="223" w:lineRule="exact"/>
        <w:rPr>
          <w:rFonts w:ascii="Arial" w:cs="Arial" w:eastAsia="Arial" w:hAnsi="Arial"/>
          <w:sz w:val="18"/>
          <w:szCs w:val="18"/>
          <w:color w:val="auto"/>
        </w:rPr>
      </w:pPr>
    </w:p>
    <w:p>
      <w:pPr>
        <w:ind w:left="540" w:right="840" w:hanging="424"/>
        <w:spacing w:after="0" w:line="246"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Offered Wynn Las Vegas employees, through a unique partnership with Boys and Girls Club of Southern Nevada, no-cost professionally supervised learning centers for their children attending public school “virtually”.</w:t>
      </w:r>
    </w:p>
    <w:p>
      <w:pPr>
        <w:spacing w:after="0" w:line="223" w:lineRule="exact"/>
        <w:rPr>
          <w:rFonts w:ascii="Arial" w:cs="Arial" w:eastAsia="Arial" w:hAnsi="Arial"/>
          <w:sz w:val="18"/>
          <w:szCs w:val="18"/>
          <w:color w:val="auto"/>
        </w:rPr>
      </w:pPr>
    </w:p>
    <w:p>
      <w:pPr>
        <w:ind w:left="540" w:hanging="424"/>
        <w:spacing w:after="0" w:line="246"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Committed to $1 million in funding, increased the benefits, and relaxed the criteria for employees to take advantage of the Employee Lifeline Fund for those whose financial situation was affected by circumstances such as layoffs of their spouses.</w:t>
      </w:r>
    </w:p>
    <w:p>
      <w:pPr>
        <w:spacing w:after="0" w:line="223" w:lineRule="exact"/>
        <w:rPr>
          <w:rFonts w:ascii="Arial" w:cs="Arial" w:eastAsia="Arial" w:hAnsi="Arial"/>
          <w:sz w:val="18"/>
          <w:szCs w:val="18"/>
          <w:color w:val="auto"/>
        </w:rPr>
      </w:pPr>
    </w:p>
    <w:p>
      <w:pPr>
        <w:ind w:left="540" w:right="22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Continued to engage with our employees while our resorts were closed through virtual employee talent shows, TikTok challenges, virtual cooking classes and virtual family field trips to the Egyptian Pyramids, Buckingham Palace, the Louvre and other iconic locations.</w:t>
      </w:r>
    </w:p>
    <w:p>
      <w:pPr>
        <w:spacing w:after="0" w:line="229" w:lineRule="exact"/>
        <w:rPr>
          <w:rFonts w:ascii="Arial" w:cs="Arial" w:eastAsia="Arial" w:hAnsi="Arial"/>
          <w:sz w:val="18"/>
          <w:szCs w:val="18"/>
          <w:color w:val="auto"/>
        </w:rPr>
      </w:pPr>
    </w:p>
    <w:p>
      <w:pPr>
        <w:ind w:left="540" w:right="980" w:hanging="424"/>
        <w:spacing w:after="0" w:line="246"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Gave retention grants of equity to over 400 key employees, made possible by the CEO’s request and the Compensation Committee’s agreement to cancel 140,000 CEO performance shares.</w:t>
      </w:r>
    </w:p>
    <w:p>
      <w:pPr>
        <w:spacing w:after="0" w:line="197"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Beyond our responses to the pandemic, we remain committed to the success of each of our approximately 27,500 employees. We are leaders in the industry in employee retention because we provide exceptional benefits, are committed to diversity and inclusion, and create opportunities for advancement through extensive educational programs.</w:t>
      </w:r>
    </w:p>
    <w:p>
      <w:pPr>
        <w:spacing w:after="0" w:line="46" w:lineRule="exact"/>
        <w:rPr>
          <w:sz w:val="20"/>
          <w:szCs w:val="20"/>
          <w:color w:val="auto"/>
        </w:rPr>
      </w:pPr>
    </w:p>
    <w:p>
      <w:pPr>
        <w:ind w:left="800" w:hanging="684"/>
        <w:spacing w:after="0"/>
        <w:tabs>
          <w:tab w:leader="none" w:pos="800" w:val="left"/>
        </w:tabs>
        <w:numPr>
          <w:ilvl w:val="0"/>
          <w:numId w:val="38"/>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EMPLOYEE BENEFITS</w:t>
      </w:r>
    </w:p>
    <w:p>
      <w:pPr>
        <w:spacing w:after="0" w:line="13"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Contributing to our motivated workforce is a collection of employee programs and benefits that are the envy of our industry. We continue our work on pay and promotion equity, making changes as we find discrepancies. Some of our most popular benefits are voluntary ones such as home or even pet insurance. Each employee with a newborn is eligible for a $250 perfect start award and our Paid Parental Leave program is among the most generous programs in Las Vegas, as is our employee and family scholarship programs, both in North America and in Macau.</w:t>
      </w:r>
    </w:p>
    <w:p>
      <w:pPr>
        <w:spacing w:after="0" w:line="202" w:lineRule="exact"/>
        <w:rPr>
          <w:sz w:val="20"/>
          <w:szCs w:val="20"/>
          <w:color w:val="auto"/>
        </w:rPr>
      </w:pPr>
    </w:p>
    <w:p>
      <w:pPr>
        <w:ind w:left="120" w:right="540"/>
        <w:spacing w:after="0" w:line="274" w:lineRule="auto"/>
        <w:rPr>
          <w:sz w:val="20"/>
          <w:szCs w:val="20"/>
          <w:color w:val="auto"/>
        </w:rPr>
      </w:pPr>
      <w:r>
        <w:rPr>
          <w:rFonts w:ascii="Arial" w:cs="Arial" w:eastAsia="Arial" w:hAnsi="Arial"/>
          <w:sz w:val="17"/>
          <w:szCs w:val="17"/>
          <w:color w:val="auto"/>
        </w:rPr>
        <w:t>Our bonus and equity incentive programs for mid-level executives and above are designed to encourage long-term employment and alignment with shareholder interests. Our bonus and long-term incentive programs are overseen by the Compensation Committee.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DIVERSITY AND INCLUSION</w:t>
      </w:r>
    </w:p>
    <w:p>
      <w:pPr>
        <w:spacing w:after="0" w:line="13"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Diversity and inclusion are the cornerstone of our human capital management efforts, and fully supported by the Board and senior management. Our CEO is a signatory to the CEO Action for Diversity and Inclusion Pledge, the largest CEO-driven business commitment to advance diversity and inclusion in the workplace. We are committed to standing up publicly for our beliefs and practices, with Matt Maddox issuing strong statements against racism and publicly confirming his commitment to diversity:</w:t>
      </w:r>
    </w:p>
    <w:p>
      <w:pPr>
        <w:spacing w:after="0" w:line="178" w:lineRule="exact"/>
        <w:rPr>
          <w:sz w:val="20"/>
          <w:szCs w:val="20"/>
          <w:color w:val="auto"/>
        </w:rPr>
      </w:pPr>
    </w:p>
    <w:p>
      <w:pPr>
        <w:ind w:left="560" w:right="220"/>
        <w:spacing w:after="0" w:line="246" w:lineRule="auto"/>
        <w:rPr>
          <w:sz w:val="20"/>
          <w:szCs w:val="20"/>
          <w:color w:val="auto"/>
        </w:rPr>
      </w:pPr>
      <w:r>
        <w:rPr>
          <w:rFonts w:ascii="Arial" w:cs="Arial" w:eastAsia="Arial" w:hAnsi="Arial"/>
          <w:sz w:val="18"/>
          <w:szCs w:val="18"/>
          <w:color w:val="auto"/>
        </w:rPr>
        <w:t>“Racism has no place in our society. The Wynn family is made up of every race, color and creed- representing the very best of Las Vegas and Boston. Now is the time for us to stand united, come together and work for change.”</w:t>
      </w:r>
    </w:p>
    <w:p>
      <w:pPr>
        <w:spacing w:after="0" w:line="154" w:lineRule="exact"/>
        <w:rPr>
          <w:sz w:val="20"/>
          <w:szCs w:val="20"/>
          <w:color w:val="auto"/>
        </w:rPr>
      </w:pPr>
    </w:p>
    <w:p>
      <w:pPr>
        <w:ind w:left="560" w:right="100"/>
        <w:spacing w:after="0" w:line="249" w:lineRule="auto"/>
        <w:rPr>
          <w:sz w:val="20"/>
          <w:szCs w:val="20"/>
          <w:color w:val="auto"/>
        </w:rPr>
      </w:pPr>
      <w:r>
        <w:rPr>
          <w:rFonts w:ascii="Arial" w:cs="Arial" w:eastAsia="Arial" w:hAnsi="Arial"/>
          <w:sz w:val="18"/>
          <w:szCs w:val="18"/>
          <w:color w:val="auto"/>
        </w:rPr>
        <w:t>“On this 155</w:t>
      </w:r>
      <w:r>
        <w:rPr>
          <w:rFonts w:ascii="Arial" w:cs="Arial" w:eastAsia="Arial" w:hAnsi="Arial"/>
          <w:sz w:val="15"/>
          <w:szCs w:val="15"/>
          <w:color w:val="auto"/>
        </w:rPr>
        <w:t>th</w:t>
      </w:r>
      <w:r>
        <w:rPr>
          <w:rFonts w:ascii="Arial" w:cs="Arial" w:eastAsia="Arial" w:hAnsi="Arial"/>
          <w:sz w:val="18"/>
          <w:szCs w:val="18"/>
          <w:color w:val="auto"/>
        </w:rPr>
        <w:t xml:space="preserve"> anniversary of Juneteenth, we ask that each of us pause for a moment and decide what we will commit to do today to increase equality and eliminate racism in our community.”</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EXCEPTIONALLY DIVERSE WORKFORCE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257810</wp:posOffset>
            </wp:positionV>
            <wp:extent cx="5031740" cy="21856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3174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While these commitments and statements are recent, the evidence of our workforce demonstrates that the commitment is not: over 70% of our line level employees are ethnically diverse and over 50% of our managers are ethnically diverse.</w:t>
      </w:r>
    </w:p>
    <w:p>
      <w:pPr>
        <w:spacing w:after="0" w:line="197"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We have also implemented or endorsed a number of different opportunities to encourage and support diversity in the workplace, including establishing affinity groups, sponsoring employees to participate in a U.S. citizenship program, with 84 employees taking advantage of the opportunity in 2020, training our employees on diversity, inclusion and implied biases and offering English as a second language. We also sponsored “Race and Racism in Nevada, Conversations to Better Understand our Diverse Community,” a five-part series on Nevada Public Radio.</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23</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TRAINING AND DEVELOPMENT</w:t>
      </w:r>
    </w:p>
    <w:p>
      <w:pPr>
        <w:spacing w:after="0" w:line="1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We foster the growth and development of our employees to ensure that they remain best-equipped to deliver the singular customer service at each of our resorts. Across our resorts, we maintain an extensive program of training and development focused on skills development and career advancement. While large-scale in-person trainings were impossible due to the constraints of physical distancing requirements, we offered an online executive development series and encouraged team building and leadership skills with GIFT (Great Ideas From Teams) an operational improvement program. As our business returns to pre-COVID levels, we will relaunch our mentorship and leadership development programs.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MENTORSHIP PROGRAMS</w:t>
      </w:r>
    </w:p>
    <w:p>
      <w:pPr>
        <w:spacing w:after="0" w:line="13" w:lineRule="exact"/>
        <w:rPr>
          <w:sz w:val="20"/>
          <w:szCs w:val="20"/>
          <w:color w:val="auto"/>
        </w:rPr>
      </w:pPr>
    </w:p>
    <w:p>
      <w:pPr>
        <w:ind w:left="120" w:right="280"/>
        <w:spacing w:after="0" w:line="246" w:lineRule="auto"/>
        <w:rPr>
          <w:sz w:val="20"/>
          <w:szCs w:val="20"/>
          <w:color w:val="auto"/>
        </w:rPr>
      </w:pPr>
      <w:r>
        <w:rPr>
          <w:rFonts w:ascii="Arial" w:cs="Arial" w:eastAsia="Arial" w:hAnsi="Arial"/>
          <w:sz w:val="18"/>
          <w:szCs w:val="18"/>
          <w:color w:val="auto"/>
        </w:rPr>
        <w:t>Mentorship programs across Wynn Resorts properties are building a culture of internal mentorship, professional support, and personal development, pairing supervisors and managers with senior executives, including the resort presidents.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WE STRIVE</w:t>
      </w:r>
    </w:p>
    <w:p>
      <w:pPr>
        <w:spacing w:after="0" w:line="13" w:lineRule="exact"/>
        <w:rPr>
          <w:sz w:val="20"/>
          <w:szCs w:val="20"/>
          <w:color w:val="auto"/>
        </w:rPr>
      </w:pPr>
    </w:p>
    <w:p>
      <w:pPr>
        <w:ind w:left="120" w:right="220"/>
        <w:spacing w:after="0"/>
        <w:rPr>
          <w:sz w:val="20"/>
          <w:szCs w:val="20"/>
          <w:color w:val="auto"/>
        </w:rPr>
      </w:pPr>
      <w:r>
        <w:rPr>
          <w:rFonts w:ascii="Arial" w:cs="Arial" w:eastAsia="Arial" w:hAnsi="Arial"/>
          <w:sz w:val="18"/>
          <w:szCs w:val="18"/>
          <w:color w:val="auto"/>
        </w:rPr>
        <w:t>The WE Strive Program, through which we provide leadership development training to high-potential, line-level employees interested in pursuing a management career, is a three-month program covering leadership, team building, public speaking, emotional intelligence, conflict resolution, professional communication, and personal development.</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SCHOLARSHIP AND TUITION REIMBURSEMENT</w:t>
      </w:r>
    </w:p>
    <w:p>
      <w:pPr>
        <w:spacing w:after="0" w:line="13" w:lineRule="exact"/>
        <w:rPr>
          <w:sz w:val="20"/>
          <w:szCs w:val="20"/>
          <w:color w:val="auto"/>
        </w:rPr>
      </w:pPr>
    </w:p>
    <w:p>
      <w:pPr>
        <w:jc w:val="both"/>
        <w:ind w:left="120" w:right="180"/>
        <w:spacing w:after="0" w:line="274" w:lineRule="auto"/>
        <w:rPr>
          <w:sz w:val="20"/>
          <w:szCs w:val="20"/>
          <w:color w:val="auto"/>
        </w:rPr>
      </w:pPr>
      <w:r>
        <w:rPr>
          <w:rFonts w:ascii="Arial" w:cs="Arial" w:eastAsia="Arial" w:hAnsi="Arial"/>
          <w:sz w:val="17"/>
          <w:szCs w:val="17"/>
          <w:color w:val="auto"/>
        </w:rPr>
        <w:t>North American employees are eligible for WEF-sponsored scholarships awarded annually. Additionally, employees who are pursuing a college degree in an industry-related field are eligible for tuition reimbursement. We similarly fund scholarships for local talent in Macau.</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31"/>
          <w:szCs w:val="31"/>
          <w:color w:val="3D0A51"/>
        </w:rPr>
        <w:t>Our communities</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face of a global pandemic, which affected every aspect of our business, we continued to take care of our communities by:</w:t>
      </w:r>
    </w:p>
    <w:p>
      <w:pPr>
        <w:spacing w:after="0" w:line="239" w:lineRule="exact"/>
        <w:rPr>
          <w:sz w:val="20"/>
          <w:szCs w:val="20"/>
          <w:color w:val="auto"/>
        </w:rPr>
      </w:pPr>
    </w:p>
    <w:p>
      <w:pPr>
        <w:ind w:left="440" w:right="80" w:hanging="324"/>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sharing our Health &amp; Safety program, based on the advice of a team of leading medical and public health professionals which has become the gold standard for our and other industries and served as the foundation for the reopening of our resorts</w:t>
      </w:r>
    </w:p>
    <w:p>
      <w:pPr>
        <w:spacing w:after="0" w:line="229" w:lineRule="exact"/>
        <w:rPr>
          <w:rFonts w:ascii="Arial" w:cs="Arial" w:eastAsia="Arial" w:hAnsi="Arial"/>
          <w:sz w:val="18"/>
          <w:szCs w:val="18"/>
          <w:color w:val="auto"/>
        </w:rPr>
      </w:pPr>
    </w:p>
    <w:p>
      <w:pPr>
        <w:ind w:left="440" w:right="180" w:hanging="324"/>
        <w:spacing w:after="0" w:line="246"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Assisting the Southern Nevada Health District with its ramped-up contact tracing efforts by allocating more than 100 team members from the Wynn Teleservices Call Center</w:t>
      </w:r>
    </w:p>
    <w:p>
      <w:pPr>
        <w:spacing w:after="0" w:line="223" w:lineRule="exact"/>
        <w:rPr>
          <w:rFonts w:ascii="Arial" w:cs="Arial" w:eastAsia="Arial" w:hAnsi="Arial"/>
          <w:sz w:val="18"/>
          <w:szCs w:val="18"/>
          <w:color w:val="auto"/>
        </w:rPr>
      </w:pPr>
    </w:p>
    <w:p>
      <w:pPr>
        <w:jc w:val="both"/>
        <w:ind w:left="440" w:right="20" w:hanging="324"/>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 round-the-clock, multi-department contact tracing team to ensure that each employee who tests positive for COVID-19 (which has been almost exclusively from community spread) receives detailed, thorough and personalized service to ensure that they and their families return to full health and that they do not spread it further throughout the community</w:t>
      </w:r>
    </w:p>
    <w:p>
      <w:pPr>
        <w:spacing w:after="0" w:line="229" w:lineRule="exact"/>
        <w:rPr>
          <w:rFonts w:ascii="Arial" w:cs="Arial" w:eastAsia="Arial" w:hAnsi="Arial"/>
          <w:sz w:val="18"/>
          <w:szCs w:val="18"/>
          <w:color w:val="auto"/>
        </w:rPr>
      </w:pPr>
    </w:p>
    <w:p>
      <w:pPr>
        <w:ind w:left="440" w:right="300" w:hanging="324"/>
        <w:spacing w:after="0" w:line="246"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 first of its kind, PCR testing site at Wynn Las Vegas, which will allow us to test our employees and our guests on an expedited basis allowing return to more normal business activities</w:t>
      </w:r>
    </w:p>
    <w:p>
      <w:pPr>
        <w:spacing w:after="0" w:line="223" w:lineRule="exact"/>
        <w:rPr>
          <w:rFonts w:ascii="Arial" w:cs="Arial" w:eastAsia="Arial" w:hAnsi="Arial"/>
          <w:sz w:val="18"/>
          <w:szCs w:val="18"/>
          <w:color w:val="auto"/>
        </w:rPr>
      </w:pPr>
    </w:p>
    <w:p>
      <w:pPr>
        <w:ind w:left="440" w:right="200" w:hanging="324"/>
        <w:spacing w:after="0" w:line="246"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Establishing a COVID-19 vaccination site for community members in partnership with University Medical Center allowing our health care partner to vaccinate more individuals than it was able to do at its own location</w:t>
      </w:r>
    </w:p>
    <w:p>
      <w:pPr>
        <w:spacing w:after="0" w:line="223" w:lineRule="exact"/>
        <w:rPr>
          <w:rFonts w:ascii="Arial" w:cs="Arial" w:eastAsia="Arial" w:hAnsi="Arial"/>
          <w:sz w:val="18"/>
          <w:szCs w:val="18"/>
          <w:color w:val="auto"/>
        </w:rPr>
      </w:pPr>
    </w:p>
    <w:p>
      <w:pPr>
        <w:ind w:left="440" w:right="200" w:hanging="324"/>
        <w:spacing w:after="0" w:line="246"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Donating over $23 million in cash and in-kind donations to charitable organizations, $4.75 million of which was in-kind donations for COVID-19 relief efforts:</w:t>
      </w:r>
    </w:p>
    <w:p>
      <w:pPr>
        <w:spacing w:after="0" w:line="223" w:lineRule="exact"/>
        <w:rPr>
          <w:rFonts w:ascii="Arial" w:cs="Arial" w:eastAsia="Arial" w:hAnsi="Arial"/>
          <w:sz w:val="18"/>
          <w:szCs w:val="18"/>
          <w:color w:val="auto"/>
        </w:rPr>
      </w:pPr>
    </w:p>
    <w:p>
      <w:pPr>
        <w:ind w:left="760" w:hanging="320"/>
        <w:spacing w:after="0" w:line="246" w:lineRule="auto"/>
        <w:tabs>
          <w:tab w:leader="none" w:pos="760" w:val="left"/>
        </w:tabs>
        <w:numPr>
          <w:ilvl w:val="1"/>
          <w:numId w:val="39"/>
        </w:numPr>
        <w:rPr>
          <w:rFonts w:ascii="Arial" w:cs="Arial" w:eastAsia="Arial" w:hAnsi="Arial"/>
          <w:sz w:val="15"/>
          <w:szCs w:val="15"/>
          <w:color w:val="auto"/>
        </w:rPr>
      </w:pPr>
      <w:r>
        <w:rPr>
          <w:rFonts w:ascii="Arial" w:cs="Arial" w:eastAsia="Arial" w:hAnsi="Arial"/>
          <w:sz w:val="18"/>
          <w:szCs w:val="18"/>
          <w:color w:val="auto"/>
        </w:rPr>
        <w:t>More than 245,000 N95-equivalent respirator masks, 1,775,000 surgical masks, and 640,000 pairs of medical gloves and hospital gowns to hospitals, nursing homes, and law enforcement agencies</w:t>
      </w:r>
    </w:p>
    <w:p>
      <w:pPr>
        <w:spacing w:after="0" w:line="223" w:lineRule="exact"/>
        <w:rPr>
          <w:rFonts w:ascii="Arial" w:cs="Arial" w:eastAsia="Arial" w:hAnsi="Arial"/>
          <w:sz w:val="15"/>
          <w:szCs w:val="15"/>
          <w:color w:val="auto"/>
        </w:rPr>
      </w:pPr>
    </w:p>
    <w:p>
      <w:pPr>
        <w:ind w:left="760" w:hanging="320"/>
        <w:spacing w:after="0"/>
        <w:tabs>
          <w:tab w:leader="none" w:pos="760" w:val="left"/>
        </w:tabs>
        <w:numPr>
          <w:ilvl w:val="1"/>
          <w:numId w:val="39"/>
        </w:numPr>
        <w:rPr>
          <w:rFonts w:ascii="Arial" w:cs="Arial" w:eastAsia="Arial" w:hAnsi="Arial"/>
          <w:sz w:val="15"/>
          <w:szCs w:val="15"/>
          <w:color w:val="auto"/>
        </w:rPr>
      </w:pPr>
      <w:r>
        <w:rPr>
          <w:rFonts w:ascii="Arial" w:cs="Arial" w:eastAsia="Arial" w:hAnsi="Arial"/>
          <w:sz w:val="18"/>
          <w:szCs w:val="18"/>
          <w:color w:val="auto"/>
        </w:rPr>
        <w:t>More than $1 million in cash and food to local food banks</w:t>
      </w:r>
    </w:p>
    <w:p>
      <w:pPr>
        <w:spacing w:after="0" w:line="238" w:lineRule="exact"/>
        <w:rPr>
          <w:rFonts w:ascii="Arial" w:cs="Arial" w:eastAsia="Arial" w:hAnsi="Arial"/>
          <w:sz w:val="15"/>
          <w:szCs w:val="15"/>
          <w:color w:val="auto"/>
        </w:rPr>
      </w:pPr>
    </w:p>
    <w:p>
      <w:pPr>
        <w:ind w:left="760" w:hanging="320"/>
        <w:spacing w:after="0"/>
        <w:tabs>
          <w:tab w:leader="none" w:pos="760" w:val="left"/>
        </w:tabs>
        <w:numPr>
          <w:ilvl w:val="1"/>
          <w:numId w:val="39"/>
        </w:numPr>
        <w:rPr>
          <w:rFonts w:ascii="Arial" w:cs="Arial" w:eastAsia="Arial" w:hAnsi="Arial"/>
          <w:sz w:val="15"/>
          <w:szCs w:val="15"/>
          <w:color w:val="auto"/>
        </w:rPr>
      </w:pPr>
      <w:r>
        <w:rPr>
          <w:rFonts w:ascii="Arial" w:cs="Arial" w:eastAsia="Arial" w:hAnsi="Arial"/>
          <w:sz w:val="18"/>
          <w:szCs w:val="18"/>
          <w:color w:val="auto"/>
        </w:rPr>
        <w:t>More than $100,000 in funds to domestic violence shelters</w:t>
      </w:r>
    </w:p>
    <w:p>
      <w:pPr>
        <w:spacing w:after="0" w:line="55" w:lineRule="exact"/>
        <w:rPr>
          <w:sz w:val="20"/>
          <w:szCs w:val="20"/>
          <w:color w:val="auto"/>
        </w:rPr>
      </w:pPr>
    </w:p>
    <w:p>
      <w:pPr>
        <w:ind w:left="800" w:hanging="684"/>
        <w:spacing w:after="0"/>
        <w:tabs>
          <w:tab w:leader="none" w:pos="800" w:val="left"/>
        </w:tabs>
        <w:numPr>
          <w:ilvl w:val="0"/>
          <w:numId w:val="40"/>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060"/>
          </w:cols>
          <w:pgMar w:left="320" w:top="459"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760" w:right="20" w:hanging="320"/>
        <w:spacing w:after="0" w:line="246" w:lineRule="auto"/>
        <w:tabs>
          <w:tab w:leader="none" w:pos="760" w:val="left"/>
        </w:tabs>
        <w:numPr>
          <w:ilvl w:val="1"/>
          <w:numId w:val="41"/>
        </w:numPr>
        <w:rPr>
          <w:rFonts w:ascii="Arial" w:cs="Arial" w:eastAsia="Arial" w:hAnsi="Arial"/>
          <w:sz w:val="15"/>
          <w:szCs w:val="15"/>
          <w:color w:val="auto"/>
        </w:rPr>
      </w:pPr>
      <w:r>
        <w:rPr>
          <w:rFonts w:ascii="Arial" w:cs="Arial" w:eastAsia="Arial" w:hAnsi="Arial"/>
          <w:sz w:val="18"/>
          <w:szCs w:val="18"/>
          <w:color w:val="auto"/>
        </w:rPr>
        <w:t>1.75 million MOP in pandemic supplies to more than 50 Macau organizations for use in residential homes and facilities for children and youth, temporary shelters, drug treatment centers and nurseries</w:t>
      </w:r>
    </w:p>
    <w:p>
      <w:pPr>
        <w:spacing w:after="0" w:line="223" w:lineRule="exact"/>
        <w:rPr>
          <w:rFonts w:ascii="Arial" w:cs="Arial" w:eastAsia="Arial" w:hAnsi="Arial"/>
          <w:sz w:val="15"/>
          <w:szCs w:val="15"/>
          <w:color w:val="auto"/>
        </w:rPr>
      </w:pPr>
    </w:p>
    <w:p>
      <w:pPr>
        <w:ind w:left="440" w:right="560" w:hanging="324"/>
        <w:spacing w:after="0" w:line="246"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Raising more than $700,000 for the national ALL IN Challenge To Help Fight Food Insecurity, through a curated collection of the resort’s most exclusive luxuries, including some that money typically cannot buy</w:t>
      </w:r>
    </w:p>
    <w:p>
      <w:pPr>
        <w:spacing w:after="0" w:line="223" w:lineRule="exact"/>
        <w:rPr>
          <w:rFonts w:ascii="Arial" w:cs="Arial" w:eastAsia="Arial" w:hAnsi="Arial"/>
          <w:sz w:val="18"/>
          <w:szCs w:val="18"/>
          <w:color w:val="auto"/>
        </w:rPr>
      </w:pPr>
    </w:p>
    <w:p>
      <w:pPr>
        <w:ind w:left="440" w:right="28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Offering a complimentary one-night stay at the Wynn Las Vegas five-star resort to 10,000 hospital and medical workers, police, and fire fighters to show our appreciation. Additionally, we honored healthcare workers at nine hospitals during National Nurses and Hospital Weeks</w:t>
      </w:r>
    </w:p>
    <w:p>
      <w:pPr>
        <w:spacing w:after="0" w:line="229" w:lineRule="exact"/>
        <w:rPr>
          <w:rFonts w:ascii="Arial" w:cs="Arial" w:eastAsia="Arial" w:hAnsi="Arial"/>
          <w:sz w:val="18"/>
          <w:szCs w:val="18"/>
          <w:color w:val="auto"/>
        </w:rPr>
      </w:pPr>
    </w:p>
    <w:p>
      <w:pPr>
        <w:ind w:left="440" w:hanging="324"/>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Creating two new initiatives to help our non-profit partners:</w:t>
      </w:r>
    </w:p>
    <w:p>
      <w:pPr>
        <w:spacing w:after="0" w:line="238" w:lineRule="exact"/>
        <w:rPr>
          <w:rFonts w:ascii="Arial" w:cs="Arial" w:eastAsia="Arial" w:hAnsi="Arial"/>
          <w:sz w:val="18"/>
          <w:szCs w:val="18"/>
          <w:color w:val="auto"/>
        </w:rPr>
      </w:pPr>
    </w:p>
    <w:p>
      <w:pPr>
        <w:ind w:left="760" w:right="100" w:hanging="320"/>
        <w:spacing w:after="0" w:line="246" w:lineRule="auto"/>
        <w:tabs>
          <w:tab w:leader="none" w:pos="760" w:val="left"/>
        </w:tabs>
        <w:numPr>
          <w:ilvl w:val="1"/>
          <w:numId w:val="41"/>
        </w:numPr>
        <w:rPr>
          <w:rFonts w:ascii="Arial" w:cs="Arial" w:eastAsia="Arial" w:hAnsi="Arial"/>
          <w:sz w:val="15"/>
          <w:szCs w:val="15"/>
          <w:color w:val="auto"/>
        </w:rPr>
      </w:pPr>
      <w:r>
        <w:rPr>
          <w:rFonts w:ascii="Arial" w:cs="Arial" w:eastAsia="Arial" w:hAnsi="Arial"/>
          <w:sz w:val="18"/>
          <w:szCs w:val="18"/>
          <w:color w:val="auto"/>
        </w:rPr>
        <w:t>The Nonprofit Leadership Program, which is tailored for a small group of nonprofit leaders to help improve their strategic planning skills through interaction with and learning from Wynn executives</w:t>
      </w:r>
    </w:p>
    <w:p>
      <w:pPr>
        <w:spacing w:after="0" w:line="223" w:lineRule="exact"/>
        <w:rPr>
          <w:rFonts w:ascii="Arial" w:cs="Arial" w:eastAsia="Arial" w:hAnsi="Arial"/>
          <w:sz w:val="15"/>
          <w:szCs w:val="15"/>
          <w:color w:val="auto"/>
        </w:rPr>
      </w:pPr>
    </w:p>
    <w:p>
      <w:pPr>
        <w:ind w:left="760" w:right="360" w:hanging="320"/>
        <w:spacing w:after="0" w:line="246" w:lineRule="auto"/>
        <w:tabs>
          <w:tab w:leader="none" w:pos="760" w:val="left"/>
        </w:tabs>
        <w:numPr>
          <w:ilvl w:val="1"/>
          <w:numId w:val="41"/>
        </w:numPr>
        <w:rPr>
          <w:rFonts w:ascii="Arial" w:cs="Arial" w:eastAsia="Arial" w:hAnsi="Arial"/>
          <w:sz w:val="15"/>
          <w:szCs w:val="15"/>
          <w:color w:val="auto"/>
        </w:rPr>
      </w:pPr>
      <w:r>
        <w:rPr>
          <w:rFonts w:ascii="Arial" w:cs="Arial" w:eastAsia="Arial" w:hAnsi="Arial"/>
          <w:sz w:val="18"/>
          <w:szCs w:val="18"/>
          <w:color w:val="auto"/>
        </w:rPr>
        <w:t>The Stronger Together Collective, which is intended to enhance resources for and to encourage collaboration among nonprofit partners</w:t>
      </w:r>
    </w:p>
    <w:p>
      <w:pPr>
        <w:spacing w:after="0" w:line="223" w:lineRule="exact"/>
        <w:rPr>
          <w:rFonts w:ascii="Arial" w:cs="Arial" w:eastAsia="Arial" w:hAnsi="Arial"/>
          <w:sz w:val="15"/>
          <w:szCs w:val="15"/>
          <w:color w:val="auto"/>
        </w:rPr>
      </w:pPr>
    </w:p>
    <w:p>
      <w:pPr>
        <w:ind w:left="440" w:right="260" w:hanging="324"/>
        <w:spacing w:after="0" w:line="261" w:lineRule="auto"/>
        <w:tabs>
          <w:tab w:leader="none" w:pos="4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Establishing the We Care Foundation in Macau to support and elevate community impact. The new foundation will fund education projects for youth and provide support to small and medium businesses and young entrepreneurs. The company aims to promote volunteerism, charitable and community activities, environment protection and sustainable development, sports, leisure, and culture</w:t>
      </w:r>
    </w:p>
    <w:p>
      <w:pPr>
        <w:spacing w:after="0" w:line="18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Wynn’s legacy as an agent of change is supported and extended by the collective spirit of service in the hearts of our approximately 27,500 global employees. Together, they have inspired our corporate culture of giving, bettering our home communities for generations to come For instance, our employees in North America contributed over $500,000 to the Wynn Employee Foundation. Along with matching contributions from the Company, these donations helped fund organizations dealing with food insecurity and domestic violence as a result of the COVID-19 pandemic.</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WEF FUNDRAISING AND VOLUNTEERISM 2017-2020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163195</wp:posOffset>
            </wp:positionV>
            <wp:extent cx="3402965" cy="18516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02965" cy="185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8"/>
          <w:szCs w:val="18"/>
          <w:color w:val="auto"/>
        </w:rPr>
        <w:t>To help address physical distancing constraints on traditional forms of volunteerism, we launched a Virtual Volunteer program to provide team members with a digital platform to give back through national and local online volunteer opportunities. Leveraging that program, as well as traditional volunteer opportunities as they presented themselves, our employees volunteered almost 35,000 hours to community organizations by:</w:t>
      </w:r>
    </w:p>
    <w:p>
      <w:pPr>
        <w:spacing w:after="0" w:line="232" w:lineRule="exact"/>
        <w:rPr>
          <w:sz w:val="20"/>
          <w:szCs w:val="20"/>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Packing grocery bags for Three Square grocery giveaways</w:t>
      </w:r>
    </w:p>
    <w:p>
      <w:pPr>
        <w:spacing w:after="0" w:line="238" w:lineRule="exact"/>
        <w:rPr>
          <w:rFonts w:ascii="Arial" w:cs="Arial" w:eastAsia="Arial" w:hAnsi="Arial"/>
          <w:sz w:val="18"/>
          <w:szCs w:val="18"/>
          <w:color w:val="auto"/>
        </w:rPr>
      </w:pPr>
    </w:p>
    <w:p>
      <w:pPr>
        <w:ind w:left="440" w:hanging="324"/>
        <w:spacing w:after="0"/>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Decorating and writing holiday cards for community partners</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25</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93" w:lineRule="exact"/>
        <w:rPr>
          <w:sz w:val="20"/>
          <w:szCs w:val="20"/>
          <w:color w:val="auto"/>
        </w:rPr>
      </w:pPr>
    </w:p>
    <w:p>
      <w:pPr>
        <w:ind w:left="440" w:hanging="324"/>
        <w:spacing w:after="0"/>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Donating food and hygiene items to homeless shelters for adults and teenagers</w:t>
      </w:r>
    </w:p>
    <w:p>
      <w:pPr>
        <w:spacing w:after="0" w:line="238" w:lineRule="exact"/>
        <w:rPr>
          <w:rFonts w:ascii="Arial" w:cs="Arial" w:eastAsia="Arial" w:hAnsi="Arial"/>
          <w:sz w:val="18"/>
          <w:szCs w:val="18"/>
          <w:color w:val="auto"/>
        </w:rPr>
      </w:pPr>
    </w:p>
    <w:p>
      <w:pPr>
        <w:ind w:left="440" w:right="200" w:hanging="324"/>
        <w:spacing w:after="0" w:line="246" w:lineRule="auto"/>
        <w:tabs>
          <w:tab w:leader="none" w:pos="4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Sewing face coverings donated to our Las Vegas community partners, including homeless shelters, legal aid society and health and public safety workers</w:t>
      </w:r>
    </w:p>
    <w:p>
      <w:pPr>
        <w:spacing w:after="0" w:line="223" w:lineRule="exact"/>
        <w:rPr>
          <w:rFonts w:ascii="Arial" w:cs="Arial" w:eastAsia="Arial" w:hAnsi="Arial"/>
          <w:sz w:val="18"/>
          <w:szCs w:val="18"/>
          <w:color w:val="auto"/>
        </w:rPr>
      </w:pPr>
    </w:p>
    <w:p>
      <w:pPr>
        <w:ind w:left="120" w:right="40" w:hanging="4"/>
        <w:spacing w:after="0" w:line="238" w:lineRule="auto"/>
        <w:tabs>
          <w:tab w:leader="none" w:pos="444" w:val="left"/>
        </w:tabs>
        <w:numPr>
          <w:ilvl w:val="0"/>
          <w:numId w:val="43"/>
        </w:numPr>
        <w:rPr>
          <w:rFonts w:ascii="Arial" w:cs="Arial" w:eastAsia="Arial" w:hAnsi="Arial"/>
          <w:sz w:val="18"/>
          <w:szCs w:val="18"/>
          <w:color w:val="auto"/>
        </w:rPr>
      </w:pPr>
      <w:r>
        <w:rPr>
          <w:rFonts w:ascii="Arial" w:cs="Arial" w:eastAsia="Arial" w:hAnsi="Arial"/>
          <w:sz w:val="18"/>
          <w:szCs w:val="18"/>
          <w:color w:val="auto"/>
        </w:rPr>
        <w:t>Organizing 5,400 Macau employees and family members to participate in an annual Walk-A-Million raising money for local charities We don’t just make a difference in our communities through our charitable efforts, we make a difference by being committed to building relationships with diverse vendors as part of our investment in our community, including partnership with small, minority-, women-, LGBT-, disabled-, and veteran-owned businesses. We are also committed to building partnerships with businesses focused on or located in historically disadvantaged communities.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RESPONSIBLE GAMING</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further commitment to our communities and to our customers, we follow the American Gaming Association’s Gaming Code of Conduct.</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practices include:</w:t>
      </w:r>
    </w:p>
    <w:p>
      <w:pPr>
        <w:spacing w:after="0" w:line="36" w:lineRule="exact"/>
        <w:rPr>
          <w:sz w:val="20"/>
          <w:szCs w:val="20"/>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Promoting Responsible Gaming, including providing information to our guests about responsible gaming and resources for assistance</w:t>
      </w:r>
    </w:p>
    <w:p>
      <w:pPr>
        <w:spacing w:after="0" w:line="36"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Preventing underage gaming and unattended minors at our resorts</w:t>
      </w:r>
    </w:p>
    <w:p>
      <w:pPr>
        <w:spacing w:after="0" w:line="36"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Training our employees on responsible gaming</w:t>
      </w:r>
    </w:p>
    <w:p>
      <w:pPr>
        <w:spacing w:after="0" w:line="36"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Responsible alcoholic beverage service practices</w:t>
      </w:r>
    </w:p>
    <w:p>
      <w:pPr>
        <w:spacing w:after="0" w:line="36"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Responsible advertising</w:t>
      </w:r>
    </w:p>
    <w:p>
      <w:pPr>
        <w:spacing w:after="0" w:line="36" w:lineRule="exact"/>
        <w:rPr>
          <w:rFonts w:ascii="Arial" w:cs="Arial" w:eastAsia="Arial" w:hAnsi="Arial"/>
          <w:sz w:val="18"/>
          <w:szCs w:val="18"/>
          <w:color w:val="auto"/>
        </w:rPr>
      </w:pPr>
    </w:p>
    <w:p>
      <w:pPr>
        <w:ind w:left="340" w:hanging="224"/>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Providing financial resources to community organizations for preventing and treating problem gambling</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HUMAN TRAFFICKING PREVENTION POLICY</w:t>
      </w:r>
    </w:p>
    <w:p>
      <w:pPr>
        <w:spacing w:after="0" w:line="13"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We recognize the destructive effect of human trafficking on the global community as well as the potential intersection between human trafficking and the hospitality industry. We condemn all forms of human trafficking and are committed to implementing effective systems and controls to prevent human trafficking from taking place at our resorts. Essential to our commitment to combating human trafficking is our continued partnership with law enforcement agencies, as well as our community outreach efforts providing strong support for at risk youths, women, and children within our communities.</w:t>
      </w:r>
    </w:p>
    <w:p>
      <w:pPr>
        <w:spacing w:after="0" w:line="46" w:lineRule="exact"/>
        <w:rPr>
          <w:sz w:val="20"/>
          <w:szCs w:val="20"/>
          <w:color w:val="auto"/>
        </w:rPr>
      </w:pPr>
    </w:p>
    <w:p>
      <w:pPr>
        <w:ind w:left="800" w:hanging="684"/>
        <w:spacing w:after="0"/>
        <w:tabs>
          <w:tab w:leader="none" w:pos="800" w:val="left"/>
        </w:tabs>
        <w:numPr>
          <w:ilvl w:val="0"/>
          <w:numId w:val="45"/>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00"/>
          </w:cols>
          <w:pgMar w:left="32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31"/>
          <w:szCs w:val="31"/>
          <w:color w:val="3D0A51"/>
        </w:rPr>
        <w:t>Our planet</w:t>
      </w:r>
    </w:p>
    <w:p>
      <w:pPr>
        <w:spacing w:after="0" w:line="22"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Being progressive is one of our four core company values. Our commitment to environmental sustainability gives us ample opportunity to demonstrate our leadership and vision in preserving our planet. This means providing award-winning service in our resorts worldwide, in a manner that respects communities, people, and our environment. Our sustainability program focuses on four global goals that will lead Wynn in a responsible and progressive future.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Wynn Resorts we:</w:t>
      </w:r>
    </w:p>
    <w:p>
      <w:pPr>
        <w:spacing w:after="0" w:line="36" w:lineRule="exact"/>
        <w:rPr>
          <w:sz w:val="20"/>
          <w:szCs w:val="20"/>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Invent Solutions</w:t>
      </w:r>
    </w:p>
    <w:p>
      <w:pPr>
        <w:spacing w:after="0" w:line="36"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 Value</w:t>
      </w:r>
    </w:p>
    <w:p>
      <w:pPr>
        <w:spacing w:after="0" w:line="36"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Take Action</w:t>
      </w:r>
    </w:p>
    <w:p>
      <w:pPr>
        <w:spacing w:after="0" w:line="36" w:lineRule="exact"/>
        <w:rPr>
          <w:rFonts w:ascii="Arial" w:cs="Arial" w:eastAsia="Arial" w:hAnsi="Arial"/>
          <w:sz w:val="18"/>
          <w:szCs w:val="18"/>
          <w:color w:val="auto"/>
        </w:rPr>
      </w:pPr>
    </w:p>
    <w:p>
      <w:pPr>
        <w:ind w:left="340" w:hanging="224"/>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Scale Knowledge</w:t>
      </w:r>
    </w:p>
    <w:p>
      <w:pPr>
        <w:spacing w:after="0" w:line="212"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In the same way the pandemic required a global response, we believe that the negative impacts of climate-change and environmental sustainability also requires bold commitments and even bolder actions, we have made public commitments to several significant initiatives that confront the global threat of climate-change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3334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333438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300" w:right="480"/>
        <w:spacing w:after="0" w:line="260" w:lineRule="auto"/>
        <w:rPr>
          <w:sz w:val="20"/>
          <w:szCs w:val="20"/>
          <w:color w:val="auto"/>
        </w:rPr>
      </w:pPr>
      <w:r>
        <w:rPr>
          <w:rFonts w:ascii="Arial" w:cs="Arial" w:eastAsia="Arial" w:hAnsi="Arial"/>
          <w:sz w:val="32"/>
          <w:szCs w:val="32"/>
          <w:color w:val="FFFFFF"/>
        </w:rPr>
        <w:t xml:space="preserve">NET-ZERO </w:t>
      </w:r>
      <w:r>
        <w:rPr>
          <w:rFonts w:ascii="Arial" w:cs="Arial" w:eastAsia="Arial" w:hAnsi="Arial"/>
          <w:sz w:val="32"/>
          <w:szCs w:val="32"/>
          <w:b w:val="1"/>
          <w:bCs w:val="1"/>
          <w:color w:val="FFFFFF"/>
        </w:rPr>
        <w:t>BY 2050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00" w:right="420"/>
        <w:spacing w:after="0" w:line="260" w:lineRule="auto"/>
        <w:rPr>
          <w:sz w:val="20"/>
          <w:szCs w:val="20"/>
          <w:color w:val="auto"/>
        </w:rPr>
      </w:pPr>
      <w:r>
        <w:rPr>
          <w:rFonts w:ascii="Arial" w:cs="Arial" w:eastAsia="Arial" w:hAnsi="Arial"/>
          <w:sz w:val="32"/>
          <w:szCs w:val="32"/>
          <w:color w:val="FFFFFF"/>
        </w:rPr>
        <w:t xml:space="preserve">CARBON </w:t>
      </w:r>
      <w:r>
        <w:rPr>
          <w:rFonts w:ascii="Arial" w:cs="Arial" w:eastAsia="Arial" w:hAnsi="Arial"/>
          <w:sz w:val="32"/>
          <w:szCs w:val="32"/>
          <w:b w:val="1"/>
          <w:bCs w:val="1"/>
          <w:color w:val="FFFFFF"/>
        </w:rPr>
        <w:t>PEAK 2030</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00" w:right="160"/>
        <w:spacing w:after="0" w:line="247" w:lineRule="auto"/>
        <w:rPr>
          <w:sz w:val="20"/>
          <w:szCs w:val="20"/>
          <w:color w:val="auto"/>
        </w:rPr>
      </w:pPr>
      <w:r>
        <w:rPr>
          <w:rFonts w:ascii="Arial" w:cs="Arial" w:eastAsia="Arial" w:hAnsi="Arial"/>
          <w:sz w:val="25"/>
          <w:szCs w:val="25"/>
          <w:color w:val="FFFFFF"/>
        </w:rPr>
        <w:t>RENEWABLE ENERGY PROCUREMENT</w:t>
      </w:r>
    </w:p>
    <w:p>
      <w:pPr>
        <w:spacing w:after="0" w:line="3" w:lineRule="exact"/>
        <w:rPr>
          <w:sz w:val="20"/>
          <w:szCs w:val="20"/>
          <w:color w:val="auto"/>
        </w:rPr>
      </w:pPr>
    </w:p>
    <w:p>
      <w:pPr>
        <w:ind w:left="300"/>
        <w:spacing w:after="0"/>
        <w:rPr>
          <w:sz w:val="20"/>
          <w:szCs w:val="20"/>
          <w:color w:val="auto"/>
        </w:rPr>
      </w:pPr>
      <w:r>
        <w:rPr>
          <w:rFonts w:ascii="Arial" w:cs="Arial" w:eastAsia="Arial" w:hAnsi="Arial"/>
          <w:sz w:val="25"/>
          <w:szCs w:val="25"/>
          <w:b w:val="1"/>
          <w:bCs w:val="1"/>
          <w:color w:val="FFFFFF"/>
        </w:rPr>
        <w:t>2030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FFFFFF"/>
        </w:rPr>
        <w:t>Removing or offsetting an amount of carbon equal to the amount we produce from our resort operations no later than 2050.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FFFFFF"/>
        </w:rPr>
        <w:t>Greenhouse Gas Emissions (GHGE) produced will not increase on a year over year basis past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FFFFFF"/>
        </w:rPr>
        <w:t>Commitment to increased renewable energy production or procurement of at least 50% of energy consumed by 2030.</w:t>
      </w:r>
    </w:p>
    <w:p>
      <w:pPr>
        <w:spacing w:after="0" w:line="565" w:lineRule="exact"/>
        <w:rPr>
          <w:sz w:val="20"/>
          <w:szCs w:val="20"/>
          <w:color w:val="auto"/>
        </w:rPr>
      </w:pPr>
    </w:p>
    <w:p>
      <w:pPr>
        <w:sectPr>
          <w:pgSz w:w="11900" w:h="16838" w:orient="portrait"/>
          <w:cols w:equalWidth="0" w:num="2">
            <w:col w:w="2420" w:space="720"/>
            <w:col w:w="8000"/>
          </w:cols>
          <w:pgMar w:left="320" w:top="459" w:right="439" w:bottom="1440" w:gutter="0" w:footer="0" w:header="0"/>
          <w:type w:val="continuous"/>
        </w:sectPr>
      </w:pPr>
    </w:p>
    <w:p>
      <w:pPr>
        <w:spacing w:after="0" w:line="25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provide extensive disclosure of recent accomplishments, our progress toward and metrics for these and other such objectives, and our roadmap for the future – including details on greenhouse gas emissions, renewable energy, and water intensity data – utilizing the Sustainability Accounting Standards Board (SASB) and Global Reporting Initiative (GRI) frameworks throughout our annual ESG Report available online at https://www.wynnresponsibility/2019_ESG_Report_Wynn_Resorts.pdf. Following are highlights of several long-term initiatives key to achieving these public environmental commitments.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27</w:t>
      </w:r>
    </w:p>
    <w:p>
      <w:pPr>
        <w:sectPr>
          <w:pgSz w:w="11900" w:h="16838" w:orient="portrait"/>
          <w:cols w:equalWidth="0" w:num="1">
            <w:col w:w="11140"/>
          </w:cols>
          <w:pgMar w:left="320" w:top="459" w:right="43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RENEWABLE ENERGY</w:t>
      </w:r>
    </w:p>
    <w:p>
      <w:pPr>
        <w:spacing w:after="0" w:line="1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Wynn Las Vegas’s investment in renewable energy has now installed 20 megawatts of solar capacity at Stillwater, which serves Wynn Las Vegas and offsets up to 75% of summer peak demand, and an additional 2 megawatts of rooftop solar which offsets 100% of the energy required for the south convention space expansion. Wynn Las Vegas has earned 4 Green Globes Certification for green buildings, and now offers Zero Carbon, Zero Waste event services, a compelling advantage for the event business.</w:t>
      </w:r>
    </w:p>
    <w:p>
      <w:pPr>
        <w:spacing w:after="0" w:line="205" w:lineRule="exact"/>
        <w:rPr>
          <w:sz w:val="20"/>
          <w:szCs w:val="20"/>
          <w:color w:val="auto"/>
        </w:rPr>
      </w:pPr>
    </w:p>
    <w:p>
      <w:pPr>
        <w:ind w:left="120" w:right="180"/>
        <w:spacing w:after="0" w:line="238" w:lineRule="auto"/>
        <w:rPr>
          <w:sz w:val="20"/>
          <w:szCs w:val="20"/>
          <w:color w:val="auto"/>
        </w:rPr>
      </w:pPr>
      <w:r>
        <w:rPr>
          <w:rFonts w:ascii="Arial" w:cs="Arial" w:eastAsia="Arial" w:hAnsi="Arial"/>
          <w:sz w:val="18"/>
          <w:szCs w:val="18"/>
          <w:color w:val="auto"/>
        </w:rPr>
        <w:t>The on-site micro-grid at Encore Boston Harbor provides 1 megawatt of rooftop solar generation, and 4 megawatts/8 megawatt hours of battery storage, supporting an additional 3 megawatts of combined heat and power (CHP) generation for the property as well as stability support for the New England Power Grid. This summer EBH, the largest LEED Platinum certified new construction project in New England, will achieve clean peak standard energy. We continue to invest in new energy efficiency measures and renewable energy generation to ensure year over year greenhouse gas emissions continue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146050</wp:posOffset>
            </wp:positionV>
            <wp:extent cx="4963160" cy="31457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6316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00" w:hanging="684"/>
        <w:spacing w:after="0"/>
        <w:tabs>
          <w:tab w:leader="none" w:pos="800" w:val="left"/>
        </w:tabs>
        <w:numPr>
          <w:ilvl w:val="0"/>
          <w:numId w:val="47"/>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377190</wp:posOffset>
            </wp:positionV>
            <wp:extent cx="5615305" cy="32232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1530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WASTE MANAGEMENT</w:t>
      </w:r>
    </w:p>
    <w:p>
      <w:pPr>
        <w:spacing w:after="0" w:line="13"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Wynn Las Vegas implemented a single-stream recycling system to accelerate our efforts to reduce waste. As a proud partner of Clean the World, we reduce unnecessary waste by collecting the excess soap products from our resorts, which is then recycled and transformed into hygiene kits that will be distributed to underserved communities worldwide.</w:t>
      </w:r>
    </w:p>
    <w:p>
      <w:pPr>
        <w:spacing w:after="0" w:line="162"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Wynn Macau, which continues to pioneer new approaches with tackling food waste, was the first in Macau to adopt the ‘Winnow Vision System’ across its properties. This system uses computer vision-based monitoring technology powered by AI and machine-learning to track and measure what food is being wasted, then delivers data-driven insights which enable an analytical approach to food production that enhances efficiency without compromising quality. Since its implementation in a number of Wynn restaurants, the initiative has already cut food waste by up to 35%, and reduced costs, while also ensuring a more responsible use of precious resources.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REDUCING SINGLE-USE PLASTICS</w:t>
      </w:r>
    </w:p>
    <w:p>
      <w:pPr>
        <w:spacing w:after="0" w:line="13"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Wynn Las Vegas and Encore Boston Harbor have replaced the most common single-use plastic guest items such as straws, to-go packaging, and plastic bags with environmentally responsible alternative materials, in a global effort to reduce waste. As part of our Zero Carbon, Zero Waste event service, we have partnered with Proud Source water to eliminate all single-use water bottles from our Wynn Las Vegas meetings and convention space.</w:t>
      </w:r>
    </w:p>
    <w:p>
      <w:pPr>
        <w:spacing w:after="0" w:line="205" w:lineRule="exact"/>
        <w:rPr>
          <w:sz w:val="20"/>
          <w:szCs w:val="20"/>
          <w:color w:val="auto"/>
        </w:rPr>
      </w:pPr>
    </w:p>
    <w:p>
      <w:pPr>
        <w:ind w:left="120" w:right="160"/>
        <w:spacing w:after="0" w:line="238" w:lineRule="auto"/>
        <w:rPr>
          <w:sz w:val="20"/>
          <w:szCs w:val="20"/>
          <w:color w:val="auto"/>
        </w:rPr>
      </w:pPr>
      <w:r>
        <w:rPr>
          <w:rFonts w:ascii="Arial" w:cs="Arial" w:eastAsia="Arial" w:hAnsi="Arial"/>
          <w:sz w:val="18"/>
          <w:szCs w:val="18"/>
          <w:color w:val="auto"/>
        </w:rPr>
        <w:t>Wynn Macau became the first integrated resort in the world to install and use at significant scale an on-site Nordaq water bottling plant. This system enables high-quality filtered water to be produced locally and served in reusable glass bottles. As a result, Wynn Macau phased out the use of plastic water bottles in our food and beverage operations in 2020. We currently plan to have plastic bottles phased out of our hotel operations by year-end 2021.</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29</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EXECUTIVE OFFICERS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Executive Officers as of March 12, 2021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134620</wp:posOffset>
            </wp:positionV>
            <wp:extent cx="8890" cy="7289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72898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134620</wp:posOffset>
            </wp:positionV>
            <wp:extent cx="8255" cy="728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255" cy="728980"/>
                    </a:xfrm>
                    <a:prstGeom prst="rect">
                      <a:avLst/>
                    </a:prstGeom>
                    <a:noFill/>
                  </pic:spPr>
                </pic:pic>
              </a:graphicData>
            </a:graphic>
          </wp:anchor>
        </w:drawing>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3280" w:type="dxa"/>
            <w:vAlign w:val="bottom"/>
            <w:shd w:val="clear" w:color="auto" w:fill="3D0A51"/>
          </w:tcPr>
          <w:p>
            <w:pPr>
              <w:ind w:left="60"/>
              <w:spacing w:after="0"/>
              <w:rPr>
                <w:sz w:val="20"/>
                <w:szCs w:val="20"/>
                <w:color w:val="auto"/>
              </w:rPr>
            </w:pPr>
            <w:r>
              <w:rPr>
                <w:rFonts w:ascii="Arial" w:cs="Arial" w:eastAsia="Arial" w:hAnsi="Arial"/>
                <w:sz w:val="11"/>
                <w:szCs w:val="11"/>
                <w:b w:val="1"/>
                <w:bCs w:val="1"/>
                <w:color w:val="FFFFFF"/>
              </w:rPr>
              <w:t>NAME</w:t>
            </w:r>
          </w:p>
        </w:tc>
        <w:tc>
          <w:tcPr>
            <w:tcW w:w="2180" w:type="dxa"/>
            <w:vAlign w:val="bottom"/>
            <w:shd w:val="clear" w:color="auto" w:fill="3D0A51"/>
          </w:tcPr>
          <w:p>
            <w:pPr>
              <w:jc w:val="center"/>
              <w:ind w:right="1293"/>
              <w:spacing w:after="0"/>
              <w:rPr>
                <w:sz w:val="20"/>
                <w:szCs w:val="20"/>
                <w:color w:val="auto"/>
              </w:rPr>
            </w:pPr>
            <w:r>
              <w:rPr>
                <w:rFonts w:ascii="Arial" w:cs="Arial" w:eastAsia="Arial" w:hAnsi="Arial"/>
                <w:sz w:val="11"/>
                <w:szCs w:val="11"/>
                <w:b w:val="1"/>
                <w:bCs w:val="1"/>
                <w:color w:val="FFFFFF"/>
                <w:w w:val="92"/>
              </w:rPr>
              <w:t>AGE</w:t>
            </w:r>
          </w:p>
        </w:tc>
        <w:tc>
          <w:tcPr>
            <w:tcW w:w="5560" w:type="dxa"/>
            <w:vAlign w:val="bottom"/>
            <w:shd w:val="clear" w:color="auto" w:fill="3D0A51"/>
          </w:tcPr>
          <w:p>
            <w:pPr>
              <w:jc w:val="right"/>
              <w:ind w:right="3093"/>
              <w:spacing w:after="0"/>
              <w:rPr>
                <w:sz w:val="20"/>
                <w:szCs w:val="20"/>
                <w:color w:val="auto"/>
              </w:rPr>
            </w:pPr>
            <w:r>
              <w:rPr>
                <w:rFonts w:ascii="Arial" w:cs="Arial" w:eastAsia="Arial" w:hAnsi="Arial"/>
                <w:sz w:val="11"/>
                <w:szCs w:val="11"/>
                <w:b w:val="1"/>
                <w:bCs w:val="1"/>
                <w:color w:val="FFFFFF"/>
              </w:rPr>
              <w:t>POSITION</w:t>
            </w:r>
          </w:p>
        </w:tc>
      </w:tr>
      <w:tr>
        <w:trPr>
          <w:trHeight w:val="63"/>
        </w:trPr>
        <w:tc>
          <w:tcPr>
            <w:tcW w:w="3280" w:type="dxa"/>
            <w:vAlign w:val="bottom"/>
            <w:shd w:val="clear" w:color="auto" w:fill="3D0A51"/>
          </w:tcPr>
          <w:p>
            <w:pPr>
              <w:spacing w:after="0"/>
              <w:rPr>
                <w:sz w:val="5"/>
                <w:szCs w:val="5"/>
                <w:color w:val="auto"/>
              </w:rPr>
            </w:pPr>
          </w:p>
        </w:tc>
        <w:tc>
          <w:tcPr>
            <w:tcW w:w="2180" w:type="dxa"/>
            <w:vAlign w:val="bottom"/>
            <w:shd w:val="clear" w:color="auto" w:fill="3D0A51"/>
          </w:tcPr>
          <w:p>
            <w:pPr>
              <w:spacing w:after="0"/>
              <w:rPr>
                <w:sz w:val="5"/>
                <w:szCs w:val="5"/>
                <w:color w:val="auto"/>
              </w:rPr>
            </w:pPr>
          </w:p>
        </w:tc>
        <w:tc>
          <w:tcPr>
            <w:tcW w:w="5560" w:type="dxa"/>
            <w:vAlign w:val="bottom"/>
            <w:shd w:val="clear" w:color="auto" w:fill="3D0A51"/>
          </w:tcPr>
          <w:p>
            <w:pPr>
              <w:spacing w:after="0"/>
              <w:rPr>
                <w:sz w:val="5"/>
                <w:szCs w:val="5"/>
                <w:color w:val="auto"/>
              </w:rPr>
            </w:pPr>
          </w:p>
        </w:tc>
      </w:tr>
      <w:tr>
        <w:trPr>
          <w:trHeight w:val="277"/>
        </w:trPr>
        <w:tc>
          <w:tcPr>
            <w:tcW w:w="3280" w:type="dxa"/>
            <w:vAlign w:val="bottom"/>
            <w:tcBorders>
              <w:bottom w:val="single" w:sz="8" w:color="E2EDED"/>
            </w:tcBorders>
            <w:shd w:val="clear" w:color="auto" w:fill="E2EDED"/>
          </w:tcPr>
          <w:p>
            <w:pPr>
              <w:ind w:left="60"/>
              <w:spacing w:after="0"/>
              <w:rPr>
                <w:sz w:val="20"/>
                <w:szCs w:val="20"/>
                <w:color w:val="auto"/>
              </w:rPr>
            </w:pPr>
            <w:r>
              <w:rPr>
                <w:rFonts w:ascii="Arial" w:cs="Arial" w:eastAsia="Arial" w:hAnsi="Arial"/>
                <w:sz w:val="14"/>
                <w:szCs w:val="14"/>
                <w:color w:val="auto"/>
              </w:rPr>
              <w:t>Matt Maddox</w:t>
            </w:r>
          </w:p>
        </w:tc>
        <w:tc>
          <w:tcPr>
            <w:tcW w:w="2180" w:type="dxa"/>
            <w:vAlign w:val="bottom"/>
            <w:tcBorders>
              <w:bottom w:val="single" w:sz="8" w:color="E2EDED"/>
            </w:tcBorders>
            <w:shd w:val="clear" w:color="auto" w:fill="E2EDED"/>
          </w:tcPr>
          <w:p>
            <w:pPr>
              <w:jc w:val="center"/>
              <w:ind w:right="1313"/>
              <w:spacing w:after="0"/>
              <w:rPr>
                <w:sz w:val="20"/>
                <w:szCs w:val="20"/>
                <w:color w:val="auto"/>
              </w:rPr>
            </w:pPr>
            <w:r>
              <w:rPr>
                <w:rFonts w:ascii="Arial" w:cs="Arial" w:eastAsia="Arial" w:hAnsi="Arial"/>
                <w:sz w:val="14"/>
                <w:szCs w:val="14"/>
                <w:color w:val="auto"/>
              </w:rPr>
              <w:t>45</w:t>
            </w:r>
          </w:p>
        </w:tc>
        <w:tc>
          <w:tcPr>
            <w:tcW w:w="5560" w:type="dxa"/>
            <w:vAlign w:val="bottom"/>
            <w:tcBorders>
              <w:bottom w:val="single" w:sz="8" w:color="E2EDED"/>
            </w:tcBorders>
            <w:shd w:val="clear" w:color="auto" w:fill="E2EDED"/>
          </w:tcPr>
          <w:p>
            <w:pPr>
              <w:jc w:val="right"/>
              <w:ind w:right="133"/>
              <w:spacing w:after="0"/>
              <w:rPr>
                <w:sz w:val="20"/>
                <w:szCs w:val="20"/>
                <w:color w:val="auto"/>
              </w:rPr>
            </w:pPr>
            <w:r>
              <w:rPr>
                <w:rFonts w:ascii="Arial" w:cs="Arial" w:eastAsia="Arial" w:hAnsi="Arial"/>
                <w:sz w:val="14"/>
                <w:szCs w:val="14"/>
                <w:color w:val="auto"/>
              </w:rPr>
              <w:t>Director and Chief Executive Officer</w:t>
            </w:r>
          </w:p>
        </w:tc>
      </w:tr>
      <w:tr>
        <w:trPr>
          <w:trHeight w:val="244"/>
        </w:trPr>
        <w:tc>
          <w:tcPr>
            <w:tcW w:w="3280" w:type="dxa"/>
            <w:vAlign w:val="bottom"/>
          </w:tcPr>
          <w:p>
            <w:pPr>
              <w:ind w:left="60"/>
              <w:spacing w:after="0"/>
              <w:rPr>
                <w:sz w:val="20"/>
                <w:szCs w:val="20"/>
                <w:color w:val="auto"/>
              </w:rPr>
            </w:pPr>
            <w:r>
              <w:rPr>
                <w:rFonts w:ascii="Arial" w:cs="Arial" w:eastAsia="Arial" w:hAnsi="Arial"/>
                <w:sz w:val="14"/>
                <w:szCs w:val="14"/>
                <w:color w:val="auto"/>
              </w:rPr>
              <w:t>Craig S. Billings</w:t>
            </w:r>
          </w:p>
        </w:tc>
        <w:tc>
          <w:tcPr>
            <w:tcW w:w="2180" w:type="dxa"/>
            <w:vAlign w:val="bottom"/>
          </w:tcPr>
          <w:p>
            <w:pPr>
              <w:jc w:val="center"/>
              <w:ind w:right="1313"/>
              <w:spacing w:after="0"/>
              <w:rPr>
                <w:sz w:val="20"/>
                <w:szCs w:val="20"/>
                <w:color w:val="auto"/>
              </w:rPr>
            </w:pPr>
            <w:r>
              <w:rPr>
                <w:rFonts w:ascii="Arial" w:cs="Arial" w:eastAsia="Arial" w:hAnsi="Arial"/>
                <w:sz w:val="14"/>
                <w:szCs w:val="14"/>
                <w:color w:val="auto"/>
              </w:rPr>
              <w:t>48</w:t>
            </w:r>
          </w:p>
        </w:tc>
        <w:tc>
          <w:tcPr>
            <w:tcW w:w="5560" w:type="dxa"/>
            <w:vAlign w:val="bottom"/>
          </w:tcPr>
          <w:p>
            <w:pPr>
              <w:jc w:val="right"/>
              <w:ind w:right="133"/>
              <w:spacing w:after="0"/>
              <w:rPr>
                <w:sz w:val="20"/>
                <w:szCs w:val="20"/>
                <w:color w:val="auto"/>
              </w:rPr>
            </w:pPr>
            <w:r>
              <w:rPr>
                <w:rFonts w:ascii="Arial" w:cs="Arial" w:eastAsia="Arial" w:hAnsi="Arial"/>
                <w:sz w:val="14"/>
                <w:szCs w:val="14"/>
                <w:color w:val="auto"/>
              </w:rPr>
              <w:t>President and Chief Financial Officer</w:t>
            </w:r>
          </w:p>
        </w:tc>
      </w:tr>
      <w:tr>
        <w:trPr>
          <w:trHeight w:val="53"/>
        </w:trPr>
        <w:tc>
          <w:tcPr>
            <w:tcW w:w="3280" w:type="dxa"/>
            <w:vAlign w:val="bottom"/>
          </w:tcPr>
          <w:p>
            <w:pPr>
              <w:spacing w:after="0"/>
              <w:rPr>
                <w:sz w:val="4"/>
                <w:szCs w:val="4"/>
                <w:color w:val="auto"/>
              </w:rPr>
            </w:pPr>
          </w:p>
        </w:tc>
        <w:tc>
          <w:tcPr>
            <w:tcW w:w="2180" w:type="dxa"/>
            <w:vAlign w:val="bottom"/>
          </w:tcPr>
          <w:p>
            <w:pPr>
              <w:spacing w:after="0"/>
              <w:rPr>
                <w:sz w:val="4"/>
                <w:szCs w:val="4"/>
                <w:color w:val="auto"/>
              </w:rPr>
            </w:pPr>
          </w:p>
        </w:tc>
        <w:tc>
          <w:tcPr>
            <w:tcW w:w="5560" w:type="dxa"/>
            <w:vAlign w:val="bottom"/>
          </w:tcPr>
          <w:p>
            <w:pPr>
              <w:spacing w:after="0"/>
              <w:rPr>
                <w:sz w:val="4"/>
                <w:szCs w:val="4"/>
                <w:color w:val="auto"/>
              </w:rPr>
            </w:pPr>
          </w:p>
        </w:tc>
      </w:tr>
      <w:tr>
        <w:trPr>
          <w:trHeight w:val="244"/>
        </w:trPr>
        <w:tc>
          <w:tcPr>
            <w:tcW w:w="3280" w:type="dxa"/>
            <w:vAlign w:val="bottom"/>
            <w:shd w:val="clear" w:color="auto" w:fill="E2EDED"/>
          </w:tcPr>
          <w:p>
            <w:pPr>
              <w:ind w:left="60"/>
              <w:spacing w:after="0"/>
              <w:rPr>
                <w:sz w:val="20"/>
                <w:szCs w:val="20"/>
                <w:color w:val="auto"/>
              </w:rPr>
            </w:pPr>
            <w:r>
              <w:rPr>
                <w:rFonts w:ascii="Arial" w:cs="Arial" w:eastAsia="Arial" w:hAnsi="Arial"/>
                <w:sz w:val="14"/>
                <w:szCs w:val="14"/>
                <w:color w:val="auto"/>
              </w:rPr>
              <w:t>Ellen F. Whittemore</w:t>
            </w:r>
          </w:p>
        </w:tc>
        <w:tc>
          <w:tcPr>
            <w:tcW w:w="2180" w:type="dxa"/>
            <w:vAlign w:val="bottom"/>
            <w:shd w:val="clear" w:color="auto" w:fill="E2EDED"/>
          </w:tcPr>
          <w:p>
            <w:pPr>
              <w:jc w:val="center"/>
              <w:ind w:right="1313"/>
              <w:spacing w:after="0"/>
              <w:rPr>
                <w:sz w:val="20"/>
                <w:szCs w:val="20"/>
                <w:color w:val="auto"/>
              </w:rPr>
            </w:pPr>
            <w:r>
              <w:rPr>
                <w:rFonts w:ascii="Arial" w:cs="Arial" w:eastAsia="Arial" w:hAnsi="Arial"/>
                <w:sz w:val="14"/>
                <w:szCs w:val="14"/>
                <w:color w:val="auto"/>
              </w:rPr>
              <w:t>64</w:t>
            </w:r>
          </w:p>
        </w:tc>
        <w:tc>
          <w:tcPr>
            <w:tcW w:w="5560" w:type="dxa"/>
            <w:vAlign w:val="bottom"/>
            <w:shd w:val="clear" w:color="auto" w:fill="E2EDED"/>
          </w:tcPr>
          <w:p>
            <w:pPr>
              <w:jc w:val="right"/>
              <w:ind w:right="133"/>
              <w:spacing w:after="0"/>
              <w:rPr>
                <w:sz w:val="20"/>
                <w:szCs w:val="20"/>
                <w:color w:val="auto"/>
              </w:rPr>
            </w:pPr>
            <w:r>
              <w:rPr>
                <w:rFonts w:ascii="Arial" w:cs="Arial" w:eastAsia="Arial" w:hAnsi="Arial"/>
                <w:sz w:val="14"/>
                <w:szCs w:val="14"/>
                <w:color w:val="auto"/>
              </w:rPr>
              <w:t>Executive Vice President, General Counsel and Secretary</w:t>
            </w:r>
          </w:p>
        </w:tc>
      </w:tr>
      <w:tr>
        <w:trPr>
          <w:trHeight w:val="53"/>
        </w:trPr>
        <w:tc>
          <w:tcPr>
            <w:tcW w:w="3280" w:type="dxa"/>
            <w:vAlign w:val="bottom"/>
            <w:shd w:val="clear" w:color="auto" w:fill="E2EDED"/>
          </w:tcPr>
          <w:p>
            <w:pPr>
              <w:spacing w:after="0"/>
              <w:rPr>
                <w:sz w:val="4"/>
                <w:szCs w:val="4"/>
                <w:color w:val="auto"/>
              </w:rPr>
            </w:pPr>
          </w:p>
        </w:tc>
        <w:tc>
          <w:tcPr>
            <w:tcW w:w="2180" w:type="dxa"/>
            <w:vAlign w:val="bottom"/>
            <w:shd w:val="clear" w:color="auto" w:fill="E2EDED"/>
          </w:tcPr>
          <w:p>
            <w:pPr>
              <w:spacing w:after="0"/>
              <w:rPr>
                <w:sz w:val="4"/>
                <w:szCs w:val="4"/>
                <w:color w:val="auto"/>
              </w:rPr>
            </w:pPr>
          </w:p>
        </w:tc>
        <w:tc>
          <w:tcPr>
            <w:tcW w:w="5560" w:type="dxa"/>
            <w:vAlign w:val="bottom"/>
            <w:shd w:val="clear" w:color="auto" w:fill="E2EDED"/>
          </w:tcPr>
          <w:p>
            <w:pPr>
              <w:spacing w:after="0"/>
              <w:rPr>
                <w:sz w:val="4"/>
                <w:szCs w:val="4"/>
                <w:color w:val="auto"/>
              </w:rPr>
            </w:pPr>
          </w:p>
        </w:tc>
      </w:tr>
    </w:tbl>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executive officers are appointed by the Board and serve at the discretion of the Board, subject to applicable employment agreements.</w:t>
      </w:r>
    </w:p>
    <w:p>
      <w:pPr>
        <w:spacing w:after="0" w:line="30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D0A51"/>
        </w:rPr>
        <w:t>NON-DIRECTOR EXECUTIVE OFFICERS</w:t>
      </w:r>
    </w:p>
    <w:p>
      <w:pPr>
        <w:spacing w:after="0" w:line="89" w:lineRule="exact"/>
        <w:rPr>
          <w:sz w:val="20"/>
          <w:szCs w:val="20"/>
          <w:color w:val="auto"/>
        </w:rPr>
      </w:pPr>
    </w:p>
    <w:p>
      <w:pPr>
        <w:ind w:left="120"/>
        <w:spacing w:after="0"/>
        <w:rPr>
          <w:sz w:val="20"/>
          <w:szCs w:val="20"/>
          <w:color w:val="auto"/>
        </w:rPr>
      </w:pPr>
      <w:r>
        <w:rPr>
          <w:rFonts w:ascii="Arial" w:cs="Arial" w:eastAsia="Arial" w:hAnsi="Arial"/>
          <w:sz w:val="32"/>
          <w:szCs w:val="32"/>
          <w:color w:val="3D0A51"/>
        </w:rPr>
        <w:t xml:space="preserve">Craig S. Billings </w:t>
      </w:r>
      <w:r>
        <w:rPr>
          <w:rFonts w:ascii="Arial" w:cs="Arial" w:eastAsia="Arial" w:hAnsi="Arial"/>
          <w:sz w:val="14"/>
          <w:szCs w:val="14"/>
          <w:i w:val="1"/>
          <w:iCs w:val="1"/>
          <w:color w:val="333D3F"/>
        </w:rPr>
        <w:t>President and Chief Financial Officer</w:t>
      </w:r>
    </w:p>
    <w:p>
      <w:pPr>
        <w:spacing w:after="0" w:line="192"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4"/>
          <w:szCs w:val="14"/>
          <w:b w:val="1"/>
          <w:bCs w:val="1"/>
          <w:color w:val="auto"/>
        </w:rPr>
        <w:t xml:space="preserve">Mr. Billings </w:t>
      </w:r>
      <w:r>
        <w:rPr>
          <w:rFonts w:ascii="Arial" w:cs="Arial" w:eastAsia="Arial" w:hAnsi="Arial"/>
          <w:sz w:val="14"/>
          <w:szCs w:val="14"/>
          <w:color w:val="auto"/>
        </w:rPr>
        <w:t>is the Company’s President and Chief Financial Officer, a position he has held since May 2019. On August 17, 2018, Mr. Billings was appointed a Non-Executive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Director of Wynn Macau, Limited, a majority owned subsidiary of the Company. Mr. Billings joined the Company in March 2017 as the Company’s Chief Financial Officer and Treasurer.</w:t>
      </w:r>
    </w:p>
    <w:p>
      <w:pPr>
        <w:spacing w:after="0" w:line="173"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3D0A51"/>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1680210" cy="18434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80210" cy="1843405"/>
                    </a:xfrm>
                    <a:prstGeom prst="rect">
                      <a:avLst/>
                    </a:prstGeom>
                    <a:noFill/>
                  </pic:spPr>
                </pic:pic>
              </a:graphicData>
            </a:graphic>
          </wp:anchor>
        </w:drawing>
      </w:r>
    </w:p>
    <w:p>
      <w:pPr>
        <w:ind w:left="3260" w:hanging="120"/>
        <w:spacing w:after="0"/>
        <w:tabs>
          <w:tab w:leader="none" w:pos="3260" w:val="left"/>
        </w:tabs>
        <w:numPr>
          <w:ilvl w:val="0"/>
          <w:numId w:val="48"/>
        </w:numPr>
        <w:rPr>
          <w:rFonts w:ascii="Arial" w:cs="Arial" w:eastAsia="Arial" w:hAnsi="Arial"/>
          <w:sz w:val="14"/>
          <w:szCs w:val="14"/>
          <w:color w:val="3D0A51"/>
        </w:rPr>
      </w:pPr>
      <w:r>
        <w:rPr>
          <w:rFonts w:ascii="Arial" w:cs="Arial" w:eastAsia="Arial" w:hAnsi="Arial"/>
          <w:sz w:val="14"/>
          <w:szCs w:val="14"/>
          <w:color w:val="auto"/>
        </w:rPr>
        <w:t>2015 to 2017: Gaming industry independent advisor and investor</w:t>
      </w:r>
    </w:p>
    <w:p>
      <w:pPr>
        <w:spacing w:after="0" w:line="82" w:lineRule="exact"/>
        <w:rPr>
          <w:rFonts w:ascii="Arial" w:cs="Arial" w:eastAsia="Arial" w:hAnsi="Arial"/>
          <w:sz w:val="14"/>
          <w:szCs w:val="14"/>
          <w:color w:val="3D0A51"/>
        </w:rPr>
      </w:pPr>
    </w:p>
    <w:p>
      <w:pPr>
        <w:ind w:left="3280" w:right="160" w:hanging="140"/>
        <w:spacing w:after="0" w:line="258" w:lineRule="auto"/>
        <w:tabs>
          <w:tab w:leader="none" w:pos="3265" w:val="left"/>
        </w:tabs>
        <w:numPr>
          <w:ilvl w:val="0"/>
          <w:numId w:val="48"/>
        </w:numPr>
        <w:rPr>
          <w:rFonts w:ascii="Arial" w:cs="Arial" w:eastAsia="Arial" w:hAnsi="Arial"/>
          <w:sz w:val="14"/>
          <w:szCs w:val="14"/>
          <w:color w:val="3D0A51"/>
        </w:rPr>
      </w:pPr>
      <w:r>
        <w:rPr>
          <w:rFonts w:ascii="Arial" w:cs="Arial" w:eastAsia="Arial" w:hAnsi="Arial"/>
          <w:sz w:val="14"/>
          <w:szCs w:val="14"/>
          <w:color w:val="auto"/>
        </w:rPr>
        <w:t>2012 to 2015: Chief Digital Officer, Strategy &amp; Business Development Managing Director, various roles, Aristocrat Leisure Ltd.</w:t>
      </w:r>
    </w:p>
    <w:p>
      <w:pPr>
        <w:spacing w:after="0" w:line="58" w:lineRule="exact"/>
        <w:rPr>
          <w:rFonts w:ascii="Arial" w:cs="Arial" w:eastAsia="Arial" w:hAnsi="Arial"/>
          <w:sz w:val="14"/>
          <w:szCs w:val="14"/>
          <w:color w:val="3D0A51"/>
        </w:rPr>
      </w:pPr>
    </w:p>
    <w:p>
      <w:pPr>
        <w:ind w:left="3280" w:right="240" w:hanging="140"/>
        <w:spacing w:after="0" w:line="258" w:lineRule="auto"/>
        <w:tabs>
          <w:tab w:leader="none" w:pos="3265" w:val="left"/>
        </w:tabs>
        <w:numPr>
          <w:ilvl w:val="0"/>
          <w:numId w:val="48"/>
        </w:numPr>
        <w:rPr>
          <w:rFonts w:ascii="Arial" w:cs="Arial" w:eastAsia="Arial" w:hAnsi="Arial"/>
          <w:sz w:val="14"/>
          <w:szCs w:val="14"/>
          <w:color w:val="3D0A51"/>
        </w:rPr>
      </w:pPr>
      <w:r>
        <w:rPr>
          <w:rFonts w:ascii="Arial" w:cs="Arial" w:eastAsia="Arial" w:hAnsi="Arial"/>
          <w:sz w:val="14"/>
          <w:szCs w:val="14"/>
          <w:color w:val="auto"/>
        </w:rPr>
        <w:t>Previously Vice President in the Investment Banking Division of Goldman Sachs in both New York and London, covering the gaming industry</w:t>
      </w:r>
    </w:p>
    <w:p>
      <w:pPr>
        <w:spacing w:after="0" w:line="58" w:lineRule="exact"/>
        <w:rPr>
          <w:rFonts w:ascii="Arial" w:cs="Arial" w:eastAsia="Arial" w:hAnsi="Arial"/>
          <w:sz w:val="14"/>
          <w:szCs w:val="14"/>
          <w:color w:val="3D0A51"/>
        </w:rPr>
      </w:pPr>
    </w:p>
    <w:p>
      <w:pPr>
        <w:ind w:left="3260" w:hanging="120"/>
        <w:spacing w:after="0"/>
        <w:tabs>
          <w:tab w:leader="none" w:pos="3260" w:val="left"/>
        </w:tabs>
        <w:numPr>
          <w:ilvl w:val="0"/>
          <w:numId w:val="48"/>
        </w:numPr>
        <w:rPr>
          <w:rFonts w:ascii="Arial" w:cs="Arial" w:eastAsia="Arial" w:hAnsi="Arial"/>
          <w:sz w:val="14"/>
          <w:szCs w:val="14"/>
          <w:color w:val="3D0A51"/>
        </w:rPr>
      </w:pPr>
      <w:r>
        <w:rPr>
          <w:rFonts w:ascii="Arial" w:cs="Arial" w:eastAsia="Arial" w:hAnsi="Arial"/>
          <w:sz w:val="14"/>
          <w:szCs w:val="14"/>
          <w:color w:val="auto"/>
        </w:rPr>
        <w:t>Previously Manager in the Audit Division of Deloitte &amp; Touche in Las Vegas, NV</w:t>
      </w:r>
    </w:p>
    <w:p>
      <w:pPr>
        <w:spacing w:after="0" w:line="82" w:lineRule="exact"/>
        <w:rPr>
          <w:rFonts w:ascii="Arial" w:cs="Arial" w:eastAsia="Arial" w:hAnsi="Arial"/>
          <w:sz w:val="14"/>
          <w:szCs w:val="14"/>
          <w:color w:val="3D0A51"/>
        </w:rPr>
      </w:pPr>
    </w:p>
    <w:p>
      <w:pPr>
        <w:ind w:left="3280" w:right="3160" w:hanging="140"/>
        <w:spacing w:after="0" w:line="258" w:lineRule="auto"/>
        <w:tabs>
          <w:tab w:leader="none" w:pos="3265" w:val="left"/>
        </w:tabs>
        <w:numPr>
          <w:ilvl w:val="0"/>
          <w:numId w:val="48"/>
        </w:numPr>
        <w:rPr>
          <w:rFonts w:ascii="Arial" w:cs="Arial" w:eastAsia="Arial" w:hAnsi="Arial"/>
          <w:sz w:val="14"/>
          <w:szCs w:val="14"/>
          <w:color w:val="3D0A51"/>
        </w:rPr>
      </w:pPr>
      <w:r>
        <w:rPr>
          <w:rFonts w:ascii="Arial" w:cs="Arial" w:eastAsia="Arial" w:hAnsi="Arial"/>
          <w:sz w:val="14"/>
          <w:szCs w:val="14"/>
          <w:color w:val="auto"/>
        </w:rPr>
        <w:t>2015 to 2018: Director and Non-Executive Chairman, NYX Gaming Group (now part of Scientific Games)</w:t>
      </w:r>
    </w:p>
    <w:p>
      <w:pPr>
        <w:spacing w:after="0" w:line="162"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3D0A51"/>
        </w:rPr>
        <w:t>EDUCATION</w:t>
      </w:r>
    </w:p>
    <w:p>
      <w:pPr>
        <w:spacing w:after="0" w:line="19" w:lineRule="exact"/>
        <w:rPr>
          <w:sz w:val="20"/>
          <w:szCs w:val="20"/>
          <w:color w:val="auto"/>
        </w:rPr>
      </w:pPr>
    </w:p>
    <w:p>
      <w:pPr>
        <w:ind w:left="3140" w:right="400"/>
        <w:spacing w:after="0" w:line="258" w:lineRule="auto"/>
        <w:rPr>
          <w:sz w:val="20"/>
          <w:szCs w:val="20"/>
          <w:color w:val="auto"/>
        </w:rPr>
      </w:pPr>
      <w:r>
        <w:rPr>
          <w:rFonts w:ascii="Arial" w:cs="Arial" w:eastAsia="Arial" w:hAnsi="Arial"/>
          <w:sz w:val="14"/>
          <w:szCs w:val="14"/>
          <w:color w:val="auto"/>
        </w:rPr>
        <w:t>Mr. Billings graduated with a B.S. (cum laude) in Accounting from the University of Nevada, Las Vegas, and received an M.B.A. from Columbia Business School. Mr. Billings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0"/>
        <w:spacing w:after="0"/>
        <w:rPr>
          <w:sz w:val="20"/>
          <w:szCs w:val="20"/>
          <w:color w:val="auto"/>
        </w:rPr>
      </w:pPr>
      <w:r>
        <w:rPr>
          <w:rFonts w:ascii="Arial" w:cs="Arial" w:eastAsia="Arial" w:hAnsi="Arial"/>
          <w:sz w:val="32"/>
          <w:szCs w:val="32"/>
          <w:color w:val="3D0A51"/>
        </w:rPr>
        <w:t xml:space="preserve">Ellen F. Whittemore </w:t>
      </w:r>
      <w:r>
        <w:rPr>
          <w:rFonts w:ascii="Arial" w:cs="Arial" w:eastAsia="Arial" w:hAnsi="Arial"/>
          <w:sz w:val="14"/>
          <w:szCs w:val="14"/>
          <w:i w:val="1"/>
          <w:iCs w:val="1"/>
          <w:color w:val="333D3F"/>
        </w:rPr>
        <w:t>Executive Vice President, General Counsel and Secretary</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 xml:space="preserve">Ms. Whittemore </w:t>
      </w:r>
      <w:r>
        <w:rPr>
          <w:rFonts w:ascii="Arial" w:cs="Arial" w:eastAsia="Arial" w:hAnsi="Arial"/>
          <w:sz w:val="14"/>
          <w:szCs w:val="14"/>
          <w:color w:val="auto"/>
        </w:rPr>
        <w:t>is the Company’s Executive Vice President, General Counsel and Secretary, a position she has held since July 2018.</w:t>
      </w:r>
    </w:p>
    <w:p>
      <w:pPr>
        <w:spacing w:after="0" w:line="217"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3D0A51"/>
        </w:rPr>
        <w:t>PREVIOUS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1680210" cy="18427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80210" cy="1842770"/>
                    </a:xfrm>
                    <a:prstGeom prst="rect">
                      <a:avLst/>
                    </a:prstGeom>
                    <a:noFill/>
                  </pic:spPr>
                </pic:pic>
              </a:graphicData>
            </a:graphic>
          </wp:anchor>
        </w:drawing>
      </w:r>
    </w:p>
    <w:p>
      <w:pPr>
        <w:ind w:left="3260" w:hanging="120"/>
        <w:spacing w:after="0"/>
        <w:tabs>
          <w:tab w:leader="none" w:pos="3260" w:val="left"/>
        </w:tabs>
        <w:numPr>
          <w:ilvl w:val="0"/>
          <w:numId w:val="49"/>
        </w:numPr>
        <w:rPr>
          <w:rFonts w:ascii="Arial" w:cs="Arial" w:eastAsia="Arial" w:hAnsi="Arial"/>
          <w:sz w:val="14"/>
          <w:szCs w:val="14"/>
          <w:color w:val="3D0A51"/>
        </w:rPr>
      </w:pPr>
      <w:r>
        <w:rPr>
          <w:rFonts w:ascii="Arial" w:cs="Arial" w:eastAsia="Arial" w:hAnsi="Arial"/>
          <w:sz w:val="14"/>
          <w:szCs w:val="14"/>
          <w:color w:val="auto"/>
        </w:rPr>
        <w:t>2016 to 2018: Shareholder of Brownstein Hyatt Farber Schreck LLP</w:t>
      </w:r>
    </w:p>
    <w:p>
      <w:pPr>
        <w:spacing w:after="0" w:line="82" w:lineRule="exact"/>
        <w:rPr>
          <w:rFonts w:ascii="Arial" w:cs="Arial" w:eastAsia="Arial" w:hAnsi="Arial"/>
          <w:sz w:val="14"/>
          <w:szCs w:val="14"/>
          <w:color w:val="3D0A51"/>
        </w:rPr>
      </w:pPr>
    </w:p>
    <w:p>
      <w:pPr>
        <w:ind w:left="3260" w:hanging="120"/>
        <w:spacing w:after="0"/>
        <w:tabs>
          <w:tab w:leader="none" w:pos="3260" w:val="left"/>
        </w:tabs>
        <w:numPr>
          <w:ilvl w:val="0"/>
          <w:numId w:val="49"/>
        </w:numPr>
        <w:rPr>
          <w:rFonts w:ascii="Arial" w:cs="Arial" w:eastAsia="Arial" w:hAnsi="Arial"/>
          <w:sz w:val="14"/>
          <w:szCs w:val="14"/>
          <w:color w:val="3D0A51"/>
        </w:rPr>
      </w:pPr>
      <w:r>
        <w:rPr>
          <w:rFonts w:ascii="Arial" w:cs="Arial" w:eastAsia="Arial" w:hAnsi="Arial"/>
          <w:sz w:val="14"/>
          <w:szCs w:val="14"/>
          <w:color w:val="auto"/>
        </w:rPr>
        <w:t>2014 to 2016: Sole manager of the Whittemore Gaming Group, LLC</w:t>
      </w:r>
    </w:p>
    <w:p>
      <w:pPr>
        <w:spacing w:after="0" w:line="82" w:lineRule="exact"/>
        <w:rPr>
          <w:rFonts w:ascii="Arial" w:cs="Arial" w:eastAsia="Arial" w:hAnsi="Arial"/>
          <w:sz w:val="14"/>
          <w:szCs w:val="14"/>
          <w:color w:val="3D0A51"/>
        </w:rPr>
      </w:pPr>
    </w:p>
    <w:p>
      <w:pPr>
        <w:ind w:left="3260" w:hanging="120"/>
        <w:spacing w:after="0"/>
        <w:tabs>
          <w:tab w:leader="none" w:pos="3260" w:val="left"/>
        </w:tabs>
        <w:numPr>
          <w:ilvl w:val="0"/>
          <w:numId w:val="49"/>
        </w:numPr>
        <w:rPr>
          <w:rFonts w:ascii="Arial" w:cs="Arial" w:eastAsia="Arial" w:hAnsi="Arial"/>
          <w:sz w:val="14"/>
          <w:szCs w:val="14"/>
          <w:color w:val="3D0A51"/>
        </w:rPr>
      </w:pPr>
      <w:r>
        <w:rPr>
          <w:rFonts w:ascii="Arial" w:cs="Arial" w:eastAsia="Arial" w:hAnsi="Arial"/>
          <w:sz w:val="14"/>
          <w:szCs w:val="14"/>
          <w:color w:val="auto"/>
        </w:rPr>
        <w:t>Previously owner and President of Las Vegas Sports Consultants, a sports information service for Nevada sports pools</w:t>
      </w:r>
    </w:p>
    <w:p>
      <w:pPr>
        <w:spacing w:after="0" w:line="82" w:lineRule="exact"/>
        <w:rPr>
          <w:rFonts w:ascii="Arial" w:cs="Arial" w:eastAsia="Arial" w:hAnsi="Arial"/>
          <w:sz w:val="14"/>
          <w:szCs w:val="14"/>
          <w:color w:val="3D0A51"/>
        </w:rPr>
      </w:pPr>
    </w:p>
    <w:p>
      <w:pPr>
        <w:ind w:left="3260" w:hanging="120"/>
        <w:spacing w:after="0"/>
        <w:tabs>
          <w:tab w:leader="none" w:pos="3260" w:val="left"/>
        </w:tabs>
        <w:numPr>
          <w:ilvl w:val="0"/>
          <w:numId w:val="49"/>
        </w:numPr>
        <w:rPr>
          <w:rFonts w:ascii="Arial" w:cs="Arial" w:eastAsia="Arial" w:hAnsi="Arial"/>
          <w:sz w:val="14"/>
          <w:szCs w:val="14"/>
          <w:color w:val="3D0A51"/>
        </w:rPr>
      </w:pPr>
      <w:r>
        <w:rPr>
          <w:rFonts w:ascii="Arial" w:cs="Arial" w:eastAsia="Arial" w:hAnsi="Arial"/>
          <w:sz w:val="14"/>
          <w:szCs w:val="14"/>
          <w:color w:val="auto"/>
        </w:rPr>
        <w:t>Previously Of Counsel in the Las Vegas office of the law firm Lionel Sawyer &amp; Collins for more than 20 years</w:t>
      </w:r>
    </w:p>
    <w:p>
      <w:pPr>
        <w:spacing w:after="0" w:line="186" w:lineRule="exact"/>
        <w:rPr>
          <w:sz w:val="20"/>
          <w:szCs w:val="20"/>
          <w:color w:val="auto"/>
        </w:rPr>
      </w:pPr>
    </w:p>
    <w:p>
      <w:pPr>
        <w:ind w:left="3140"/>
        <w:spacing w:after="0"/>
        <w:rPr>
          <w:sz w:val="20"/>
          <w:szCs w:val="20"/>
          <w:color w:val="auto"/>
        </w:rPr>
      </w:pPr>
      <w:r>
        <w:rPr>
          <w:rFonts w:ascii="Arial" w:cs="Arial" w:eastAsia="Arial" w:hAnsi="Arial"/>
          <w:sz w:val="14"/>
          <w:szCs w:val="14"/>
          <w:b w:val="1"/>
          <w:bCs w:val="1"/>
          <w:color w:val="3D0A51"/>
        </w:rPr>
        <w:t>EDUCATION</w:t>
      </w:r>
    </w:p>
    <w:p>
      <w:pPr>
        <w:spacing w:after="0" w:line="19" w:lineRule="exact"/>
        <w:rPr>
          <w:sz w:val="20"/>
          <w:szCs w:val="20"/>
          <w:color w:val="auto"/>
        </w:rPr>
      </w:pPr>
    </w:p>
    <w:p>
      <w:pPr>
        <w:ind w:left="3140" w:right="120"/>
        <w:spacing w:after="0" w:line="258" w:lineRule="auto"/>
        <w:rPr>
          <w:sz w:val="20"/>
          <w:szCs w:val="20"/>
          <w:color w:val="auto"/>
        </w:rPr>
      </w:pPr>
      <w:r>
        <w:rPr>
          <w:rFonts w:ascii="Arial" w:cs="Arial" w:eastAsia="Arial" w:hAnsi="Arial"/>
          <w:sz w:val="14"/>
          <w:szCs w:val="14"/>
          <w:color w:val="auto"/>
        </w:rPr>
        <w:t>Ms. Whittemore graduated with a B.A. from the University of Nevada, Reno and received her J.D. from the University of San Diego School of Law. She is admitted to practice before the United States Supreme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0" w:hanging="684"/>
        <w:spacing w:after="0"/>
        <w:tabs>
          <w:tab w:leader="none" w:pos="800" w:val="left"/>
        </w:tabs>
        <w:numPr>
          <w:ilvl w:val="0"/>
          <w:numId w:val="50"/>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90525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139"/>
          </w:cols>
          <w:pgMar w:left="320" w:top="459" w:right="1440"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357505</wp:posOffset>
            </wp:positionV>
            <wp:extent cx="7029450" cy="91554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We believe Wynn Resorts is the world’s preeminent designer, developer, and operator of integrated resorts. The Company’s business model integrates luxury hotel rooms, high-end retail, an array of dining and entertainment options, meeting space, and gaming, all supported by superior levels of customer service provided by our more than 27,500 employees. Our operations in Las Vegas, Macau and Boston are designed to attract a wide range of domestic and international customers.</w:t>
      </w:r>
    </w:p>
    <w:p>
      <w:pPr>
        <w:spacing w:after="0" w:line="164"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The Compensation Committee relies on best-in-class practices to incentivize and reward executives and all employees for actions that create long-term shareholder value. As a result, our executive compensation practices promote accountability for performance and align incentives with long-term shareholder value. In addition, the Compensation Committee has designed our executive compensation program to attract and retain the best-in-class talent across our business. In this compensation discussion and analysis, or CD&amp;A, we describe our philosophy and approach to executive compensation.</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FOR FISCAL 2020, OUR NEOs WERE:</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1880" w:type="dxa"/>
            <w:vAlign w:val="bottom"/>
            <w:tcBorders>
              <w:right w:val="single" w:sz="8" w:color="A8BCBF"/>
            </w:tcBorders>
          </w:tcPr>
          <w:p>
            <w:pPr>
              <w:ind w:left="120"/>
              <w:spacing w:after="0"/>
              <w:rPr>
                <w:sz w:val="20"/>
                <w:szCs w:val="20"/>
                <w:color w:val="auto"/>
              </w:rPr>
            </w:pPr>
            <w:r>
              <w:rPr>
                <w:rFonts w:ascii="Arial" w:cs="Arial" w:eastAsia="Arial" w:hAnsi="Arial"/>
                <w:sz w:val="14"/>
                <w:szCs w:val="14"/>
                <w:b w:val="1"/>
                <w:bCs w:val="1"/>
                <w:color w:val="604F2B"/>
              </w:rPr>
              <w:t>NAME</w:t>
            </w:r>
          </w:p>
        </w:tc>
        <w:tc>
          <w:tcPr>
            <w:tcW w:w="9140" w:type="dxa"/>
            <w:vAlign w:val="bottom"/>
          </w:tcPr>
          <w:p>
            <w:pPr>
              <w:ind w:left="180"/>
              <w:spacing w:after="0"/>
              <w:rPr>
                <w:sz w:val="20"/>
                <w:szCs w:val="20"/>
                <w:color w:val="auto"/>
              </w:rPr>
            </w:pPr>
            <w:r>
              <w:rPr>
                <w:rFonts w:ascii="Arial" w:cs="Arial" w:eastAsia="Arial" w:hAnsi="Arial"/>
                <w:sz w:val="14"/>
                <w:szCs w:val="14"/>
                <w:b w:val="1"/>
                <w:bCs w:val="1"/>
                <w:color w:val="604F2B"/>
              </w:rPr>
              <w:t>TITLE</w:t>
            </w:r>
          </w:p>
        </w:tc>
      </w:tr>
      <w:tr>
        <w:trPr>
          <w:trHeight w:val="334"/>
        </w:trPr>
        <w:tc>
          <w:tcPr>
            <w:tcW w:w="1880" w:type="dxa"/>
            <w:vAlign w:val="bottom"/>
            <w:tcBorders>
              <w:bottom w:val="single" w:sz="8" w:color="EAEAE5"/>
              <w:right w:val="single" w:sz="8" w:color="A8BCBF"/>
            </w:tcBorders>
            <w:shd w:val="clear" w:color="auto" w:fill="EAEAE5"/>
          </w:tcPr>
          <w:p>
            <w:pPr>
              <w:ind w:left="100"/>
              <w:spacing w:after="0"/>
              <w:rPr>
                <w:sz w:val="20"/>
                <w:szCs w:val="20"/>
                <w:color w:val="auto"/>
              </w:rPr>
            </w:pPr>
            <w:r>
              <w:rPr>
                <w:rFonts w:ascii="Arial" w:cs="Arial" w:eastAsia="Arial" w:hAnsi="Arial"/>
                <w:sz w:val="18"/>
                <w:szCs w:val="18"/>
                <w:color w:val="auto"/>
              </w:rPr>
              <w:t>Matt Maddox</w:t>
            </w:r>
          </w:p>
        </w:tc>
        <w:tc>
          <w:tcPr>
            <w:tcW w:w="9140" w:type="dxa"/>
            <w:vAlign w:val="bottom"/>
            <w:tcBorders>
              <w:bottom w:val="single" w:sz="8" w:color="EAEAE5"/>
            </w:tcBorders>
            <w:shd w:val="clear" w:color="auto" w:fill="EAEAE5"/>
          </w:tcPr>
          <w:p>
            <w:pPr>
              <w:ind w:left="180"/>
              <w:spacing w:after="0"/>
              <w:rPr>
                <w:sz w:val="20"/>
                <w:szCs w:val="20"/>
                <w:color w:val="auto"/>
              </w:rPr>
            </w:pPr>
            <w:r>
              <w:rPr>
                <w:rFonts w:ascii="Arial" w:cs="Arial" w:eastAsia="Arial" w:hAnsi="Arial"/>
                <w:sz w:val="18"/>
                <w:szCs w:val="18"/>
                <w:color w:val="auto"/>
              </w:rPr>
              <w:t>Chief Executive Officer</w:t>
            </w:r>
          </w:p>
        </w:tc>
      </w:tr>
      <w:tr>
        <w:trPr>
          <w:trHeight w:val="324"/>
        </w:trPr>
        <w:tc>
          <w:tcPr>
            <w:tcW w:w="1880" w:type="dxa"/>
            <w:vAlign w:val="bottom"/>
            <w:tcBorders>
              <w:right w:val="single" w:sz="8" w:color="A8BCBF"/>
            </w:tcBorders>
          </w:tcPr>
          <w:p>
            <w:pPr>
              <w:ind w:left="100"/>
              <w:spacing w:after="0"/>
              <w:rPr>
                <w:sz w:val="20"/>
                <w:szCs w:val="20"/>
                <w:color w:val="auto"/>
              </w:rPr>
            </w:pPr>
            <w:r>
              <w:rPr>
                <w:rFonts w:ascii="Arial" w:cs="Arial" w:eastAsia="Arial" w:hAnsi="Arial"/>
                <w:sz w:val="18"/>
                <w:szCs w:val="18"/>
                <w:color w:val="auto"/>
              </w:rPr>
              <w:t>Craig S. Billings</w:t>
            </w:r>
          </w:p>
        </w:tc>
        <w:tc>
          <w:tcPr>
            <w:tcW w:w="9140" w:type="dxa"/>
            <w:vAlign w:val="bottom"/>
          </w:tcPr>
          <w:p>
            <w:pPr>
              <w:ind w:left="180"/>
              <w:spacing w:after="0"/>
              <w:rPr>
                <w:sz w:val="20"/>
                <w:szCs w:val="20"/>
                <w:color w:val="auto"/>
              </w:rPr>
            </w:pPr>
            <w:r>
              <w:rPr>
                <w:rFonts w:ascii="Arial" w:cs="Arial" w:eastAsia="Arial" w:hAnsi="Arial"/>
                <w:sz w:val="18"/>
                <w:szCs w:val="18"/>
                <w:color w:val="auto"/>
              </w:rPr>
              <w:t>President and Chief Financial Officer</w:t>
            </w:r>
          </w:p>
        </w:tc>
      </w:tr>
      <w:tr>
        <w:trPr>
          <w:trHeight w:val="27"/>
        </w:trPr>
        <w:tc>
          <w:tcPr>
            <w:tcW w:w="1880" w:type="dxa"/>
            <w:vAlign w:val="bottom"/>
            <w:tcBorders>
              <w:right w:val="single" w:sz="8" w:color="A8BCBF"/>
            </w:tcBorders>
          </w:tcPr>
          <w:p>
            <w:pPr>
              <w:spacing w:after="0"/>
              <w:rPr>
                <w:sz w:val="2"/>
                <w:szCs w:val="2"/>
                <w:color w:val="auto"/>
              </w:rPr>
            </w:pPr>
          </w:p>
        </w:tc>
        <w:tc>
          <w:tcPr>
            <w:tcW w:w="9140" w:type="dxa"/>
            <w:vAlign w:val="bottom"/>
          </w:tcPr>
          <w:p>
            <w:pPr>
              <w:spacing w:after="0"/>
              <w:rPr>
                <w:sz w:val="2"/>
                <w:szCs w:val="2"/>
                <w:color w:val="auto"/>
              </w:rPr>
            </w:pPr>
          </w:p>
        </w:tc>
      </w:tr>
      <w:tr>
        <w:trPr>
          <w:trHeight w:val="324"/>
        </w:trPr>
        <w:tc>
          <w:tcPr>
            <w:tcW w:w="1880" w:type="dxa"/>
            <w:vAlign w:val="bottom"/>
            <w:tcBorders>
              <w:right w:val="single" w:sz="8" w:color="A8BCBF"/>
            </w:tcBorders>
            <w:shd w:val="clear" w:color="auto" w:fill="EAEAE5"/>
          </w:tcPr>
          <w:p>
            <w:pPr>
              <w:ind w:left="100"/>
              <w:spacing w:after="0"/>
              <w:rPr>
                <w:sz w:val="20"/>
                <w:szCs w:val="20"/>
                <w:color w:val="auto"/>
              </w:rPr>
            </w:pPr>
            <w:r>
              <w:rPr>
                <w:rFonts w:ascii="Arial" w:cs="Arial" w:eastAsia="Arial" w:hAnsi="Arial"/>
                <w:sz w:val="18"/>
                <w:szCs w:val="18"/>
                <w:color w:val="auto"/>
              </w:rPr>
              <w:t>Ellen F. Whittemore</w:t>
            </w:r>
          </w:p>
        </w:tc>
        <w:tc>
          <w:tcPr>
            <w:tcW w:w="9140" w:type="dxa"/>
            <w:vAlign w:val="bottom"/>
            <w:shd w:val="clear" w:color="auto" w:fill="EAEAE5"/>
          </w:tcPr>
          <w:p>
            <w:pPr>
              <w:ind w:left="180"/>
              <w:spacing w:after="0"/>
              <w:rPr>
                <w:sz w:val="20"/>
                <w:szCs w:val="20"/>
                <w:color w:val="auto"/>
              </w:rPr>
            </w:pPr>
            <w:r>
              <w:rPr>
                <w:rFonts w:ascii="Arial" w:cs="Arial" w:eastAsia="Arial" w:hAnsi="Arial"/>
                <w:sz w:val="18"/>
                <w:szCs w:val="18"/>
                <w:color w:val="auto"/>
              </w:rPr>
              <w:t>Executive Vice President, General Counsel and Secretary</w:t>
            </w:r>
          </w:p>
        </w:tc>
      </w:tr>
      <w:tr>
        <w:trPr>
          <w:trHeight w:val="27"/>
        </w:trPr>
        <w:tc>
          <w:tcPr>
            <w:tcW w:w="1880" w:type="dxa"/>
            <w:vAlign w:val="bottom"/>
            <w:tcBorders>
              <w:right w:val="single" w:sz="8" w:color="A8BCBF"/>
            </w:tcBorders>
            <w:shd w:val="clear" w:color="auto" w:fill="EAEAE5"/>
          </w:tcPr>
          <w:p>
            <w:pPr>
              <w:spacing w:after="0"/>
              <w:rPr>
                <w:sz w:val="2"/>
                <w:szCs w:val="2"/>
                <w:color w:val="auto"/>
              </w:rPr>
            </w:pPr>
          </w:p>
        </w:tc>
        <w:tc>
          <w:tcPr>
            <w:tcW w:w="9140" w:type="dxa"/>
            <w:vAlign w:val="bottom"/>
            <w:shd w:val="clear" w:color="auto" w:fill="EAEAE5"/>
          </w:tcPr>
          <w:p>
            <w:pPr>
              <w:spacing w:after="0"/>
              <w:rPr>
                <w:sz w:val="2"/>
                <w:szCs w:val="2"/>
                <w:color w:val="auto"/>
              </w:rPr>
            </w:pPr>
          </w:p>
        </w:tc>
      </w:tr>
    </w:tbl>
    <w:p>
      <w:pPr>
        <w:spacing w:after="0" w:line="13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35</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7"/>
          <w:szCs w:val="27"/>
          <w:color w:val="604F2B"/>
        </w:rPr>
        <w:t>Overview of our executive compensation program</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WHY YOU SHOULD VOTE FOR THE 2021 SAY-ON-PAY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604F2B"/>
        </w:rPr>
        <w:t>Rigorous Design, Accountability and Alignment</w:t>
      </w:r>
    </w:p>
    <w:p>
      <w:pPr>
        <w:ind w:left="340" w:hanging="224"/>
        <w:spacing w:after="0" w:line="23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Annual and long-term incentive compensation remains aligned with long-term shareholder value creation</w:t>
      </w:r>
    </w:p>
    <w:p>
      <w:pPr>
        <w:ind w:left="340" w:hanging="224"/>
        <w:spacing w:after="0" w:line="23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Compensation Committee set rigorous metrics for annual incentives despite the uncertainty around a rebound from COVID-19, and maintained strong focus on performance-based long-term incentives</w:t>
      </w:r>
    </w:p>
    <w:p>
      <w:pPr>
        <w:spacing w:after="0" w:line="1" w:lineRule="exact"/>
        <w:rPr>
          <w:rFonts w:ascii="Arial" w:cs="Arial" w:eastAsia="Arial" w:hAnsi="Arial"/>
          <w:sz w:val="18"/>
          <w:szCs w:val="18"/>
          <w:color w:val="auto"/>
        </w:rPr>
      </w:pPr>
    </w:p>
    <w:p>
      <w:pPr>
        <w:ind w:left="340" w:right="260" w:hanging="224"/>
        <w:spacing w:after="0" w:line="23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further enhance the alignment of executives’ interest with those of long-term shareholders, the annual incentive, based on pre-set goals, is paid out 50% in equity</w:t>
      </w:r>
    </w:p>
    <w:p>
      <w:pPr>
        <w:spacing w:after="0" w:line="1" w:lineRule="exact"/>
        <w:rPr>
          <w:rFonts w:ascii="Arial" w:cs="Arial" w:eastAsia="Arial" w:hAnsi="Arial"/>
          <w:sz w:val="18"/>
          <w:szCs w:val="18"/>
          <w:color w:val="auto"/>
        </w:rPr>
      </w:pPr>
    </w:p>
    <w:p>
      <w:pPr>
        <w:ind w:left="340" w:right="80" w:hanging="224"/>
        <w:spacing w:after="0" w:line="234"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line with our focus on performance-based pay, 93% of NEO compensation remained at-risk with nearly two-thirds of incentives being focused on long-term performance</w:t>
      </w:r>
    </w:p>
    <w:p>
      <w:pPr>
        <w:spacing w:after="0" w:line="1" w:lineRule="exact"/>
        <w:rPr>
          <w:rFonts w:ascii="Arial" w:cs="Arial" w:eastAsia="Arial" w:hAnsi="Arial"/>
          <w:sz w:val="18"/>
          <w:szCs w:val="18"/>
          <w:color w:val="auto"/>
        </w:rPr>
      </w:pPr>
    </w:p>
    <w:p>
      <w:pPr>
        <w:ind w:left="340" w:hanging="224"/>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executive compensation framework reflects feedback received over the past several years from shareholders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604F2B"/>
        </w:rPr>
        <w:t>Responsiveness to COVID-19 Developments</w:t>
      </w:r>
    </w:p>
    <w:p>
      <w:pPr>
        <w:ind w:left="340" w:right="120" w:hanging="224"/>
        <w:spacing w:after="0" w:line="234"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preserve liquidity at the onset of COVID, all NEOs voluntarily agreed to receive a specified portion of base salary in the form of a restricted stock award, rather than in the form of cash, that vested on December 31, 2020 if the NEO remained continuously employed with the Company through such date</w:t>
      </w:r>
    </w:p>
    <w:p>
      <w:pPr>
        <w:spacing w:after="0" w:line="2" w:lineRule="exact"/>
        <w:rPr>
          <w:rFonts w:ascii="Arial" w:cs="Arial" w:eastAsia="Arial" w:hAnsi="Arial"/>
          <w:sz w:val="18"/>
          <w:szCs w:val="18"/>
          <w:color w:val="auto"/>
        </w:rPr>
      </w:pPr>
    </w:p>
    <w:p>
      <w:pPr>
        <w:ind w:left="340" w:right="440" w:hanging="224"/>
        <w:spacing w:after="0" w:line="246"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enable retention grants of equity to over 400 key employees, the CEO requested, and the Compensation Committee agreed, to cancel 140,000 of the CEO’s performance-based restricted share awards</w:t>
      </w:r>
    </w:p>
    <w:p>
      <w:pPr>
        <w:spacing w:after="0" w:line="156" w:lineRule="exact"/>
        <w:rPr>
          <w:sz w:val="20"/>
          <w:szCs w:val="20"/>
          <w:color w:val="auto"/>
        </w:rPr>
      </w:pPr>
    </w:p>
    <w:p>
      <w:pPr>
        <w:ind w:left="120" w:right="160"/>
        <w:spacing w:after="0"/>
        <w:rPr>
          <w:sz w:val="20"/>
          <w:szCs w:val="20"/>
          <w:color w:val="auto"/>
        </w:rPr>
      </w:pPr>
      <w:r>
        <w:rPr>
          <w:rFonts w:ascii="Arial" w:cs="Arial" w:eastAsia="Arial" w:hAnsi="Arial"/>
          <w:sz w:val="18"/>
          <w:szCs w:val="18"/>
          <w:color w:val="auto"/>
        </w:rPr>
        <w:t>As disclosed in the sections below, the executive compensation program is predicated on sound principles that clearly link compensation with performance. A significant percentage of CEO compensation is at-risk, with nearly two-thirds of pay being long term. This coupled with robust stock ownership guidelines ensure that the interests of executives and long-term shareholders are aligned.</w:t>
      </w:r>
    </w:p>
    <w:p>
      <w:pPr>
        <w:spacing w:after="0" w:line="176"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continue to make efforts to design and implement a world-class compensation structure that rewards executives for actions that create sustainable returns and shareholder value. Our annual incentives are focused on operational excellence and initiatives that align with our long-term strategy; paying 50% of annual incentives earned in equity sharpen the alignment of interests of executives with long-term shareholders. Our long-term incentives—at least 50% of which are granted as performance-based equity—reward executives in tandem with the creation of long-term value. The annual grants coupled with robust stock ownership guidelines ensure that executives are invested in ensuring the long-term viability of shareholder value.</w:t>
      </w:r>
    </w:p>
    <w:p>
      <w:pPr>
        <w:spacing w:after="0" w:line="164"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We frequently engage with our shareholders to ensure that their feedback is reflected in our corporate governance approach, particularly with respect to executive compensation. Based in part on this feedback, the Compensation Committee has made considerable changes in our executive compensation program in recent years and, we believe, these changes contributed to 92.3% of voting shareholders approving our Say-on-Pay proposal at the 2020 Annual Meeting.</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COMPENSATION CHANGES RESULTING FROM COVID-19</w:t>
      </w:r>
    </w:p>
    <w:p>
      <w:pPr>
        <w:spacing w:after="0" w:line="1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The COVID-19 pandemic significantly disrupted our operations at each of our properties. Our operations in Las Vegas and in Boston were closed entirely for several months to help slow the spread of COVID-19 in the U.S. and to ensure the safety of our employees, guests, and communities. Our Macau Operations were closed for two weeks and, upon reopening, experienced considerable reductions in visitation due to COVID-19-related regional travel restrictions. As a reflection of our core value to “care about everyone and everything,” we continued to pay our U.S. employees full wages, including estimated tips and full benefits, during the entire period that the applicable property was closed.</w:t>
      </w:r>
    </w:p>
    <w:p>
      <w:pPr>
        <w:spacing w:after="0" w:line="178" w:lineRule="exact"/>
        <w:rPr>
          <w:sz w:val="20"/>
          <w:szCs w:val="20"/>
          <w:color w:val="auto"/>
        </w:rPr>
      </w:pPr>
    </w:p>
    <w:p>
      <w:pPr>
        <w:ind w:left="120" w:right="100"/>
        <w:spacing w:after="0" w:line="238" w:lineRule="auto"/>
        <w:rPr>
          <w:sz w:val="20"/>
          <w:szCs w:val="20"/>
          <w:color w:val="auto"/>
        </w:rPr>
      </w:pPr>
      <w:r>
        <w:rPr>
          <w:rFonts w:ascii="Arial" w:cs="Arial" w:eastAsia="Arial" w:hAnsi="Arial"/>
          <w:sz w:val="18"/>
          <w:szCs w:val="18"/>
          <w:color w:val="auto"/>
        </w:rPr>
        <w:t>In January 2020, before the onset of COVID-19, the Compensation Committee approved annual long-term incentive grants to management consistent with those in prior years. In late Q1 2020, in the early stages of the COVID-19 pandemic, the Board, Compensation Committee and Management shifted its focus to the Company’s overall response to the pandemic and the well-being of all of our employees. During this period, the Company reduced NEO cash salaries by amounts ranging from 35% to 100% through December 31, 2020, as a measure of</w:t>
      </w:r>
    </w:p>
    <w:p>
      <w:pPr>
        <w:spacing w:after="0" w:line="46" w:lineRule="exact"/>
        <w:rPr>
          <w:sz w:val="20"/>
          <w:szCs w:val="20"/>
          <w:color w:val="auto"/>
        </w:rPr>
      </w:pPr>
    </w:p>
    <w:p>
      <w:pPr>
        <w:ind w:left="800" w:hanging="684"/>
        <w:spacing w:after="0"/>
        <w:tabs>
          <w:tab w:leader="none" w:pos="800" w:val="left"/>
        </w:tabs>
        <w:numPr>
          <w:ilvl w:val="0"/>
          <w:numId w:val="53"/>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cash preservation and, in return, such NEO’s received stock compensation at a comparable amount. A reduction of NEO salaries of 20% was extended from January 1, 2021 to March 31, 2021 without a corresponding stock grant.</w:t>
      </w:r>
    </w:p>
    <w:p>
      <w:pPr>
        <w:spacing w:after="0" w:line="170" w:lineRule="exact"/>
        <w:rPr>
          <w:sz w:val="20"/>
          <w:szCs w:val="20"/>
          <w:color w:val="auto"/>
        </w:rPr>
      </w:pPr>
    </w:p>
    <w:p>
      <w:pPr>
        <w:ind w:left="120" w:right="280"/>
        <w:spacing w:after="0" w:line="237" w:lineRule="auto"/>
        <w:rPr>
          <w:sz w:val="20"/>
          <w:szCs w:val="20"/>
          <w:color w:val="auto"/>
        </w:rPr>
      </w:pPr>
      <w:r>
        <w:rPr>
          <w:rFonts w:ascii="Arial" w:cs="Arial" w:eastAsia="Arial" w:hAnsi="Arial"/>
          <w:sz w:val="18"/>
          <w:szCs w:val="18"/>
          <w:color w:val="auto"/>
        </w:rPr>
        <w:t>As our U.S. properties reopened in Q2 2020 and business operations became modestly predictable, the Compensation Committee addressed 2020 short-term incentives by setting rigorous goals for the second half of the year into considerable market uncertainty and set the target payout for such awards at 40% of historic targets. During Q3, as it became evident that the effects of COVID-19 would be protracted, the Compensation Committee approved a retention stock grant for over 250 U.S. employees to ensure continuity of management through late 2021. A similar grant was provided to over 150 employees in Macau during Q4 2020. The table below summarizes the changes and decisions made in direct response to the pandemic:</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44"/>
        </w:trPr>
        <w:tc>
          <w:tcPr>
            <w:tcW w:w="2260" w:type="dxa"/>
            <w:vAlign w:val="bottom"/>
            <w:tcBorders>
              <w:right w:val="single" w:sz="8" w:color="A8BCBF"/>
            </w:tcBorders>
          </w:tcPr>
          <w:p>
            <w:pPr>
              <w:ind w:left="60"/>
              <w:spacing w:after="0"/>
              <w:rPr>
                <w:sz w:val="20"/>
                <w:szCs w:val="20"/>
                <w:color w:val="auto"/>
              </w:rPr>
            </w:pPr>
            <w:r>
              <w:rPr>
                <w:rFonts w:ascii="Arial" w:cs="Arial" w:eastAsia="Arial" w:hAnsi="Arial"/>
                <w:sz w:val="14"/>
                <w:szCs w:val="14"/>
                <w:b w:val="1"/>
                <w:bCs w:val="1"/>
                <w:color w:val="604F2B"/>
              </w:rPr>
              <w:t>PAY ELEMENT</w:t>
            </w:r>
          </w:p>
        </w:tc>
        <w:tc>
          <w:tcPr>
            <w:tcW w:w="200" w:type="dxa"/>
            <w:vAlign w:val="bottom"/>
          </w:tcPr>
          <w:p>
            <w:pPr>
              <w:spacing w:after="0"/>
              <w:rPr>
                <w:sz w:val="21"/>
                <w:szCs w:val="21"/>
                <w:color w:val="auto"/>
              </w:rPr>
            </w:pPr>
          </w:p>
        </w:tc>
        <w:tc>
          <w:tcPr>
            <w:tcW w:w="8560" w:type="dxa"/>
            <w:vAlign w:val="bottom"/>
          </w:tcPr>
          <w:p>
            <w:pPr>
              <w:ind w:left="3680"/>
              <w:spacing w:after="0"/>
              <w:rPr>
                <w:sz w:val="20"/>
                <w:szCs w:val="20"/>
                <w:color w:val="auto"/>
              </w:rPr>
            </w:pPr>
            <w:r>
              <w:rPr>
                <w:rFonts w:ascii="Arial" w:cs="Arial" w:eastAsia="Arial" w:hAnsi="Arial"/>
                <w:sz w:val="14"/>
                <w:szCs w:val="14"/>
                <w:b w:val="1"/>
                <w:bCs w:val="1"/>
                <w:color w:val="604F2B"/>
              </w:rPr>
              <w:t>DETAIL/IMPACT</w:t>
            </w:r>
          </w:p>
        </w:tc>
      </w:tr>
      <w:tr>
        <w:trPr>
          <w:trHeight w:val="53"/>
        </w:trPr>
        <w:tc>
          <w:tcPr>
            <w:tcW w:w="2260" w:type="dxa"/>
            <w:vAlign w:val="bottom"/>
            <w:tcBorders>
              <w:right w:val="single" w:sz="8" w:color="A8BCBF"/>
            </w:tcBorders>
          </w:tcPr>
          <w:p>
            <w:pPr>
              <w:spacing w:after="0"/>
              <w:rPr>
                <w:sz w:val="4"/>
                <w:szCs w:val="4"/>
                <w:color w:val="auto"/>
              </w:rPr>
            </w:pPr>
          </w:p>
        </w:tc>
        <w:tc>
          <w:tcPr>
            <w:tcW w:w="8760" w:type="dxa"/>
            <w:vAlign w:val="bottom"/>
            <w:gridSpan w:val="2"/>
          </w:tcPr>
          <w:p>
            <w:pPr>
              <w:spacing w:after="0"/>
              <w:rPr>
                <w:sz w:val="4"/>
                <w:szCs w:val="4"/>
                <w:color w:val="auto"/>
              </w:rPr>
            </w:pPr>
          </w:p>
        </w:tc>
      </w:tr>
      <w:tr>
        <w:trPr>
          <w:trHeight w:val="256"/>
        </w:trPr>
        <w:tc>
          <w:tcPr>
            <w:tcW w:w="2260" w:type="dxa"/>
            <w:vAlign w:val="bottom"/>
            <w:tcBorders>
              <w:right w:val="single" w:sz="8" w:color="A8BCBF"/>
            </w:tcBorders>
            <w:shd w:val="clear" w:color="auto" w:fill="EAEAE5"/>
          </w:tcPr>
          <w:p>
            <w:pPr>
              <w:ind w:left="60"/>
              <w:spacing w:after="0"/>
              <w:rPr>
                <w:sz w:val="20"/>
                <w:szCs w:val="20"/>
                <w:color w:val="auto"/>
              </w:rPr>
            </w:pPr>
            <w:r>
              <w:rPr>
                <w:rFonts w:ascii="Arial" w:cs="Arial" w:eastAsia="Arial" w:hAnsi="Arial"/>
                <w:sz w:val="18"/>
                <w:szCs w:val="18"/>
                <w:color w:val="auto"/>
              </w:rPr>
              <w:t>Base Salary</w:t>
            </w:r>
          </w:p>
        </w:tc>
        <w:tc>
          <w:tcPr>
            <w:tcW w:w="8760" w:type="dxa"/>
            <w:vAlign w:val="bottom"/>
            <w:gridSpan w:val="2"/>
            <w:shd w:val="clear" w:color="auto" w:fill="EAEAE5"/>
          </w:tcPr>
          <w:p>
            <w:pPr>
              <w:ind w:left="100"/>
              <w:spacing w:after="0"/>
              <w:rPr>
                <w:sz w:val="20"/>
                <w:szCs w:val="20"/>
                <w:color w:val="auto"/>
              </w:rPr>
            </w:pPr>
            <w:r>
              <w:rPr>
                <w:rFonts w:ascii="Arial" w:cs="Arial" w:eastAsia="Arial" w:hAnsi="Arial"/>
                <w:sz w:val="18"/>
                <w:szCs w:val="18"/>
                <w:color w:val="auto"/>
              </w:rPr>
              <w:t>In March 2020, to preserve the Company’s cash position, each NEO voluntarily elected to receive all or a</w:t>
            </w:r>
          </w:p>
        </w:tc>
      </w:tr>
      <w:tr>
        <w:trPr>
          <w:trHeight w:val="203"/>
        </w:trPr>
        <w:tc>
          <w:tcPr>
            <w:tcW w:w="2260" w:type="dxa"/>
            <w:vAlign w:val="bottom"/>
            <w:tcBorders>
              <w:right w:val="single" w:sz="8" w:color="A8BCBF"/>
            </w:tcBorders>
            <w:shd w:val="clear" w:color="auto" w:fill="EAEAE5"/>
          </w:tcPr>
          <w:p>
            <w:pPr>
              <w:spacing w:after="0"/>
              <w:rPr>
                <w:sz w:val="17"/>
                <w:szCs w:val="17"/>
                <w:color w:val="auto"/>
              </w:rPr>
            </w:pPr>
          </w:p>
        </w:tc>
        <w:tc>
          <w:tcPr>
            <w:tcW w:w="8760" w:type="dxa"/>
            <w:vAlign w:val="bottom"/>
            <w:gridSpan w:val="2"/>
            <w:shd w:val="clear" w:color="auto" w:fill="EAEAE5"/>
          </w:tcPr>
          <w:p>
            <w:pPr>
              <w:ind w:left="100"/>
              <w:spacing w:after="0" w:line="202" w:lineRule="exact"/>
              <w:rPr>
                <w:sz w:val="20"/>
                <w:szCs w:val="20"/>
                <w:color w:val="auto"/>
              </w:rPr>
            </w:pPr>
            <w:r>
              <w:rPr>
                <w:rFonts w:ascii="Arial" w:cs="Arial" w:eastAsia="Arial" w:hAnsi="Arial"/>
                <w:sz w:val="18"/>
                <w:szCs w:val="18"/>
                <w:color w:val="auto"/>
              </w:rPr>
              <w:t>significant portion of remaining base salary compensation for the remainder of the calendar year in the form</w:t>
            </w:r>
          </w:p>
        </w:tc>
      </w:tr>
      <w:tr>
        <w:trPr>
          <w:trHeight w:val="203"/>
        </w:trPr>
        <w:tc>
          <w:tcPr>
            <w:tcW w:w="2260" w:type="dxa"/>
            <w:vAlign w:val="bottom"/>
            <w:tcBorders>
              <w:right w:val="single" w:sz="8" w:color="A8BCBF"/>
            </w:tcBorders>
            <w:shd w:val="clear" w:color="auto" w:fill="EAEAE5"/>
          </w:tcPr>
          <w:p>
            <w:pPr>
              <w:spacing w:after="0"/>
              <w:rPr>
                <w:sz w:val="17"/>
                <w:szCs w:val="17"/>
                <w:color w:val="auto"/>
              </w:rPr>
            </w:pPr>
          </w:p>
        </w:tc>
        <w:tc>
          <w:tcPr>
            <w:tcW w:w="8760" w:type="dxa"/>
            <w:vAlign w:val="bottom"/>
            <w:gridSpan w:val="2"/>
            <w:shd w:val="clear" w:color="auto" w:fill="EAEAE5"/>
          </w:tcPr>
          <w:p>
            <w:pPr>
              <w:ind w:left="100"/>
              <w:spacing w:after="0" w:line="202" w:lineRule="exact"/>
              <w:rPr>
                <w:sz w:val="20"/>
                <w:szCs w:val="20"/>
                <w:color w:val="auto"/>
              </w:rPr>
            </w:pPr>
            <w:r>
              <w:rPr>
                <w:rFonts w:ascii="Arial" w:cs="Arial" w:eastAsia="Arial" w:hAnsi="Arial"/>
                <w:sz w:val="18"/>
                <w:szCs w:val="18"/>
                <w:color w:val="auto"/>
              </w:rPr>
              <w:t>of a restricted stock award (in lieu of cash) that vested on December 31, 2020, and each Director voluntarily</w:t>
            </w:r>
          </w:p>
        </w:tc>
      </w:tr>
      <w:tr>
        <w:trPr>
          <w:trHeight w:val="237"/>
        </w:trPr>
        <w:tc>
          <w:tcPr>
            <w:tcW w:w="2260" w:type="dxa"/>
            <w:vAlign w:val="bottom"/>
            <w:tcBorders>
              <w:bottom w:val="single" w:sz="8" w:color="EAEAE5"/>
              <w:right w:val="single" w:sz="8" w:color="A8BCBF"/>
            </w:tcBorders>
            <w:shd w:val="clear" w:color="auto" w:fill="EAEAE5"/>
          </w:tcPr>
          <w:p>
            <w:pPr>
              <w:spacing w:after="0"/>
              <w:rPr>
                <w:sz w:val="20"/>
                <w:szCs w:val="20"/>
                <w:color w:val="auto"/>
              </w:rPr>
            </w:pPr>
          </w:p>
        </w:tc>
        <w:tc>
          <w:tcPr>
            <w:tcW w:w="8760" w:type="dxa"/>
            <w:vAlign w:val="bottom"/>
            <w:tcBorders>
              <w:bottom w:val="single" w:sz="8" w:color="EAEAE5"/>
            </w:tcBorders>
            <w:gridSpan w:val="2"/>
            <w:shd w:val="clear" w:color="auto" w:fill="EAEAE5"/>
          </w:tcPr>
          <w:p>
            <w:pPr>
              <w:ind w:left="100"/>
              <w:spacing w:after="0"/>
              <w:rPr>
                <w:sz w:val="20"/>
                <w:szCs w:val="20"/>
                <w:color w:val="auto"/>
              </w:rPr>
            </w:pPr>
            <w:r>
              <w:rPr>
                <w:rFonts w:ascii="Arial" w:cs="Arial" w:eastAsia="Arial" w:hAnsi="Arial"/>
                <w:sz w:val="18"/>
                <w:szCs w:val="18"/>
                <w:color w:val="auto"/>
              </w:rPr>
              <w:t>received stock in lieu of cash retainer</w:t>
            </w:r>
          </w:p>
        </w:tc>
      </w:tr>
      <w:tr>
        <w:trPr>
          <w:trHeight w:val="256"/>
        </w:trPr>
        <w:tc>
          <w:tcPr>
            <w:tcW w:w="2260" w:type="dxa"/>
            <w:vAlign w:val="bottom"/>
            <w:tcBorders>
              <w:right w:val="single" w:sz="8" w:color="A8BCBF"/>
            </w:tcBorders>
          </w:tcPr>
          <w:p>
            <w:pPr>
              <w:ind w:left="60"/>
              <w:spacing w:after="0"/>
              <w:rPr>
                <w:sz w:val="20"/>
                <w:szCs w:val="20"/>
                <w:color w:val="auto"/>
              </w:rPr>
            </w:pPr>
            <w:r>
              <w:rPr>
                <w:rFonts w:ascii="Arial" w:cs="Arial" w:eastAsia="Arial" w:hAnsi="Arial"/>
                <w:sz w:val="18"/>
                <w:szCs w:val="18"/>
                <w:color w:val="auto"/>
              </w:rPr>
              <w:t>Annual Incentives</w:t>
            </w:r>
          </w:p>
        </w:tc>
        <w:tc>
          <w:tcPr>
            <w:tcW w:w="8760" w:type="dxa"/>
            <w:vAlign w:val="bottom"/>
            <w:gridSpan w:val="2"/>
          </w:tcPr>
          <w:p>
            <w:pPr>
              <w:ind w:left="100"/>
              <w:spacing w:after="0"/>
              <w:rPr>
                <w:sz w:val="20"/>
                <w:szCs w:val="20"/>
                <w:color w:val="auto"/>
              </w:rPr>
            </w:pPr>
            <w:r>
              <w:rPr>
                <w:rFonts w:ascii="Arial" w:cs="Arial" w:eastAsia="Arial" w:hAnsi="Arial"/>
                <w:sz w:val="18"/>
                <w:szCs w:val="18"/>
                <w:color w:val="auto"/>
              </w:rPr>
              <w:t>The Compensation Committee</w:t>
            </w:r>
          </w:p>
        </w:tc>
      </w:tr>
      <w:tr>
        <w:trPr>
          <w:trHeight w:val="203"/>
        </w:trPr>
        <w:tc>
          <w:tcPr>
            <w:tcW w:w="2260" w:type="dxa"/>
            <w:vAlign w:val="bottom"/>
            <w:tcBorders>
              <w:right w:val="single" w:sz="8" w:color="A8BCBF"/>
            </w:tcBorders>
          </w:tcPr>
          <w:p>
            <w:pPr>
              <w:spacing w:after="0"/>
              <w:rPr>
                <w:sz w:val="17"/>
                <w:szCs w:val="17"/>
                <w:color w:val="auto"/>
              </w:rPr>
            </w:pP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560" w:type="dxa"/>
            <w:vAlign w:val="bottom"/>
          </w:tcPr>
          <w:p>
            <w:pPr>
              <w:ind w:left="60"/>
              <w:spacing w:after="0" w:line="202" w:lineRule="exact"/>
              <w:rPr>
                <w:sz w:val="20"/>
                <w:szCs w:val="20"/>
                <w:color w:val="auto"/>
              </w:rPr>
            </w:pPr>
            <w:r>
              <w:rPr>
                <w:rFonts w:ascii="Arial" w:cs="Arial" w:eastAsia="Arial" w:hAnsi="Arial"/>
                <w:sz w:val="18"/>
                <w:szCs w:val="18"/>
                <w:color w:val="auto"/>
              </w:rPr>
              <w:t>Set rigorous goals for the second part of 2020 once our U.S. properties reopened</w:t>
            </w:r>
          </w:p>
        </w:tc>
      </w:tr>
      <w:tr>
        <w:trPr>
          <w:trHeight w:val="203"/>
        </w:trPr>
        <w:tc>
          <w:tcPr>
            <w:tcW w:w="2260" w:type="dxa"/>
            <w:vAlign w:val="bottom"/>
            <w:tcBorders>
              <w:right w:val="single" w:sz="8" w:color="A8BCBF"/>
            </w:tcBorders>
          </w:tcPr>
          <w:p>
            <w:pPr>
              <w:spacing w:after="0"/>
              <w:rPr>
                <w:sz w:val="17"/>
                <w:szCs w:val="17"/>
                <w:color w:val="auto"/>
              </w:rPr>
            </w:pPr>
          </w:p>
        </w:tc>
        <w:tc>
          <w:tcPr>
            <w:tcW w:w="200" w:type="dxa"/>
            <w:vAlign w:val="bottom"/>
          </w:tcPr>
          <w:p>
            <w:pPr>
              <w:ind w:left="100"/>
              <w:spacing w:after="0" w:line="202" w:lineRule="exact"/>
              <w:rPr>
                <w:sz w:val="20"/>
                <w:szCs w:val="20"/>
                <w:color w:val="auto"/>
              </w:rPr>
            </w:pPr>
            <w:r>
              <w:rPr>
                <w:rFonts w:ascii="Arial" w:cs="Arial" w:eastAsia="Arial" w:hAnsi="Arial"/>
                <w:sz w:val="18"/>
                <w:szCs w:val="18"/>
                <w:color w:val="auto"/>
              </w:rPr>
              <w:t>-</w:t>
            </w:r>
          </w:p>
        </w:tc>
        <w:tc>
          <w:tcPr>
            <w:tcW w:w="8560" w:type="dxa"/>
            <w:vAlign w:val="bottom"/>
          </w:tcPr>
          <w:p>
            <w:pPr>
              <w:ind w:left="60"/>
              <w:spacing w:after="0" w:line="202" w:lineRule="exact"/>
              <w:rPr>
                <w:sz w:val="20"/>
                <w:szCs w:val="20"/>
                <w:color w:val="auto"/>
              </w:rPr>
            </w:pPr>
            <w:r>
              <w:rPr>
                <w:rFonts w:ascii="Arial" w:cs="Arial" w:eastAsia="Arial" w:hAnsi="Arial"/>
                <w:sz w:val="18"/>
                <w:szCs w:val="18"/>
                <w:color w:val="auto"/>
              </w:rPr>
              <w:t>Capped annual incentive at 40% of contractual targets</w:t>
            </w:r>
          </w:p>
        </w:tc>
      </w:tr>
      <w:tr>
        <w:trPr>
          <w:trHeight w:val="217"/>
        </w:trPr>
        <w:tc>
          <w:tcPr>
            <w:tcW w:w="2260" w:type="dxa"/>
            <w:vAlign w:val="bottom"/>
            <w:tcBorders>
              <w:right w:val="single" w:sz="8" w:color="A8BCBF"/>
            </w:tcBorders>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560" w:type="dxa"/>
            <w:vAlign w:val="bottom"/>
          </w:tcPr>
          <w:p>
            <w:pPr>
              <w:ind w:left="60"/>
              <w:spacing w:after="0"/>
              <w:rPr>
                <w:sz w:val="20"/>
                <w:szCs w:val="20"/>
                <w:color w:val="auto"/>
              </w:rPr>
            </w:pPr>
            <w:r>
              <w:rPr>
                <w:rFonts w:ascii="Arial" w:cs="Arial" w:eastAsia="Arial" w:hAnsi="Arial"/>
                <w:sz w:val="18"/>
                <w:szCs w:val="18"/>
                <w:color w:val="auto"/>
              </w:rPr>
              <w:t>Evaluated performance against these preset goals to determine payouts</w:t>
            </w:r>
          </w:p>
        </w:tc>
      </w:tr>
      <w:tr>
        <w:trPr>
          <w:trHeight w:val="54"/>
        </w:trPr>
        <w:tc>
          <w:tcPr>
            <w:tcW w:w="2260" w:type="dxa"/>
            <w:vAlign w:val="bottom"/>
            <w:tcBorders>
              <w:right w:val="single" w:sz="8" w:color="A8BCBF"/>
            </w:tcBorders>
          </w:tcPr>
          <w:p>
            <w:pPr>
              <w:spacing w:after="0"/>
              <w:rPr>
                <w:sz w:val="4"/>
                <w:szCs w:val="4"/>
                <w:color w:val="auto"/>
              </w:rPr>
            </w:pPr>
          </w:p>
        </w:tc>
        <w:tc>
          <w:tcPr>
            <w:tcW w:w="8760" w:type="dxa"/>
            <w:vAlign w:val="bottom"/>
            <w:gridSpan w:val="2"/>
          </w:tcPr>
          <w:p>
            <w:pPr>
              <w:spacing w:after="0"/>
              <w:rPr>
                <w:sz w:val="4"/>
                <w:szCs w:val="4"/>
                <w:color w:val="auto"/>
              </w:rPr>
            </w:pPr>
          </w:p>
        </w:tc>
      </w:tr>
      <w:tr>
        <w:trPr>
          <w:trHeight w:val="256"/>
        </w:trPr>
        <w:tc>
          <w:tcPr>
            <w:tcW w:w="2260" w:type="dxa"/>
            <w:vAlign w:val="bottom"/>
            <w:tcBorders>
              <w:right w:val="single" w:sz="8" w:color="A8BCBF"/>
            </w:tcBorders>
            <w:shd w:val="clear" w:color="auto" w:fill="EAEAE5"/>
          </w:tcPr>
          <w:p>
            <w:pPr>
              <w:ind w:left="60"/>
              <w:spacing w:after="0"/>
              <w:rPr>
                <w:sz w:val="20"/>
                <w:szCs w:val="20"/>
                <w:color w:val="auto"/>
              </w:rPr>
            </w:pPr>
            <w:r>
              <w:rPr>
                <w:rFonts w:ascii="Arial" w:cs="Arial" w:eastAsia="Arial" w:hAnsi="Arial"/>
                <w:sz w:val="18"/>
                <w:szCs w:val="18"/>
                <w:color w:val="auto"/>
              </w:rPr>
              <w:t>Long-term Incentives</w:t>
            </w:r>
          </w:p>
        </w:tc>
        <w:tc>
          <w:tcPr>
            <w:tcW w:w="8760" w:type="dxa"/>
            <w:vAlign w:val="bottom"/>
            <w:gridSpan w:val="2"/>
            <w:shd w:val="clear" w:color="auto" w:fill="EAEAE5"/>
          </w:tcPr>
          <w:p>
            <w:pPr>
              <w:ind w:left="100"/>
              <w:spacing w:after="0"/>
              <w:rPr>
                <w:sz w:val="20"/>
                <w:szCs w:val="20"/>
                <w:color w:val="auto"/>
              </w:rPr>
            </w:pPr>
            <w:r>
              <w:rPr>
                <w:rFonts w:ascii="Arial" w:cs="Arial" w:eastAsia="Arial" w:hAnsi="Arial"/>
                <w:sz w:val="18"/>
                <w:szCs w:val="18"/>
                <w:color w:val="auto"/>
              </w:rPr>
              <w:t>The Compensation Committee</w:t>
            </w:r>
          </w:p>
        </w:tc>
      </w:tr>
      <w:tr>
        <w:trPr>
          <w:trHeight w:val="203"/>
        </w:trPr>
        <w:tc>
          <w:tcPr>
            <w:tcW w:w="2260" w:type="dxa"/>
            <w:vAlign w:val="bottom"/>
            <w:tcBorders>
              <w:right w:val="single" w:sz="8" w:color="A8BCBF"/>
            </w:tcBorders>
            <w:shd w:val="clear" w:color="auto" w:fill="EAEAE5"/>
          </w:tcPr>
          <w:p>
            <w:pPr>
              <w:spacing w:after="0"/>
              <w:rPr>
                <w:sz w:val="17"/>
                <w:szCs w:val="17"/>
                <w:color w:val="auto"/>
              </w:rPr>
            </w:pPr>
          </w:p>
        </w:tc>
        <w:tc>
          <w:tcPr>
            <w:tcW w:w="200" w:type="dxa"/>
            <w:vAlign w:val="bottom"/>
            <w:shd w:val="clear" w:color="auto" w:fill="EAEAE5"/>
          </w:tcPr>
          <w:p>
            <w:pPr>
              <w:ind w:left="100"/>
              <w:spacing w:after="0" w:line="202" w:lineRule="exact"/>
              <w:rPr>
                <w:sz w:val="20"/>
                <w:szCs w:val="20"/>
                <w:color w:val="auto"/>
              </w:rPr>
            </w:pPr>
            <w:r>
              <w:rPr>
                <w:rFonts w:ascii="Arial" w:cs="Arial" w:eastAsia="Arial" w:hAnsi="Arial"/>
                <w:sz w:val="18"/>
                <w:szCs w:val="18"/>
                <w:color w:val="auto"/>
              </w:rPr>
              <w:t>-</w:t>
            </w:r>
          </w:p>
        </w:tc>
        <w:tc>
          <w:tcPr>
            <w:tcW w:w="8560" w:type="dxa"/>
            <w:vAlign w:val="bottom"/>
            <w:shd w:val="clear" w:color="auto" w:fill="EAEAE5"/>
          </w:tcPr>
          <w:p>
            <w:pPr>
              <w:ind w:left="60"/>
              <w:spacing w:after="0" w:line="202" w:lineRule="exact"/>
              <w:rPr>
                <w:sz w:val="20"/>
                <w:szCs w:val="20"/>
                <w:color w:val="auto"/>
              </w:rPr>
            </w:pPr>
            <w:r>
              <w:rPr>
                <w:rFonts w:ascii="Arial" w:cs="Arial" w:eastAsia="Arial" w:hAnsi="Arial"/>
                <w:sz w:val="18"/>
                <w:szCs w:val="18"/>
                <w:color w:val="auto"/>
              </w:rPr>
              <w:t>Maintained commitment to having at least 50% of long-term incentive grants being performance based</w:t>
            </w:r>
          </w:p>
        </w:tc>
      </w:tr>
      <w:tr>
        <w:trPr>
          <w:trHeight w:val="203"/>
        </w:trPr>
        <w:tc>
          <w:tcPr>
            <w:tcW w:w="2260" w:type="dxa"/>
            <w:vAlign w:val="bottom"/>
            <w:tcBorders>
              <w:right w:val="single" w:sz="8" w:color="A8BCBF"/>
            </w:tcBorders>
            <w:shd w:val="clear" w:color="auto" w:fill="EAEAE5"/>
          </w:tcPr>
          <w:p>
            <w:pPr>
              <w:spacing w:after="0"/>
              <w:rPr>
                <w:sz w:val="17"/>
                <w:szCs w:val="17"/>
                <w:color w:val="auto"/>
              </w:rPr>
            </w:pPr>
          </w:p>
        </w:tc>
        <w:tc>
          <w:tcPr>
            <w:tcW w:w="200" w:type="dxa"/>
            <w:vAlign w:val="bottom"/>
            <w:shd w:val="clear" w:color="auto" w:fill="EAEAE5"/>
          </w:tcPr>
          <w:p>
            <w:pPr>
              <w:ind w:left="100"/>
              <w:spacing w:after="0" w:line="202" w:lineRule="exact"/>
              <w:rPr>
                <w:sz w:val="20"/>
                <w:szCs w:val="20"/>
                <w:color w:val="auto"/>
              </w:rPr>
            </w:pPr>
            <w:r>
              <w:rPr>
                <w:rFonts w:ascii="Arial" w:cs="Arial" w:eastAsia="Arial" w:hAnsi="Arial"/>
                <w:sz w:val="18"/>
                <w:szCs w:val="18"/>
                <w:color w:val="auto"/>
              </w:rPr>
              <w:t>-</w:t>
            </w:r>
          </w:p>
        </w:tc>
        <w:tc>
          <w:tcPr>
            <w:tcW w:w="8560" w:type="dxa"/>
            <w:vAlign w:val="bottom"/>
            <w:shd w:val="clear" w:color="auto" w:fill="EAEAE5"/>
          </w:tcPr>
          <w:p>
            <w:pPr>
              <w:ind w:left="60"/>
              <w:spacing w:after="0" w:line="202" w:lineRule="exact"/>
              <w:rPr>
                <w:sz w:val="20"/>
                <w:szCs w:val="20"/>
                <w:color w:val="auto"/>
              </w:rPr>
            </w:pPr>
            <w:r>
              <w:rPr>
                <w:rFonts w:ascii="Arial" w:cs="Arial" w:eastAsia="Arial" w:hAnsi="Arial"/>
                <w:sz w:val="18"/>
                <w:szCs w:val="18"/>
                <w:color w:val="auto"/>
              </w:rPr>
              <w:t>Granted broad-based retention stock grants to over 400 employees, including the NEOs, to ensure the</w:t>
            </w:r>
          </w:p>
        </w:tc>
      </w:tr>
      <w:tr>
        <w:trPr>
          <w:trHeight w:val="217"/>
        </w:trPr>
        <w:tc>
          <w:tcPr>
            <w:tcW w:w="2260" w:type="dxa"/>
            <w:vAlign w:val="bottom"/>
            <w:tcBorders>
              <w:right w:val="single" w:sz="8" w:color="A8BCBF"/>
            </w:tcBorders>
            <w:shd w:val="clear" w:color="auto" w:fill="EAEAE5"/>
          </w:tcPr>
          <w:p>
            <w:pPr>
              <w:spacing w:after="0"/>
              <w:rPr>
                <w:sz w:val="18"/>
                <w:szCs w:val="18"/>
                <w:color w:val="auto"/>
              </w:rPr>
            </w:pPr>
          </w:p>
        </w:tc>
        <w:tc>
          <w:tcPr>
            <w:tcW w:w="200" w:type="dxa"/>
            <w:vAlign w:val="bottom"/>
            <w:shd w:val="clear" w:color="auto" w:fill="EAEAE5"/>
          </w:tcPr>
          <w:p>
            <w:pPr>
              <w:spacing w:after="0"/>
              <w:rPr>
                <w:sz w:val="18"/>
                <w:szCs w:val="18"/>
                <w:color w:val="auto"/>
              </w:rPr>
            </w:pPr>
          </w:p>
        </w:tc>
        <w:tc>
          <w:tcPr>
            <w:tcW w:w="8560" w:type="dxa"/>
            <w:vAlign w:val="bottom"/>
            <w:shd w:val="clear" w:color="auto" w:fill="EAEAE5"/>
          </w:tcPr>
          <w:p>
            <w:pPr>
              <w:ind w:left="80"/>
              <w:spacing w:after="0"/>
              <w:rPr>
                <w:sz w:val="20"/>
                <w:szCs w:val="20"/>
                <w:color w:val="auto"/>
              </w:rPr>
            </w:pPr>
            <w:r>
              <w:rPr>
                <w:rFonts w:ascii="Arial" w:cs="Arial" w:eastAsia="Arial" w:hAnsi="Arial"/>
                <w:sz w:val="18"/>
                <w:szCs w:val="18"/>
                <w:color w:val="auto"/>
              </w:rPr>
              <w:t>stability of management through the pandemic</w:t>
            </w:r>
          </w:p>
        </w:tc>
      </w:tr>
      <w:tr>
        <w:trPr>
          <w:trHeight w:val="54"/>
        </w:trPr>
        <w:tc>
          <w:tcPr>
            <w:tcW w:w="2260" w:type="dxa"/>
            <w:vAlign w:val="bottom"/>
            <w:tcBorders>
              <w:right w:val="single" w:sz="8" w:color="A8BCBF"/>
            </w:tcBorders>
            <w:shd w:val="clear" w:color="auto" w:fill="EAEAE5"/>
          </w:tcPr>
          <w:p>
            <w:pPr>
              <w:spacing w:after="0"/>
              <w:rPr>
                <w:sz w:val="4"/>
                <w:szCs w:val="4"/>
                <w:color w:val="auto"/>
              </w:rPr>
            </w:pPr>
          </w:p>
        </w:tc>
        <w:tc>
          <w:tcPr>
            <w:tcW w:w="200" w:type="dxa"/>
            <w:vAlign w:val="bottom"/>
            <w:shd w:val="clear" w:color="auto" w:fill="EAEAE5"/>
          </w:tcPr>
          <w:p>
            <w:pPr>
              <w:spacing w:after="0"/>
              <w:rPr>
                <w:sz w:val="4"/>
                <w:szCs w:val="4"/>
                <w:color w:val="auto"/>
              </w:rPr>
            </w:pPr>
          </w:p>
        </w:tc>
        <w:tc>
          <w:tcPr>
            <w:tcW w:w="8560" w:type="dxa"/>
            <w:vAlign w:val="bottom"/>
            <w:shd w:val="clear" w:color="auto" w:fill="EAEAE5"/>
          </w:tcPr>
          <w:p>
            <w:pPr>
              <w:spacing w:after="0"/>
              <w:rPr>
                <w:sz w:val="4"/>
                <w:szCs w:val="4"/>
                <w:color w:val="auto"/>
              </w:rPr>
            </w:pPr>
          </w:p>
        </w:tc>
      </w:tr>
    </w:tbl>
    <w:p>
      <w:pPr>
        <w:spacing w:after="0" w:line="31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CEO EMPLOYMENT CONTRACT EXTENSION AND RELATED PERFORMANCE SHARE GRANT</w:t>
      </w:r>
    </w:p>
    <w:p>
      <w:pPr>
        <w:spacing w:after="0" w:line="1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As disclosed in the 2020 Proxy Statement, CEO Matt Maddox and the Company agreed to extend his employment contract through Dec. 16, 2022. In connection with this extension, the amended contract provided for a restricted stock grant that contemplated the vesting of a total of 45,000 shares at threshold performance, 100,000 shares at target performance, and 180,000 shares at maximum performance, based entirely on the attainment of numerous strategic performance conditions, including, among others, the extension of the Company’s Macau gaming concession, attaining certain performance metrics at Encore Boston Harbor, attaining Great Places to Work certification at Wynn Las Vegas, and advancement of certain of the Company’s business development efforts and conditioned generally on his continued employment.</w:t>
      </w:r>
    </w:p>
    <w:p>
      <w:pPr>
        <w:spacing w:after="0" w:line="162" w:lineRule="exact"/>
        <w:rPr>
          <w:sz w:val="20"/>
          <w:szCs w:val="20"/>
          <w:color w:val="auto"/>
        </w:rPr>
      </w:pPr>
    </w:p>
    <w:p>
      <w:pPr>
        <w:ind w:left="120" w:right="280"/>
        <w:spacing w:after="0" w:line="234" w:lineRule="auto"/>
        <w:rPr>
          <w:sz w:val="20"/>
          <w:szCs w:val="20"/>
          <w:color w:val="auto"/>
        </w:rPr>
      </w:pPr>
      <w:r>
        <w:rPr>
          <w:rFonts w:ascii="Arial" w:cs="Arial" w:eastAsia="Arial" w:hAnsi="Arial"/>
          <w:sz w:val="18"/>
          <w:szCs w:val="18"/>
          <w:color w:val="auto"/>
        </w:rPr>
        <w:t>In August 2020, in order to provide equity incentives broadly throughout the Company as part of the aforementioned retention grant to over 400 employees in the U.S. and Macau, Mr. Maddox requested, and the Compensation Committee agreed to cancel the 140,000 of the maximum of 180,000 of such performance shares underlying Mr. Maddox’s restricted stock grant described above, valued at</w:t>
      </w:r>
    </w:p>
    <w:p>
      <w:pPr>
        <w:spacing w:after="0" w:line="2" w:lineRule="exact"/>
        <w:rPr>
          <w:sz w:val="20"/>
          <w:szCs w:val="20"/>
          <w:color w:val="auto"/>
        </w:rPr>
      </w:pPr>
    </w:p>
    <w:p>
      <w:pPr>
        <w:ind w:left="120" w:right="140"/>
        <w:spacing w:after="0" w:line="238" w:lineRule="auto"/>
        <w:rPr>
          <w:sz w:val="20"/>
          <w:szCs w:val="20"/>
          <w:color w:val="auto"/>
        </w:rPr>
      </w:pPr>
      <w:r>
        <w:rPr>
          <w:rFonts w:ascii="Arial" w:cs="Arial" w:eastAsia="Arial" w:hAnsi="Arial"/>
          <w:sz w:val="18"/>
          <w:szCs w:val="18"/>
          <w:color w:val="auto"/>
        </w:rPr>
        <w:t>$6.4 million. As a result, only 40,000 shares of the original 180,000 performance shares subject to such restricted stock grant in February 2020 remain outstanding as of December 31, 2020 and subject to the original performance conditions described above. As such, the effective value of such performance-based restricted stock grant following such forfeiture was valued at $4.4 million, compared with the original grant value of $10.8 million.</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37</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604F2B"/>
        </w:rPr>
        <w:t>The following chart depicts the impact of the forfeiture mentioned above on the CEO’s compensation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134620</wp:posOffset>
            </wp:positionV>
            <wp:extent cx="4946015" cy="28886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46015" cy="288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27"/>
          <w:szCs w:val="27"/>
          <w:color w:val="604F2B"/>
        </w:rPr>
        <w:t>Executive compensation components</w:t>
      </w: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660" w:type="dxa"/>
            <w:vAlign w:val="bottom"/>
            <w:tcBorders>
              <w:right w:val="single" w:sz="8" w:color="A8BCBF"/>
            </w:tcBorders>
          </w:tcPr>
          <w:p>
            <w:pPr>
              <w:spacing w:after="0"/>
              <w:rPr>
                <w:sz w:val="14"/>
                <w:szCs w:val="14"/>
                <w:color w:val="auto"/>
              </w:rPr>
            </w:pPr>
          </w:p>
        </w:tc>
        <w:tc>
          <w:tcPr>
            <w:tcW w:w="1920" w:type="dxa"/>
            <w:vAlign w:val="bottom"/>
            <w:tcBorders>
              <w:right w:val="single" w:sz="8" w:color="A8BCBF"/>
            </w:tcBorders>
          </w:tcPr>
          <w:p>
            <w:pPr>
              <w:jc w:val="center"/>
              <w:spacing w:after="0"/>
              <w:rPr>
                <w:sz w:val="20"/>
                <w:szCs w:val="20"/>
                <w:color w:val="auto"/>
              </w:rPr>
            </w:pPr>
            <w:r>
              <w:rPr>
                <w:rFonts w:ascii="Arial" w:cs="Arial" w:eastAsia="Arial" w:hAnsi="Arial"/>
                <w:sz w:val="13"/>
                <w:szCs w:val="13"/>
                <w:b w:val="1"/>
                <w:bCs w:val="1"/>
                <w:color w:val="604F2B"/>
                <w:w w:val="94"/>
              </w:rPr>
              <w:t>% OF TOTAL</w:t>
            </w:r>
          </w:p>
        </w:tc>
        <w:tc>
          <w:tcPr>
            <w:tcW w:w="680" w:type="dxa"/>
            <w:vAlign w:val="bottom"/>
            <w:tcBorders>
              <w:right w:val="single" w:sz="8" w:color="A8BCBF"/>
            </w:tcBorders>
            <w:vMerge w:val="restart"/>
          </w:tcPr>
          <w:p>
            <w:pPr>
              <w:jc w:val="center"/>
              <w:spacing w:after="0"/>
              <w:rPr>
                <w:sz w:val="20"/>
                <w:szCs w:val="20"/>
                <w:color w:val="auto"/>
              </w:rPr>
            </w:pPr>
            <w:r>
              <w:rPr>
                <w:rFonts w:ascii="Arial" w:cs="Arial" w:eastAsia="Arial" w:hAnsi="Arial"/>
                <w:sz w:val="13"/>
                <w:szCs w:val="13"/>
                <w:b w:val="1"/>
                <w:bCs w:val="1"/>
                <w:color w:val="604F2B"/>
                <w:w w:val="92"/>
              </w:rPr>
              <w:t>AT-</w:t>
            </w:r>
          </w:p>
        </w:tc>
        <w:tc>
          <w:tcPr>
            <w:tcW w:w="3380" w:type="dxa"/>
            <w:vAlign w:val="bottom"/>
            <w:tcBorders>
              <w:right w:val="single" w:sz="8" w:color="A8BCBF"/>
            </w:tcBorders>
          </w:tcPr>
          <w:p>
            <w:pPr>
              <w:spacing w:after="0"/>
              <w:rPr>
                <w:sz w:val="14"/>
                <w:szCs w:val="14"/>
                <w:color w:val="auto"/>
              </w:rPr>
            </w:pP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60" w:type="dxa"/>
            <w:vAlign w:val="bottom"/>
            <w:tcBorders>
              <w:right w:val="single" w:sz="8" w:color="A8BCBF"/>
            </w:tcBorders>
          </w:tcPr>
          <w:p>
            <w:pPr>
              <w:spacing w:after="0"/>
              <w:rPr>
                <w:sz w:val="11"/>
                <w:szCs w:val="11"/>
                <w:color w:val="auto"/>
              </w:rPr>
            </w:pPr>
          </w:p>
        </w:tc>
        <w:tc>
          <w:tcPr>
            <w:tcW w:w="1920" w:type="dxa"/>
            <w:vAlign w:val="bottom"/>
            <w:tcBorders>
              <w:right w:val="single" w:sz="8" w:color="A8BCBF"/>
            </w:tcBorders>
          </w:tcPr>
          <w:p>
            <w:pPr>
              <w:jc w:val="center"/>
              <w:spacing w:after="0" w:line="130" w:lineRule="exact"/>
              <w:rPr>
                <w:sz w:val="20"/>
                <w:szCs w:val="20"/>
                <w:color w:val="auto"/>
              </w:rPr>
            </w:pPr>
            <w:r>
              <w:rPr>
                <w:rFonts w:ascii="Arial" w:cs="Arial" w:eastAsia="Arial" w:hAnsi="Arial"/>
                <w:sz w:val="13"/>
                <w:szCs w:val="13"/>
                <w:b w:val="1"/>
                <w:bCs w:val="1"/>
                <w:color w:val="604F2B"/>
                <w:w w:val="94"/>
              </w:rPr>
              <w:t>ANNUAL</w:t>
            </w:r>
          </w:p>
        </w:tc>
        <w:tc>
          <w:tcPr>
            <w:tcW w:w="680" w:type="dxa"/>
            <w:vAlign w:val="bottom"/>
            <w:tcBorders>
              <w:right w:val="single" w:sz="8" w:color="A8BCBF"/>
            </w:tcBorders>
            <w:vMerge w:val="continue"/>
          </w:tcPr>
          <w:p>
            <w:pPr>
              <w:spacing w:after="0"/>
              <w:rPr>
                <w:sz w:val="11"/>
                <w:szCs w:val="11"/>
                <w:color w:val="auto"/>
              </w:rPr>
            </w:pPr>
          </w:p>
        </w:tc>
        <w:tc>
          <w:tcPr>
            <w:tcW w:w="3380" w:type="dxa"/>
            <w:vAlign w:val="bottom"/>
            <w:tcBorders>
              <w:right w:val="single" w:sz="8" w:color="A8BCBF"/>
            </w:tcBorders>
          </w:tcPr>
          <w:p>
            <w:pPr>
              <w:spacing w:after="0"/>
              <w:rPr>
                <w:sz w:val="11"/>
                <w:szCs w:val="11"/>
                <w:color w:val="auto"/>
              </w:rPr>
            </w:pPr>
          </w:p>
        </w:tc>
        <w:tc>
          <w:tcPr>
            <w:tcW w:w="3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1660" w:type="dxa"/>
            <w:vAlign w:val="bottom"/>
            <w:tcBorders>
              <w:right w:val="single" w:sz="8" w:color="A8BCBF"/>
            </w:tcBorders>
          </w:tcPr>
          <w:p>
            <w:pPr>
              <w:ind w:left="60"/>
              <w:spacing w:after="0"/>
              <w:rPr>
                <w:sz w:val="20"/>
                <w:szCs w:val="20"/>
                <w:color w:val="auto"/>
              </w:rPr>
            </w:pPr>
            <w:r>
              <w:rPr>
                <w:rFonts w:ascii="Arial" w:cs="Arial" w:eastAsia="Arial" w:hAnsi="Arial"/>
                <w:sz w:val="13"/>
                <w:szCs w:val="13"/>
                <w:b w:val="1"/>
                <w:bCs w:val="1"/>
                <w:color w:val="604F2B"/>
              </w:rPr>
              <w:t>ELEMENT</w:t>
            </w:r>
          </w:p>
        </w:tc>
        <w:tc>
          <w:tcPr>
            <w:tcW w:w="1920" w:type="dxa"/>
            <w:vAlign w:val="bottom"/>
            <w:tcBorders>
              <w:right w:val="single" w:sz="8" w:color="A8BCBF"/>
            </w:tcBorders>
          </w:tcPr>
          <w:p>
            <w:pPr>
              <w:jc w:val="center"/>
              <w:spacing w:after="0"/>
              <w:rPr>
                <w:sz w:val="20"/>
                <w:szCs w:val="20"/>
                <w:color w:val="auto"/>
              </w:rPr>
            </w:pPr>
            <w:r>
              <w:rPr>
                <w:rFonts w:ascii="Arial" w:cs="Arial" w:eastAsia="Arial" w:hAnsi="Arial"/>
                <w:sz w:val="13"/>
                <w:szCs w:val="13"/>
                <w:b w:val="1"/>
                <w:bCs w:val="1"/>
                <w:color w:val="604F2B"/>
                <w:w w:val="97"/>
              </w:rPr>
              <w:t>COMPENSATION</w:t>
            </w:r>
            <w:r>
              <w:rPr>
                <w:rFonts w:ascii="Arial" w:cs="Arial" w:eastAsia="Arial" w:hAnsi="Arial"/>
                <w:sz w:val="10"/>
                <w:szCs w:val="10"/>
                <w:b w:val="1"/>
                <w:bCs w:val="1"/>
                <w:color w:val="604F2B"/>
                <w:w w:val="97"/>
              </w:rPr>
              <w:t>(1)</w:t>
            </w:r>
          </w:p>
        </w:tc>
        <w:tc>
          <w:tcPr>
            <w:tcW w:w="680" w:type="dxa"/>
            <w:vAlign w:val="bottom"/>
            <w:tcBorders>
              <w:right w:val="single" w:sz="8" w:color="A8BCBF"/>
            </w:tcBorders>
          </w:tcPr>
          <w:p>
            <w:pPr>
              <w:jc w:val="center"/>
              <w:spacing w:after="0"/>
              <w:rPr>
                <w:sz w:val="20"/>
                <w:szCs w:val="20"/>
                <w:color w:val="auto"/>
              </w:rPr>
            </w:pPr>
            <w:r>
              <w:rPr>
                <w:rFonts w:ascii="Arial" w:cs="Arial" w:eastAsia="Arial" w:hAnsi="Arial"/>
                <w:sz w:val="13"/>
                <w:szCs w:val="13"/>
                <w:b w:val="1"/>
                <w:bCs w:val="1"/>
                <w:color w:val="604F2B"/>
                <w:w w:val="97"/>
              </w:rPr>
              <w:t>RISK?</w:t>
            </w:r>
          </w:p>
        </w:tc>
        <w:tc>
          <w:tcPr>
            <w:tcW w:w="3380" w:type="dxa"/>
            <w:vAlign w:val="bottom"/>
            <w:tcBorders>
              <w:right w:val="single" w:sz="8" w:color="A8BCBF"/>
            </w:tcBorders>
          </w:tcPr>
          <w:p>
            <w:pPr>
              <w:ind w:left="1380"/>
              <w:spacing w:after="0"/>
              <w:rPr>
                <w:sz w:val="20"/>
                <w:szCs w:val="20"/>
                <w:color w:val="auto"/>
              </w:rPr>
            </w:pPr>
            <w:r>
              <w:rPr>
                <w:rFonts w:ascii="Arial" w:cs="Arial" w:eastAsia="Arial" w:hAnsi="Arial"/>
                <w:sz w:val="13"/>
                <w:szCs w:val="13"/>
                <w:b w:val="1"/>
                <w:bCs w:val="1"/>
                <w:color w:val="604F2B"/>
              </w:rPr>
              <w:t>FEATURES</w:t>
            </w:r>
          </w:p>
        </w:tc>
        <w:tc>
          <w:tcPr>
            <w:tcW w:w="3380" w:type="dxa"/>
            <w:vAlign w:val="bottom"/>
          </w:tcPr>
          <w:p>
            <w:pPr>
              <w:ind w:left="1280"/>
              <w:spacing w:after="0"/>
              <w:rPr>
                <w:sz w:val="20"/>
                <w:szCs w:val="20"/>
                <w:color w:val="auto"/>
              </w:rPr>
            </w:pPr>
            <w:r>
              <w:rPr>
                <w:rFonts w:ascii="Arial" w:cs="Arial" w:eastAsia="Arial" w:hAnsi="Arial"/>
                <w:sz w:val="13"/>
                <w:szCs w:val="13"/>
                <w:b w:val="1"/>
                <w:bCs w:val="1"/>
                <w:color w:val="604F2B"/>
              </w:rPr>
              <w:t>2020 RESULTS</w:t>
            </w:r>
          </w:p>
        </w:tc>
        <w:tc>
          <w:tcPr>
            <w:tcW w:w="0" w:type="dxa"/>
            <w:vAlign w:val="bottom"/>
          </w:tcPr>
          <w:p>
            <w:pPr>
              <w:spacing w:after="0"/>
              <w:rPr>
                <w:sz w:val="1"/>
                <w:szCs w:val="1"/>
                <w:color w:val="auto"/>
              </w:rPr>
            </w:pPr>
          </w:p>
        </w:tc>
      </w:tr>
      <w:tr>
        <w:trPr>
          <w:trHeight w:val="43"/>
        </w:trPr>
        <w:tc>
          <w:tcPr>
            <w:tcW w:w="1660" w:type="dxa"/>
            <w:vAlign w:val="bottom"/>
            <w:tcBorders>
              <w:right w:val="single" w:sz="8" w:color="A8BCBF"/>
            </w:tcBorders>
          </w:tcPr>
          <w:p>
            <w:pPr>
              <w:spacing w:after="0"/>
              <w:rPr>
                <w:sz w:val="3"/>
                <w:szCs w:val="3"/>
                <w:color w:val="auto"/>
              </w:rPr>
            </w:pPr>
          </w:p>
        </w:tc>
        <w:tc>
          <w:tcPr>
            <w:tcW w:w="1920" w:type="dxa"/>
            <w:vAlign w:val="bottom"/>
            <w:tcBorders>
              <w:right w:val="single" w:sz="8" w:color="A8BCBF"/>
            </w:tcBorders>
          </w:tcPr>
          <w:p>
            <w:pPr>
              <w:spacing w:after="0"/>
              <w:rPr>
                <w:sz w:val="3"/>
                <w:szCs w:val="3"/>
                <w:color w:val="auto"/>
              </w:rPr>
            </w:pPr>
          </w:p>
        </w:tc>
        <w:tc>
          <w:tcPr>
            <w:tcW w:w="680" w:type="dxa"/>
            <w:vAlign w:val="bottom"/>
            <w:tcBorders>
              <w:right w:val="single" w:sz="8" w:color="A8BCBF"/>
            </w:tcBorders>
          </w:tcPr>
          <w:p>
            <w:pPr>
              <w:spacing w:after="0"/>
              <w:rPr>
                <w:sz w:val="3"/>
                <w:szCs w:val="3"/>
                <w:color w:val="auto"/>
              </w:rPr>
            </w:pPr>
          </w:p>
        </w:tc>
        <w:tc>
          <w:tcPr>
            <w:tcW w:w="3380" w:type="dxa"/>
            <w:vAlign w:val="bottom"/>
            <w:tcBorders>
              <w:right w:val="single" w:sz="8" w:color="A8BCBF"/>
            </w:tcBorders>
          </w:tcPr>
          <w:p>
            <w:pPr>
              <w:spacing w:after="0"/>
              <w:rPr>
                <w:sz w:val="3"/>
                <w:szCs w:val="3"/>
                <w:color w:val="auto"/>
              </w:rPr>
            </w:pPr>
          </w:p>
        </w:tc>
        <w:tc>
          <w:tcPr>
            <w:tcW w:w="3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1660" w:type="dxa"/>
            <w:vAlign w:val="bottom"/>
            <w:tcBorders>
              <w:right w:val="single" w:sz="8" w:color="A8BCBF"/>
            </w:tcBorders>
            <w:shd w:val="clear" w:color="auto" w:fill="EAEAE5"/>
          </w:tcPr>
          <w:p>
            <w:pPr>
              <w:ind w:left="60"/>
              <w:spacing w:after="0"/>
              <w:rPr>
                <w:sz w:val="20"/>
                <w:szCs w:val="20"/>
                <w:color w:val="auto"/>
              </w:rPr>
            </w:pPr>
            <w:r>
              <w:rPr>
                <w:rFonts w:ascii="Arial" w:cs="Arial" w:eastAsia="Arial" w:hAnsi="Arial"/>
                <w:sz w:val="14"/>
                <w:szCs w:val="14"/>
                <w:color w:val="auto"/>
              </w:rPr>
              <w:t>Base salary</w:t>
            </w:r>
          </w:p>
        </w:tc>
        <w:tc>
          <w:tcPr>
            <w:tcW w:w="1920" w:type="dxa"/>
            <w:vAlign w:val="bottom"/>
            <w:tcBorders>
              <w:right w:val="single" w:sz="8" w:color="A8BCBF"/>
            </w:tcBorders>
            <w:shd w:val="clear" w:color="auto" w:fill="EAEAE5"/>
          </w:tcPr>
          <w:p>
            <w:pPr>
              <w:jc w:val="center"/>
              <w:spacing w:after="0"/>
              <w:rPr>
                <w:sz w:val="20"/>
                <w:szCs w:val="20"/>
                <w:color w:val="auto"/>
              </w:rPr>
            </w:pPr>
            <w:r>
              <w:rPr>
                <w:rFonts w:ascii="Arial" w:cs="Arial" w:eastAsia="Arial" w:hAnsi="Arial"/>
                <w:sz w:val="14"/>
                <w:szCs w:val="14"/>
                <w:color w:val="auto"/>
                <w:w w:val="99"/>
              </w:rPr>
              <w:t>13%</w:t>
            </w:r>
          </w:p>
        </w:tc>
        <w:tc>
          <w:tcPr>
            <w:tcW w:w="680" w:type="dxa"/>
            <w:vAlign w:val="bottom"/>
            <w:tcBorders>
              <w:right w:val="single" w:sz="8" w:color="A8BCBF"/>
            </w:tcBorders>
            <w:shd w:val="clear" w:color="auto" w:fill="EAEAE5"/>
          </w:tcPr>
          <w:p>
            <w:pPr>
              <w:jc w:val="center"/>
              <w:spacing w:after="0"/>
              <w:rPr>
                <w:sz w:val="20"/>
                <w:szCs w:val="20"/>
                <w:color w:val="auto"/>
              </w:rPr>
            </w:pPr>
            <w:r>
              <w:rPr>
                <w:rFonts w:ascii="Arial" w:cs="Arial" w:eastAsia="Arial" w:hAnsi="Arial"/>
                <w:sz w:val="14"/>
                <w:szCs w:val="14"/>
                <w:color w:val="auto"/>
              </w:rPr>
              <w:t>No</w:t>
            </w:r>
          </w:p>
        </w:tc>
        <w:tc>
          <w:tcPr>
            <w:tcW w:w="3380" w:type="dxa"/>
            <w:vAlign w:val="bottom"/>
            <w:tcBorders>
              <w:right w:val="single" w:sz="8" w:color="A8BCBF"/>
            </w:tcBorders>
            <w:shd w:val="clear" w:color="auto" w:fill="EAEAE5"/>
          </w:tcPr>
          <w:p>
            <w:pPr>
              <w:ind w:left="120"/>
              <w:spacing w:after="0"/>
              <w:rPr>
                <w:sz w:val="20"/>
                <w:szCs w:val="20"/>
                <w:color w:val="auto"/>
              </w:rPr>
            </w:pPr>
            <w:r>
              <w:rPr>
                <w:rFonts w:ascii="Arial" w:cs="Arial" w:eastAsia="Arial" w:hAnsi="Arial"/>
                <w:sz w:val="14"/>
                <w:szCs w:val="14"/>
                <w:color w:val="auto"/>
              </w:rPr>
              <w:t>Attract and retain top employees and recognize</w:t>
            </w:r>
          </w:p>
        </w:tc>
        <w:tc>
          <w:tcPr>
            <w:tcW w:w="3380" w:type="dxa"/>
            <w:vAlign w:val="bottom"/>
            <w:shd w:val="clear" w:color="auto" w:fill="EAEAE5"/>
          </w:tcPr>
          <w:p>
            <w:pPr>
              <w:ind w:left="140"/>
              <w:spacing w:after="0"/>
              <w:rPr>
                <w:sz w:val="20"/>
                <w:szCs w:val="20"/>
                <w:color w:val="auto"/>
              </w:rPr>
            </w:pPr>
            <w:r>
              <w:rPr>
                <w:rFonts w:ascii="Arial" w:cs="Arial" w:eastAsia="Arial" w:hAnsi="Arial"/>
                <w:sz w:val="14"/>
                <w:szCs w:val="14"/>
                <w:color w:val="auto"/>
              </w:rPr>
              <w:t>Base salary unchanged in 2020</w:t>
            </w:r>
          </w:p>
        </w:tc>
        <w:tc>
          <w:tcPr>
            <w:tcW w:w="0" w:type="dxa"/>
            <w:vAlign w:val="bottom"/>
          </w:tcPr>
          <w:p>
            <w:pPr>
              <w:spacing w:after="0"/>
              <w:rPr>
                <w:sz w:val="1"/>
                <w:szCs w:val="1"/>
                <w:color w:val="auto"/>
              </w:rPr>
            </w:pPr>
          </w:p>
        </w:tc>
      </w:tr>
      <w:tr>
        <w:trPr>
          <w:trHeight w:val="172"/>
        </w:trPr>
        <w:tc>
          <w:tcPr>
            <w:tcW w:w="1660" w:type="dxa"/>
            <w:vAlign w:val="bottom"/>
            <w:tcBorders>
              <w:right w:val="single" w:sz="8" w:color="A8BCBF"/>
            </w:tcBorders>
            <w:shd w:val="clear" w:color="auto" w:fill="EAEAE5"/>
          </w:tcPr>
          <w:p>
            <w:pPr>
              <w:spacing w:after="0"/>
              <w:rPr>
                <w:sz w:val="14"/>
                <w:szCs w:val="14"/>
                <w:color w:val="auto"/>
              </w:rPr>
            </w:pPr>
          </w:p>
        </w:tc>
        <w:tc>
          <w:tcPr>
            <w:tcW w:w="1920" w:type="dxa"/>
            <w:vAlign w:val="bottom"/>
            <w:tcBorders>
              <w:right w:val="single" w:sz="8" w:color="A8BCBF"/>
            </w:tcBorders>
            <w:shd w:val="clear" w:color="auto" w:fill="EAEAE5"/>
          </w:tcPr>
          <w:p>
            <w:pPr>
              <w:spacing w:after="0"/>
              <w:rPr>
                <w:sz w:val="14"/>
                <w:szCs w:val="14"/>
                <w:color w:val="auto"/>
              </w:rPr>
            </w:pPr>
          </w:p>
        </w:tc>
        <w:tc>
          <w:tcPr>
            <w:tcW w:w="680" w:type="dxa"/>
            <w:vAlign w:val="bottom"/>
            <w:tcBorders>
              <w:right w:val="single" w:sz="8" w:color="A8BCBF"/>
            </w:tcBorders>
            <w:shd w:val="clear" w:color="auto" w:fill="EAEAE5"/>
          </w:tcPr>
          <w:p>
            <w:pPr>
              <w:spacing w:after="0"/>
              <w:rPr>
                <w:sz w:val="14"/>
                <w:szCs w:val="14"/>
                <w:color w:val="auto"/>
              </w:rPr>
            </w:pPr>
          </w:p>
        </w:tc>
        <w:tc>
          <w:tcPr>
            <w:tcW w:w="3380" w:type="dxa"/>
            <w:vAlign w:val="bottom"/>
            <w:tcBorders>
              <w:right w:val="single" w:sz="8" w:color="A8BCBF"/>
            </w:tcBorders>
            <w:shd w:val="clear" w:color="auto" w:fill="EAEAE5"/>
          </w:tcPr>
          <w:p>
            <w:pPr>
              <w:ind w:left="120"/>
              <w:spacing w:after="0"/>
              <w:rPr>
                <w:sz w:val="20"/>
                <w:szCs w:val="20"/>
                <w:color w:val="auto"/>
              </w:rPr>
            </w:pPr>
            <w:r>
              <w:rPr>
                <w:rFonts w:ascii="Arial" w:cs="Arial" w:eastAsia="Arial" w:hAnsi="Arial"/>
                <w:sz w:val="14"/>
                <w:szCs w:val="14"/>
                <w:color w:val="auto"/>
              </w:rPr>
              <w:t>sustained performance, job scope and experience</w:t>
            </w:r>
          </w:p>
        </w:tc>
        <w:tc>
          <w:tcPr>
            <w:tcW w:w="3380" w:type="dxa"/>
            <w:vAlign w:val="bottom"/>
            <w:vMerge w:val="restart"/>
            <w:shd w:val="clear" w:color="auto" w:fill="EAEAE5"/>
          </w:tcPr>
          <w:p>
            <w:pPr>
              <w:ind w:left="140"/>
              <w:spacing w:after="0"/>
              <w:rPr>
                <w:sz w:val="20"/>
                <w:szCs w:val="20"/>
                <w:color w:val="auto"/>
              </w:rPr>
            </w:pPr>
            <w:r>
              <w:rPr>
                <w:rFonts w:ascii="Arial" w:cs="Arial" w:eastAsia="Arial" w:hAnsi="Arial"/>
                <w:sz w:val="14"/>
                <w:szCs w:val="14"/>
                <w:color w:val="auto"/>
              </w:rPr>
              <w:t>In March 2020, each NEO accepted a restricted</w:t>
            </w:r>
          </w:p>
        </w:tc>
        <w:tc>
          <w:tcPr>
            <w:tcW w:w="0" w:type="dxa"/>
            <w:vAlign w:val="bottom"/>
          </w:tcPr>
          <w:p>
            <w:pPr>
              <w:spacing w:after="0"/>
              <w:rPr>
                <w:sz w:val="1"/>
                <w:szCs w:val="1"/>
                <w:color w:val="auto"/>
              </w:rPr>
            </w:pPr>
          </w:p>
        </w:tc>
      </w:tr>
      <w:tr>
        <w:trPr>
          <w:trHeight w:val="71"/>
        </w:trPr>
        <w:tc>
          <w:tcPr>
            <w:tcW w:w="1660" w:type="dxa"/>
            <w:vAlign w:val="bottom"/>
            <w:tcBorders>
              <w:right w:val="single" w:sz="8" w:color="A8BCBF"/>
            </w:tcBorders>
            <w:shd w:val="clear" w:color="auto" w:fill="EAEAE5"/>
          </w:tcPr>
          <w:p>
            <w:pPr>
              <w:spacing w:after="0"/>
              <w:rPr>
                <w:sz w:val="6"/>
                <w:szCs w:val="6"/>
                <w:color w:val="auto"/>
              </w:rPr>
            </w:pPr>
          </w:p>
        </w:tc>
        <w:tc>
          <w:tcPr>
            <w:tcW w:w="1920" w:type="dxa"/>
            <w:vAlign w:val="bottom"/>
            <w:tcBorders>
              <w:right w:val="single" w:sz="8" w:color="A8BCBF"/>
            </w:tcBorders>
            <w:shd w:val="clear" w:color="auto" w:fill="EAEAE5"/>
          </w:tcPr>
          <w:p>
            <w:pPr>
              <w:spacing w:after="0"/>
              <w:rPr>
                <w:sz w:val="6"/>
                <w:szCs w:val="6"/>
                <w:color w:val="auto"/>
              </w:rPr>
            </w:pPr>
          </w:p>
        </w:tc>
        <w:tc>
          <w:tcPr>
            <w:tcW w:w="680" w:type="dxa"/>
            <w:vAlign w:val="bottom"/>
            <w:tcBorders>
              <w:right w:val="single" w:sz="8" w:color="A8BCBF"/>
            </w:tcBorders>
            <w:shd w:val="clear" w:color="auto" w:fill="EAEAE5"/>
          </w:tcPr>
          <w:p>
            <w:pPr>
              <w:spacing w:after="0"/>
              <w:rPr>
                <w:sz w:val="6"/>
                <w:szCs w:val="6"/>
                <w:color w:val="auto"/>
              </w:rPr>
            </w:pPr>
          </w:p>
        </w:tc>
        <w:tc>
          <w:tcPr>
            <w:tcW w:w="3380" w:type="dxa"/>
            <w:vAlign w:val="bottom"/>
            <w:tcBorders>
              <w:right w:val="single" w:sz="8" w:color="A8BCBF"/>
            </w:tcBorders>
            <w:shd w:val="clear" w:color="auto" w:fill="EAEAE5"/>
          </w:tcPr>
          <w:p>
            <w:pPr>
              <w:spacing w:after="0"/>
              <w:rPr>
                <w:sz w:val="6"/>
                <w:szCs w:val="6"/>
                <w:color w:val="auto"/>
              </w:rPr>
            </w:pPr>
          </w:p>
        </w:tc>
        <w:tc>
          <w:tcPr>
            <w:tcW w:w="3380" w:type="dxa"/>
            <w:vAlign w:val="bottom"/>
            <w:vMerge w:val="continue"/>
            <w:shd w:val="clear" w:color="auto" w:fill="EAEAE5"/>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660" w:type="dxa"/>
            <w:vAlign w:val="bottom"/>
            <w:tcBorders>
              <w:right w:val="single" w:sz="8" w:color="A8BCBF"/>
            </w:tcBorders>
            <w:shd w:val="clear" w:color="auto" w:fill="EAEAE5"/>
          </w:tcPr>
          <w:p>
            <w:pPr>
              <w:spacing w:after="0"/>
              <w:rPr>
                <w:sz w:val="14"/>
                <w:szCs w:val="14"/>
                <w:color w:val="auto"/>
              </w:rPr>
            </w:pPr>
          </w:p>
        </w:tc>
        <w:tc>
          <w:tcPr>
            <w:tcW w:w="1920" w:type="dxa"/>
            <w:vAlign w:val="bottom"/>
            <w:tcBorders>
              <w:right w:val="single" w:sz="8" w:color="A8BCBF"/>
            </w:tcBorders>
            <w:shd w:val="clear" w:color="auto" w:fill="EAEAE5"/>
          </w:tcPr>
          <w:p>
            <w:pPr>
              <w:spacing w:after="0"/>
              <w:rPr>
                <w:sz w:val="14"/>
                <w:szCs w:val="14"/>
                <w:color w:val="auto"/>
              </w:rPr>
            </w:pPr>
          </w:p>
        </w:tc>
        <w:tc>
          <w:tcPr>
            <w:tcW w:w="680" w:type="dxa"/>
            <w:vAlign w:val="bottom"/>
            <w:tcBorders>
              <w:right w:val="single" w:sz="8" w:color="A8BCBF"/>
            </w:tcBorders>
            <w:shd w:val="clear" w:color="auto" w:fill="EAEAE5"/>
          </w:tcPr>
          <w:p>
            <w:pPr>
              <w:spacing w:after="0"/>
              <w:rPr>
                <w:sz w:val="14"/>
                <w:szCs w:val="14"/>
                <w:color w:val="auto"/>
              </w:rPr>
            </w:pPr>
          </w:p>
        </w:tc>
        <w:tc>
          <w:tcPr>
            <w:tcW w:w="3380" w:type="dxa"/>
            <w:vAlign w:val="bottom"/>
            <w:tcBorders>
              <w:right w:val="single" w:sz="8" w:color="A8BCBF"/>
            </w:tcBorders>
            <w:shd w:val="clear" w:color="auto" w:fill="EAEAE5"/>
          </w:tcPr>
          <w:p>
            <w:pPr>
              <w:spacing w:after="0"/>
              <w:rPr>
                <w:sz w:val="14"/>
                <w:szCs w:val="14"/>
                <w:color w:val="auto"/>
              </w:rPr>
            </w:pPr>
          </w:p>
        </w:tc>
        <w:tc>
          <w:tcPr>
            <w:tcW w:w="3380" w:type="dxa"/>
            <w:vAlign w:val="bottom"/>
            <w:shd w:val="clear" w:color="auto" w:fill="EAEAE5"/>
          </w:tcPr>
          <w:p>
            <w:pPr>
              <w:ind w:left="140"/>
              <w:spacing w:after="0"/>
              <w:rPr>
                <w:sz w:val="20"/>
                <w:szCs w:val="20"/>
                <w:color w:val="auto"/>
              </w:rPr>
            </w:pPr>
            <w:r>
              <w:rPr>
                <w:rFonts w:ascii="Arial" w:cs="Arial" w:eastAsia="Arial" w:hAnsi="Arial"/>
                <w:sz w:val="14"/>
                <w:szCs w:val="14"/>
                <w:color w:val="auto"/>
              </w:rPr>
              <w:t>stock award in lieu of receiving their base salary</w:t>
            </w:r>
          </w:p>
        </w:tc>
        <w:tc>
          <w:tcPr>
            <w:tcW w:w="0" w:type="dxa"/>
            <w:vAlign w:val="bottom"/>
          </w:tcPr>
          <w:p>
            <w:pPr>
              <w:spacing w:after="0"/>
              <w:rPr>
                <w:sz w:val="1"/>
                <w:szCs w:val="1"/>
                <w:color w:val="auto"/>
              </w:rPr>
            </w:pPr>
          </w:p>
        </w:tc>
      </w:tr>
      <w:tr>
        <w:trPr>
          <w:trHeight w:val="162"/>
        </w:trPr>
        <w:tc>
          <w:tcPr>
            <w:tcW w:w="1660" w:type="dxa"/>
            <w:vAlign w:val="bottom"/>
            <w:tcBorders>
              <w:right w:val="single" w:sz="8" w:color="A8BCBF"/>
            </w:tcBorders>
            <w:shd w:val="clear" w:color="auto" w:fill="EAEAE5"/>
          </w:tcPr>
          <w:p>
            <w:pPr>
              <w:spacing w:after="0"/>
              <w:rPr>
                <w:sz w:val="14"/>
                <w:szCs w:val="14"/>
                <w:color w:val="auto"/>
              </w:rPr>
            </w:pPr>
          </w:p>
        </w:tc>
        <w:tc>
          <w:tcPr>
            <w:tcW w:w="1920" w:type="dxa"/>
            <w:vAlign w:val="bottom"/>
            <w:tcBorders>
              <w:right w:val="single" w:sz="8" w:color="A8BCBF"/>
            </w:tcBorders>
            <w:shd w:val="clear" w:color="auto" w:fill="EAEAE5"/>
          </w:tcPr>
          <w:p>
            <w:pPr>
              <w:spacing w:after="0"/>
              <w:rPr>
                <w:sz w:val="14"/>
                <w:szCs w:val="14"/>
                <w:color w:val="auto"/>
              </w:rPr>
            </w:pPr>
          </w:p>
        </w:tc>
        <w:tc>
          <w:tcPr>
            <w:tcW w:w="680" w:type="dxa"/>
            <w:vAlign w:val="bottom"/>
            <w:tcBorders>
              <w:right w:val="single" w:sz="8" w:color="A8BCBF"/>
            </w:tcBorders>
            <w:shd w:val="clear" w:color="auto" w:fill="EAEAE5"/>
          </w:tcPr>
          <w:p>
            <w:pPr>
              <w:spacing w:after="0"/>
              <w:rPr>
                <w:sz w:val="14"/>
                <w:szCs w:val="14"/>
                <w:color w:val="auto"/>
              </w:rPr>
            </w:pPr>
          </w:p>
        </w:tc>
        <w:tc>
          <w:tcPr>
            <w:tcW w:w="3380" w:type="dxa"/>
            <w:vAlign w:val="bottom"/>
            <w:tcBorders>
              <w:right w:val="single" w:sz="8" w:color="A8BCBF"/>
            </w:tcBorders>
            <w:shd w:val="clear" w:color="auto" w:fill="EAEAE5"/>
          </w:tcPr>
          <w:p>
            <w:pPr>
              <w:spacing w:after="0"/>
              <w:rPr>
                <w:sz w:val="14"/>
                <w:szCs w:val="14"/>
                <w:color w:val="auto"/>
              </w:rPr>
            </w:pPr>
          </w:p>
        </w:tc>
        <w:tc>
          <w:tcPr>
            <w:tcW w:w="3380" w:type="dxa"/>
            <w:vAlign w:val="bottom"/>
            <w:shd w:val="clear" w:color="auto" w:fill="EAEAE5"/>
          </w:tcPr>
          <w:p>
            <w:pPr>
              <w:ind w:left="140"/>
              <w:spacing w:after="0"/>
              <w:rPr>
                <w:sz w:val="20"/>
                <w:szCs w:val="20"/>
                <w:color w:val="auto"/>
              </w:rPr>
            </w:pPr>
            <w:r>
              <w:rPr>
                <w:rFonts w:ascii="Arial" w:cs="Arial" w:eastAsia="Arial" w:hAnsi="Arial"/>
                <w:sz w:val="14"/>
                <w:szCs w:val="14"/>
                <w:color w:val="auto"/>
              </w:rPr>
              <w:t>compensation in the form of cash for the</w:t>
            </w:r>
          </w:p>
        </w:tc>
        <w:tc>
          <w:tcPr>
            <w:tcW w:w="0" w:type="dxa"/>
            <w:vAlign w:val="bottom"/>
          </w:tcPr>
          <w:p>
            <w:pPr>
              <w:spacing w:after="0"/>
              <w:rPr>
                <w:sz w:val="1"/>
                <w:szCs w:val="1"/>
                <w:color w:val="auto"/>
              </w:rPr>
            </w:pPr>
          </w:p>
        </w:tc>
      </w:tr>
      <w:tr>
        <w:trPr>
          <w:trHeight w:val="162"/>
        </w:trPr>
        <w:tc>
          <w:tcPr>
            <w:tcW w:w="1660" w:type="dxa"/>
            <w:vAlign w:val="bottom"/>
            <w:tcBorders>
              <w:right w:val="single" w:sz="8" w:color="A8BCBF"/>
            </w:tcBorders>
            <w:shd w:val="clear" w:color="auto" w:fill="EAEAE5"/>
          </w:tcPr>
          <w:p>
            <w:pPr>
              <w:spacing w:after="0"/>
              <w:rPr>
                <w:sz w:val="14"/>
                <w:szCs w:val="14"/>
                <w:color w:val="auto"/>
              </w:rPr>
            </w:pPr>
          </w:p>
        </w:tc>
        <w:tc>
          <w:tcPr>
            <w:tcW w:w="1920" w:type="dxa"/>
            <w:vAlign w:val="bottom"/>
            <w:tcBorders>
              <w:right w:val="single" w:sz="8" w:color="A8BCBF"/>
            </w:tcBorders>
            <w:shd w:val="clear" w:color="auto" w:fill="EAEAE5"/>
          </w:tcPr>
          <w:p>
            <w:pPr>
              <w:spacing w:after="0"/>
              <w:rPr>
                <w:sz w:val="14"/>
                <w:szCs w:val="14"/>
                <w:color w:val="auto"/>
              </w:rPr>
            </w:pPr>
          </w:p>
        </w:tc>
        <w:tc>
          <w:tcPr>
            <w:tcW w:w="680" w:type="dxa"/>
            <w:vAlign w:val="bottom"/>
            <w:tcBorders>
              <w:right w:val="single" w:sz="8" w:color="A8BCBF"/>
            </w:tcBorders>
            <w:shd w:val="clear" w:color="auto" w:fill="EAEAE5"/>
          </w:tcPr>
          <w:p>
            <w:pPr>
              <w:spacing w:after="0"/>
              <w:rPr>
                <w:sz w:val="14"/>
                <w:szCs w:val="14"/>
                <w:color w:val="auto"/>
              </w:rPr>
            </w:pPr>
          </w:p>
        </w:tc>
        <w:tc>
          <w:tcPr>
            <w:tcW w:w="3380" w:type="dxa"/>
            <w:vAlign w:val="bottom"/>
            <w:tcBorders>
              <w:right w:val="single" w:sz="8" w:color="A8BCBF"/>
            </w:tcBorders>
            <w:shd w:val="clear" w:color="auto" w:fill="EAEAE5"/>
          </w:tcPr>
          <w:p>
            <w:pPr>
              <w:spacing w:after="0"/>
              <w:rPr>
                <w:sz w:val="14"/>
                <w:szCs w:val="14"/>
                <w:color w:val="auto"/>
              </w:rPr>
            </w:pPr>
          </w:p>
        </w:tc>
        <w:tc>
          <w:tcPr>
            <w:tcW w:w="3380" w:type="dxa"/>
            <w:vAlign w:val="bottom"/>
            <w:shd w:val="clear" w:color="auto" w:fill="EAEAE5"/>
          </w:tcPr>
          <w:p>
            <w:pPr>
              <w:ind w:left="140"/>
              <w:spacing w:after="0"/>
              <w:rPr>
                <w:sz w:val="20"/>
                <w:szCs w:val="20"/>
                <w:color w:val="auto"/>
              </w:rPr>
            </w:pPr>
            <w:r>
              <w:rPr>
                <w:rFonts w:ascii="Arial" w:cs="Arial" w:eastAsia="Arial" w:hAnsi="Arial"/>
                <w:sz w:val="14"/>
                <w:szCs w:val="14"/>
                <w:color w:val="auto"/>
              </w:rPr>
              <w:t>remainder of the calendar year to preserve the</w:t>
            </w:r>
          </w:p>
        </w:tc>
        <w:tc>
          <w:tcPr>
            <w:tcW w:w="0" w:type="dxa"/>
            <w:vAlign w:val="bottom"/>
          </w:tcPr>
          <w:p>
            <w:pPr>
              <w:spacing w:after="0"/>
              <w:rPr>
                <w:sz w:val="1"/>
                <w:szCs w:val="1"/>
                <w:color w:val="auto"/>
              </w:rPr>
            </w:pPr>
          </w:p>
        </w:tc>
      </w:tr>
      <w:tr>
        <w:trPr>
          <w:trHeight w:val="162"/>
        </w:trPr>
        <w:tc>
          <w:tcPr>
            <w:tcW w:w="1660" w:type="dxa"/>
            <w:vAlign w:val="bottom"/>
            <w:tcBorders>
              <w:right w:val="single" w:sz="8" w:color="A8BCBF"/>
            </w:tcBorders>
            <w:shd w:val="clear" w:color="auto" w:fill="EAEAE5"/>
          </w:tcPr>
          <w:p>
            <w:pPr>
              <w:spacing w:after="0"/>
              <w:rPr>
                <w:sz w:val="14"/>
                <w:szCs w:val="14"/>
                <w:color w:val="auto"/>
              </w:rPr>
            </w:pPr>
          </w:p>
        </w:tc>
        <w:tc>
          <w:tcPr>
            <w:tcW w:w="1920" w:type="dxa"/>
            <w:vAlign w:val="bottom"/>
            <w:tcBorders>
              <w:right w:val="single" w:sz="8" w:color="A8BCBF"/>
            </w:tcBorders>
            <w:shd w:val="clear" w:color="auto" w:fill="EAEAE5"/>
          </w:tcPr>
          <w:p>
            <w:pPr>
              <w:spacing w:after="0"/>
              <w:rPr>
                <w:sz w:val="14"/>
                <w:szCs w:val="14"/>
                <w:color w:val="auto"/>
              </w:rPr>
            </w:pPr>
          </w:p>
        </w:tc>
        <w:tc>
          <w:tcPr>
            <w:tcW w:w="680" w:type="dxa"/>
            <w:vAlign w:val="bottom"/>
            <w:tcBorders>
              <w:right w:val="single" w:sz="8" w:color="A8BCBF"/>
            </w:tcBorders>
            <w:shd w:val="clear" w:color="auto" w:fill="EAEAE5"/>
          </w:tcPr>
          <w:p>
            <w:pPr>
              <w:spacing w:after="0"/>
              <w:rPr>
                <w:sz w:val="14"/>
                <w:szCs w:val="14"/>
                <w:color w:val="auto"/>
              </w:rPr>
            </w:pPr>
          </w:p>
        </w:tc>
        <w:tc>
          <w:tcPr>
            <w:tcW w:w="3380" w:type="dxa"/>
            <w:vAlign w:val="bottom"/>
            <w:tcBorders>
              <w:right w:val="single" w:sz="8" w:color="A8BCBF"/>
            </w:tcBorders>
            <w:shd w:val="clear" w:color="auto" w:fill="EAEAE5"/>
          </w:tcPr>
          <w:p>
            <w:pPr>
              <w:spacing w:after="0"/>
              <w:rPr>
                <w:sz w:val="14"/>
                <w:szCs w:val="14"/>
                <w:color w:val="auto"/>
              </w:rPr>
            </w:pPr>
          </w:p>
        </w:tc>
        <w:tc>
          <w:tcPr>
            <w:tcW w:w="3380" w:type="dxa"/>
            <w:vAlign w:val="bottom"/>
            <w:shd w:val="clear" w:color="auto" w:fill="EAEAE5"/>
          </w:tcPr>
          <w:p>
            <w:pPr>
              <w:ind w:left="140"/>
              <w:spacing w:after="0"/>
              <w:rPr>
                <w:sz w:val="20"/>
                <w:szCs w:val="20"/>
                <w:color w:val="auto"/>
              </w:rPr>
            </w:pPr>
            <w:r>
              <w:rPr>
                <w:rFonts w:ascii="Arial" w:cs="Arial" w:eastAsia="Arial" w:hAnsi="Arial"/>
                <w:sz w:val="14"/>
                <w:szCs w:val="14"/>
                <w:color w:val="auto"/>
              </w:rPr>
              <w:t>Company’s cash position in response to the</w:t>
            </w:r>
          </w:p>
        </w:tc>
        <w:tc>
          <w:tcPr>
            <w:tcW w:w="0" w:type="dxa"/>
            <w:vAlign w:val="bottom"/>
          </w:tcPr>
          <w:p>
            <w:pPr>
              <w:spacing w:after="0"/>
              <w:rPr>
                <w:sz w:val="1"/>
                <w:szCs w:val="1"/>
                <w:color w:val="auto"/>
              </w:rPr>
            </w:pPr>
          </w:p>
        </w:tc>
      </w:tr>
      <w:tr>
        <w:trPr>
          <w:trHeight w:val="172"/>
        </w:trPr>
        <w:tc>
          <w:tcPr>
            <w:tcW w:w="1660" w:type="dxa"/>
            <w:vAlign w:val="bottom"/>
            <w:tcBorders>
              <w:right w:val="single" w:sz="8" w:color="A8BCBF"/>
            </w:tcBorders>
            <w:shd w:val="clear" w:color="auto" w:fill="EAEAE5"/>
          </w:tcPr>
          <w:p>
            <w:pPr>
              <w:spacing w:after="0"/>
              <w:rPr>
                <w:sz w:val="14"/>
                <w:szCs w:val="14"/>
                <w:color w:val="auto"/>
              </w:rPr>
            </w:pPr>
          </w:p>
        </w:tc>
        <w:tc>
          <w:tcPr>
            <w:tcW w:w="1920" w:type="dxa"/>
            <w:vAlign w:val="bottom"/>
            <w:tcBorders>
              <w:right w:val="single" w:sz="8" w:color="A8BCBF"/>
            </w:tcBorders>
            <w:shd w:val="clear" w:color="auto" w:fill="EAEAE5"/>
          </w:tcPr>
          <w:p>
            <w:pPr>
              <w:spacing w:after="0"/>
              <w:rPr>
                <w:sz w:val="14"/>
                <w:szCs w:val="14"/>
                <w:color w:val="auto"/>
              </w:rPr>
            </w:pPr>
          </w:p>
        </w:tc>
        <w:tc>
          <w:tcPr>
            <w:tcW w:w="680" w:type="dxa"/>
            <w:vAlign w:val="bottom"/>
            <w:tcBorders>
              <w:right w:val="single" w:sz="8" w:color="A8BCBF"/>
            </w:tcBorders>
            <w:shd w:val="clear" w:color="auto" w:fill="EAEAE5"/>
          </w:tcPr>
          <w:p>
            <w:pPr>
              <w:spacing w:after="0"/>
              <w:rPr>
                <w:sz w:val="14"/>
                <w:szCs w:val="14"/>
                <w:color w:val="auto"/>
              </w:rPr>
            </w:pPr>
          </w:p>
        </w:tc>
        <w:tc>
          <w:tcPr>
            <w:tcW w:w="3380" w:type="dxa"/>
            <w:vAlign w:val="bottom"/>
            <w:tcBorders>
              <w:right w:val="single" w:sz="8" w:color="A8BCBF"/>
            </w:tcBorders>
            <w:shd w:val="clear" w:color="auto" w:fill="EAEAE5"/>
          </w:tcPr>
          <w:p>
            <w:pPr>
              <w:spacing w:after="0"/>
              <w:rPr>
                <w:sz w:val="14"/>
                <w:szCs w:val="14"/>
                <w:color w:val="auto"/>
              </w:rPr>
            </w:pPr>
          </w:p>
        </w:tc>
        <w:tc>
          <w:tcPr>
            <w:tcW w:w="3380" w:type="dxa"/>
            <w:vAlign w:val="bottom"/>
            <w:shd w:val="clear" w:color="auto" w:fill="EAEAE5"/>
          </w:tcPr>
          <w:p>
            <w:pPr>
              <w:ind w:left="140"/>
              <w:spacing w:after="0"/>
              <w:rPr>
                <w:sz w:val="20"/>
                <w:szCs w:val="20"/>
                <w:color w:val="auto"/>
              </w:rPr>
            </w:pPr>
            <w:r>
              <w:rPr>
                <w:rFonts w:ascii="Arial" w:cs="Arial" w:eastAsia="Arial" w:hAnsi="Arial"/>
                <w:sz w:val="14"/>
                <w:szCs w:val="14"/>
                <w:color w:val="auto"/>
              </w:rPr>
              <w:t>pandemic</w:t>
            </w:r>
          </w:p>
        </w:tc>
        <w:tc>
          <w:tcPr>
            <w:tcW w:w="0" w:type="dxa"/>
            <w:vAlign w:val="bottom"/>
          </w:tcPr>
          <w:p>
            <w:pPr>
              <w:spacing w:after="0"/>
              <w:rPr>
                <w:sz w:val="1"/>
                <w:szCs w:val="1"/>
                <w:color w:val="auto"/>
              </w:rPr>
            </w:pPr>
          </w:p>
        </w:tc>
      </w:tr>
      <w:tr>
        <w:trPr>
          <w:trHeight w:val="79"/>
        </w:trPr>
        <w:tc>
          <w:tcPr>
            <w:tcW w:w="1660" w:type="dxa"/>
            <w:vAlign w:val="bottom"/>
            <w:tcBorders>
              <w:right w:val="single" w:sz="8" w:color="A8BCBF"/>
            </w:tcBorders>
            <w:shd w:val="clear" w:color="auto" w:fill="EAEAE5"/>
          </w:tcPr>
          <w:p>
            <w:pPr>
              <w:spacing w:after="0"/>
              <w:rPr>
                <w:sz w:val="6"/>
                <w:szCs w:val="6"/>
                <w:color w:val="auto"/>
              </w:rPr>
            </w:pPr>
          </w:p>
        </w:tc>
        <w:tc>
          <w:tcPr>
            <w:tcW w:w="1920" w:type="dxa"/>
            <w:vAlign w:val="bottom"/>
            <w:tcBorders>
              <w:right w:val="single" w:sz="8" w:color="A8BCBF"/>
            </w:tcBorders>
            <w:shd w:val="clear" w:color="auto" w:fill="EAEAE5"/>
          </w:tcPr>
          <w:p>
            <w:pPr>
              <w:spacing w:after="0"/>
              <w:rPr>
                <w:sz w:val="6"/>
                <w:szCs w:val="6"/>
                <w:color w:val="auto"/>
              </w:rPr>
            </w:pPr>
          </w:p>
        </w:tc>
        <w:tc>
          <w:tcPr>
            <w:tcW w:w="680" w:type="dxa"/>
            <w:vAlign w:val="bottom"/>
            <w:tcBorders>
              <w:right w:val="single" w:sz="8" w:color="A8BCBF"/>
            </w:tcBorders>
            <w:shd w:val="clear" w:color="auto" w:fill="EAEAE5"/>
          </w:tcPr>
          <w:p>
            <w:pPr>
              <w:spacing w:after="0"/>
              <w:rPr>
                <w:sz w:val="6"/>
                <w:szCs w:val="6"/>
                <w:color w:val="auto"/>
              </w:rPr>
            </w:pPr>
          </w:p>
        </w:tc>
        <w:tc>
          <w:tcPr>
            <w:tcW w:w="3380" w:type="dxa"/>
            <w:vAlign w:val="bottom"/>
            <w:tcBorders>
              <w:right w:val="single" w:sz="8" w:color="A8BCBF"/>
            </w:tcBorders>
            <w:shd w:val="clear" w:color="auto" w:fill="EAEAE5"/>
          </w:tcPr>
          <w:p>
            <w:pPr>
              <w:spacing w:after="0"/>
              <w:rPr>
                <w:sz w:val="6"/>
                <w:szCs w:val="6"/>
                <w:color w:val="auto"/>
              </w:rPr>
            </w:pPr>
          </w:p>
        </w:tc>
        <w:tc>
          <w:tcPr>
            <w:tcW w:w="3380" w:type="dxa"/>
            <w:vAlign w:val="bottom"/>
            <w:shd w:val="clear" w:color="auto" w:fill="EAEAE5"/>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60" w:type="dxa"/>
            <w:vAlign w:val="bottom"/>
            <w:tcBorders>
              <w:right w:val="single" w:sz="8" w:color="A8BCBF"/>
            </w:tcBorders>
          </w:tcPr>
          <w:p>
            <w:pPr>
              <w:ind w:left="60"/>
              <w:spacing w:after="0"/>
              <w:rPr>
                <w:sz w:val="20"/>
                <w:szCs w:val="20"/>
                <w:color w:val="auto"/>
              </w:rPr>
            </w:pPr>
            <w:r>
              <w:rPr>
                <w:rFonts w:ascii="Arial" w:cs="Arial" w:eastAsia="Arial" w:hAnsi="Arial"/>
                <w:sz w:val="14"/>
                <w:szCs w:val="14"/>
                <w:color w:val="auto"/>
              </w:rPr>
              <w:t>Annual incentives</w:t>
            </w:r>
          </w:p>
        </w:tc>
        <w:tc>
          <w:tcPr>
            <w:tcW w:w="1920" w:type="dxa"/>
            <w:vAlign w:val="bottom"/>
            <w:tcBorders>
              <w:right w:val="single" w:sz="8" w:color="A8BCBF"/>
            </w:tcBorders>
          </w:tcPr>
          <w:p>
            <w:pPr>
              <w:jc w:val="center"/>
              <w:spacing w:after="0"/>
              <w:rPr>
                <w:sz w:val="20"/>
                <w:szCs w:val="20"/>
                <w:color w:val="auto"/>
              </w:rPr>
            </w:pPr>
            <w:r>
              <w:rPr>
                <w:rFonts w:ascii="Arial" w:cs="Arial" w:eastAsia="Arial" w:hAnsi="Arial"/>
                <w:sz w:val="14"/>
                <w:szCs w:val="14"/>
                <w:color w:val="auto"/>
                <w:w w:val="99"/>
              </w:rPr>
              <w:t>12%</w:t>
            </w:r>
          </w:p>
        </w:tc>
        <w:tc>
          <w:tcPr>
            <w:tcW w:w="680" w:type="dxa"/>
            <w:vAlign w:val="bottom"/>
            <w:tcBorders>
              <w:right w:val="single" w:sz="8" w:color="A8BCBF"/>
            </w:tcBorders>
          </w:tcPr>
          <w:p>
            <w:pPr>
              <w:jc w:val="center"/>
              <w:spacing w:after="0"/>
              <w:rPr>
                <w:sz w:val="20"/>
                <w:szCs w:val="20"/>
                <w:color w:val="auto"/>
              </w:rPr>
            </w:pPr>
            <w:r>
              <w:rPr>
                <w:rFonts w:ascii="Arial" w:cs="Arial" w:eastAsia="Arial" w:hAnsi="Arial"/>
                <w:sz w:val="14"/>
                <w:szCs w:val="14"/>
                <w:color w:val="auto"/>
                <w:w w:val="99"/>
              </w:rPr>
              <w:t>Yes</w:t>
            </w:r>
          </w:p>
        </w:tc>
        <w:tc>
          <w:tcPr>
            <w:tcW w:w="3380" w:type="dxa"/>
            <w:vAlign w:val="bottom"/>
            <w:tcBorders>
              <w:right w:val="single" w:sz="8" w:color="A8BCBF"/>
            </w:tcBorders>
          </w:tcPr>
          <w:p>
            <w:pPr>
              <w:ind w:left="120"/>
              <w:spacing w:after="0"/>
              <w:rPr>
                <w:sz w:val="20"/>
                <w:szCs w:val="20"/>
                <w:color w:val="auto"/>
              </w:rPr>
            </w:pPr>
            <w:r>
              <w:rPr>
                <w:rFonts w:ascii="Arial" w:cs="Arial" w:eastAsia="Arial" w:hAnsi="Arial"/>
                <w:sz w:val="14"/>
                <w:szCs w:val="14"/>
                <w:color w:val="auto"/>
              </w:rPr>
              <w:t>Utilize multiple metrics with pre-set goals</w:t>
            </w:r>
          </w:p>
        </w:tc>
        <w:tc>
          <w:tcPr>
            <w:tcW w:w="3380" w:type="dxa"/>
            <w:vAlign w:val="bottom"/>
          </w:tcPr>
          <w:p>
            <w:pPr>
              <w:ind w:left="140"/>
              <w:spacing w:after="0"/>
              <w:rPr>
                <w:sz w:val="20"/>
                <w:szCs w:val="20"/>
                <w:color w:val="auto"/>
              </w:rPr>
            </w:pPr>
            <w:r>
              <w:rPr>
                <w:rFonts w:ascii="Arial" w:cs="Arial" w:eastAsia="Arial" w:hAnsi="Arial"/>
                <w:sz w:val="14"/>
                <w:szCs w:val="14"/>
                <w:color w:val="auto"/>
              </w:rPr>
              <w:t>2020 Annual Incentive opportunity capped at 40%</w:t>
            </w:r>
          </w:p>
        </w:tc>
        <w:tc>
          <w:tcPr>
            <w:tcW w:w="0" w:type="dxa"/>
            <w:vAlign w:val="bottom"/>
          </w:tcPr>
          <w:p>
            <w:pPr>
              <w:spacing w:after="0"/>
              <w:rPr>
                <w:sz w:val="1"/>
                <w:szCs w:val="1"/>
                <w:color w:val="auto"/>
              </w:rPr>
            </w:pPr>
          </w:p>
        </w:tc>
      </w:tr>
      <w:tr>
        <w:trPr>
          <w:trHeight w:val="172"/>
        </w:trPr>
        <w:tc>
          <w:tcPr>
            <w:tcW w:w="1660" w:type="dxa"/>
            <w:vAlign w:val="bottom"/>
            <w:tcBorders>
              <w:right w:val="single" w:sz="8" w:color="A8BCBF"/>
            </w:tcBorders>
          </w:tcPr>
          <w:p>
            <w:pPr>
              <w:spacing w:after="0"/>
              <w:rPr>
                <w:sz w:val="14"/>
                <w:szCs w:val="14"/>
                <w:color w:val="auto"/>
              </w:rPr>
            </w:pPr>
          </w:p>
        </w:tc>
        <w:tc>
          <w:tcPr>
            <w:tcW w:w="1920" w:type="dxa"/>
            <w:vAlign w:val="bottom"/>
            <w:tcBorders>
              <w:right w:val="single" w:sz="8" w:color="A8BCBF"/>
            </w:tcBorders>
          </w:tcPr>
          <w:p>
            <w:pPr>
              <w:spacing w:after="0"/>
              <w:rPr>
                <w:sz w:val="14"/>
                <w:szCs w:val="14"/>
                <w:color w:val="auto"/>
              </w:rPr>
            </w:pPr>
          </w:p>
        </w:tc>
        <w:tc>
          <w:tcPr>
            <w:tcW w:w="680" w:type="dxa"/>
            <w:vAlign w:val="bottom"/>
            <w:tcBorders>
              <w:right w:val="single" w:sz="8" w:color="A8BCBF"/>
            </w:tcBorders>
          </w:tcPr>
          <w:p>
            <w:pPr>
              <w:spacing w:after="0"/>
              <w:rPr>
                <w:sz w:val="14"/>
                <w:szCs w:val="14"/>
                <w:color w:val="auto"/>
              </w:rPr>
            </w:pPr>
          </w:p>
        </w:tc>
        <w:tc>
          <w:tcPr>
            <w:tcW w:w="3380" w:type="dxa"/>
            <w:vAlign w:val="bottom"/>
            <w:tcBorders>
              <w:right w:val="single" w:sz="8" w:color="A8BCBF"/>
            </w:tcBorders>
            <w:vMerge w:val="restart"/>
          </w:tcPr>
          <w:p>
            <w:pPr>
              <w:ind w:left="120"/>
              <w:spacing w:after="0"/>
              <w:rPr>
                <w:sz w:val="20"/>
                <w:szCs w:val="20"/>
                <w:color w:val="auto"/>
              </w:rPr>
            </w:pPr>
            <w:r>
              <w:rPr>
                <w:rFonts w:ascii="Arial" w:cs="Arial" w:eastAsia="Arial" w:hAnsi="Arial"/>
                <w:sz w:val="14"/>
                <w:szCs w:val="14"/>
                <w:color w:val="auto"/>
              </w:rPr>
              <w:t>Incentivize executives, enforce accountability and</w:t>
            </w:r>
          </w:p>
        </w:tc>
        <w:tc>
          <w:tcPr>
            <w:tcW w:w="3380" w:type="dxa"/>
            <w:vAlign w:val="bottom"/>
          </w:tcPr>
          <w:p>
            <w:pPr>
              <w:ind w:left="140"/>
              <w:spacing w:after="0"/>
              <w:rPr>
                <w:sz w:val="20"/>
                <w:szCs w:val="20"/>
                <w:color w:val="auto"/>
              </w:rPr>
            </w:pPr>
            <w:r>
              <w:rPr>
                <w:rFonts w:ascii="Arial" w:cs="Arial" w:eastAsia="Arial" w:hAnsi="Arial"/>
                <w:sz w:val="14"/>
                <w:szCs w:val="14"/>
                <w:color w:val="auto"/>
              </w:rPr>
              <w:t>of contractual targets</w:t>
            </w:r>
          </w:p>
        </w:tc>
        <w:tc>
          <w:tcPr>
            <w:tcW w:w="0" w:type="dxa"/>
            <w:vAlign w:val="bottom"/>
          </w:tcPr>
          <w:p>
            <w:pPr>
              <w:spacing w:after="0"/>
              <w:rPr>
                <w:sz w:val="1"/>
                <w:szCs w:val="1"/>
                <w:color w:val="auto"/>
              </w:rPr>
            </w:pPr>
          </w:p>
        </w:tc>
      </w:tr>
      <w:tr>
        <w:trPr>
          <w:trHeight w:val="71"/>
        </w:trPr>
        <w:tc>
          <w:tcPr>
            <w:tcW w:w="1660" w:type="dxa"/>
            <w:vAlign w:val="bottom"/>
            <w:tcBorders>
              <w:right w:val="single" w:sz="8" w:color="A8BCBF"/>
            </w:tcBorders>
          </w:tcPr>
          <w:p>
            <w:pPr>
              <w:spacing w:after="0"/>
              <w:rPr>
                <w:sz w:val="6"/>
                <w:szCs w:val="6"/>
                <w:color w:val="auto"/>
              </w:rPr>
            </w:pPr>
          </w:p>
        </w:tc>
        <w:tc>
          <w:tcPr>
            <w:tcW w:w="1920" w:type="dxa"/>
            <w:vAlign w:val="bottom"/>
            <w:tcBorders>
              <w:right w:val="single" w:sz="8" w:color="A8BCBF"/>
            </w:tcBorders>
          </w:tcPr>
          <w:p>
            <w:pPr>
              <w:spacing w:after="0"/>
              <w:rPr>
                <w:sz w:val="6"/>
                <w:szCs w:val="6"/>
                <w:color w:val="auto"/>
              </w:rPr>
            </w:pPr>
          </w:p>
        </w:tc>
        <w:tc>
          <w:tcPr>
            <w:tcW w:w="680" w:type="dxa"/>
            <w:vAlign w:val="bottom"/>
            <w:tcBorders>
              <w:right w:val="single" w:sz="8" w:color="A8BCBF"/>
            </w:tcBorders>
          </w:tcPr>
          <w:p>
            <w:pPr>
              <w:spacing w:after="0"/>
              <w:rPr>
                <w:sz w:val="6"/>
                <w:szCs w:val="6"/>
                <w:color w:val="auto"/>
              </w:rPr>
            </w:pPr>
          </w:p>
        </w:tc>
        <w:tc>
          <w:tcPr>
            <w:tcW w:w="3380" w:type="dxa"/>
            <w:vAlign w:val="bottom"/>
            <w:tcBorders>
              <w:right w:val="single" w:sz="8" w:color="A8BCBF"/>
            </w:tcBorders>
            <w:vMerge w:val="continue"/>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660" w:type="dxa"/>
            <w:vAlign w:val="bottom"/>
            <w:tcBorders>
              <w:right w:val="single" w:sz="8" w:color="A8BCBF"/>
            </w:tcBorders>
          </w:tcPr>
          <w:p>
            <w:pPr>
              <w:spacing w:after="0"/>
              <w:rPr>
                <w:sz w:val="14"/>
                <w:szCs w:val="14"/>
                <w:color w:val="auto"/>
              </w:rPr>
            </w:pPr>
          </w:p>
        </w:tc>
        <w:tc>
          <w:tcPr>
            <w:tcW w:w="1920" w:type="dxa"/>
            <w:vAlign w:val="bottom"/>
            <w:tcBorders>
              <w:right w:val="single" w:sz="8" w:color="A8BCBF"/>
            </w:tcBorders>
          </w:tcPr>
          <w:p>
            <w:pPr>
              <w:spacing w:after="0"/>
              <w:rPr>
                <w:sz w:val="14"/>
                <w:szCs w:val="14"/>
                <w:color w:val="auto"/>
              </w:rPr>
            </w:pPr>
          </w:p>
        </w:tc>
        <w:tc>
          <w:tcPr>
            <w:tcW w:w="680" w:type="dxa"/>
            <w:vAlign w:val="bottom"/>
            <w:tcBorders>
              <w:right w:val="single" w:sz="8" w:color="A8BCBF"/>
            </w:tcBorders>
          </w:tcPr>
          <w:p>
            <w:pPr>
              <w:spacing w:after="0"/>
              <w:rPr>
                <w:sz w:val="14"/>
                <w:szCs w:val="14"/>
                <w:color w:val="auto"/>
              </w:rPr>
            </w:pPr>
          </w:p>
        </w:tc>
        <w:tc>
          <w:tcPr>
            <w:tcW w:w="3380" w:type="dxa"/>
            <w:vAlign w:val="bottom"/>
            <w:tcBorders>
              <w:right w:val="single" w:sz="8" w:color="A8BCBF"/>
            </w:tcBorders>
          </w:tcPr>
          <w:p>
            <w:pPr>
              <w:ind w:left="120"/>
              <w:spacing w:after="0"/>
              <w:rPr>
                <w:sz w:val="20"/>
                <w:szCs w:val="20"/>
                <w:color w:val="auto"/>
              </w:rPr>
            </w:pPr>
            <w:r>
              <w:rPr>
                <w:rFonts w:ascii="Arial" w:cs="Arial" w:eastAsia="Arial" w:hAnsi="Arial"/>
                <w:sz w:val="14"/>
                <w:szCs w:val="14"/>
                <w:color w:val="auto"/>
              </w:rPr>
              <w:t>motivate and reward achievement of annual goals</w:t>
            </w:r>
          </w:p>
        </w:tc>
        <w:tc>
          <w:tcPr>
            <w:tcW w:w="3380" w:type="dxa"/>
            <w:vAlign w:val="bottom"/>
          </w:tcPr>
          <w:p>
            <w:pPr>
              <w:ind w:left="140"/>
              <w:spacing w:after="0"/>
              <w:rPr>
                <w:sz w:val="20"/>
                <w:szCs w:val="20"/>
                <w:color w:val="auto"/>
              </w:rPr>
            </w:pPr>
            <w:r>
              <w:rPr>
                <w:rFonts w:ascii="Arial" w:cs="Arial" w:eastAsia="Arial" w:hAnsi="Arial"/>
                <w:sz w:val="14"/>
                <w:szCs w:val="14"/>
                <w:color w:val="auto"/>
              </w:rPr>
              <w:t>Payout based on pre-set robust Financial and</w:t>
            </w:r>
          </w:p>
        </w:tc>
        <w:tc>
          <w:tcPr>
            <w:tcW w:w="0" w:type="dxa"/>
            <w:vAlign w:val="bottom"/>
          </w:tcPr>
          <w:p>
            <w:pPr>
              <w:spacing w:after="0"/>
              <w:rPr>
                <w:sz w:val="1"/>
                <w:szCs w:val="1"/>
                <w:color w:val="auto"/>
              </w:rPr>
            </w:pPr>
          </w:p>
        </w:tc>
      </w:tr>
      <w:tr>
        <w:trPr>
          <w:trHeight w:val="162"/>
        </w:trPr>
        <w:tc>
          <w:tcPr>
            <w:tcW w:w="1660" w:type="dxa"/>
            <w:vAlign w:val="bottom"/>
            <w:tcBorders>
              <w:right w:val="single" w:sz="8" w:color="A8BCBF"/>
            </w:tcBorders>
          </w:tcPr>
          <w:p>
            <w:pPr>
              <w:spacing w:after="0"/>
              <w:rPr>
                <w:sz w:val="14"/>
                <w:szCs w:val="14"/>
                <w:color w:val="auto"/>
              </w:rPr>
            </w:pPr>
          </w:p>
        </w:tc>
        <w:tc>
          <w:tcPr>
            <w:tcW w:w="1920" w:type="dxa"/>
            <w:vAlign w:val="bottom"/>
            <w:tcBorders>
              <w:right w:val="single" w:sz="8" w:color="A8BCBF"/>
            </w:tcBorders>
          </w:tcPr>
          <w:p>
            <w:pPr>
              <w:spacing w:after="0"/>
              <w:rPr>
                <w:sz w:val="14"/>
                <w:szCs w:val="14"/>
                <w:color w:val="auto"/>
              </w:rPr>
            </w:pPr>
          </w:p>
        </w:tc>
        <w:tc>
          <w:tcPr>
            <w:tcW w:w="680" w:type="dxa"/>
            <w:vAlign w:val="bottom"/>
            <w:tcBorders>
              <w:right w:val="single" w:sz="8" w:color="A8BCBF"/>
            </w:tcBorders>
          </w:tcPr>
          <w:p>
            <w:pPr>
              <w:spacing w:after="0"/>
              <w:rPr>
                <w:sz w:val="14"/>
                <w:szCs w:val="14"/>
                <w:color w:val="auto"/>
              </w:rPr>
            </w:pPr>
          </w:p>
        </w:tc>
        <w:tc>
          <w:tcPr>
            <w:tcW w:w="3380" w:type="dxa"/>
            <w:vAlign w:val="bottom"/>
            <w:tcBorders>
              <w:right w:val="single" w:sz="8" w:color="A8BCBF"/>
            </w:tcBorders>
            <w:vMerge w:val="restart"/>
          </w:tcPr>
          <w:p>
            <w:pPr>
              <w:ind w:left="120"/>
              <w:spacing w:after="0"/>
              <w:rPr>
                <w:sz w:val="20"/>
                <w:szCs w:val="20"/>
                <w:color w:val="auto"/>
              </w:rPr>
            </w:pPr>
            <w:r>
              <w:rPr>
                <w:rFonts w:ascii="Arial" w:cs="Arial" w:eastAsia="Arial" w:hAnsi="Arial"/>
                <w:sz w:val="14"/>
                <w:szCs w:val="14"/>
                <w:color w:val="auto"/>
              </w:rPr>
              <w:t>50% of annual incentive awards paid in stock and</w:t>
            </w:r>
          </w:p>
        </w:tc>
        <w:tc>
          <w:tcPr>
            <w:tcW w:w="3380" w:type="dxa"/>
            <w:vAlign w:val="bottom"/>
          </w:tcPr>
          <w:p>
            <w:pPr>
              <w:ind w:left="140"/>
              <w:spacing w:after="0"/>
              <w:rPr>
                <w:sz w:val="20"/>
                <w:szCs w:val="20"/>
                <w:color w:val="auto"/>
              </w:rPr>
            </w:pPr>
            <w:r>
              <w:rPr>
                <w:rFonts w:ascii="Arial" w:cs="Arial" w:eastAsia="Arial" w:hAnsi="Arial"/>
                <w:sz w:val="14"/>
                <w:szCs w:val="14"/>
                <w:color w:val="auto"/>
              </w:rPr>
              <w:t>Operational objectives for the second half of the</w:t>
            </w:r>
          </w:p>
        </w:tc>
        <w:tc>
          <w:tcPr>
            <w:tcW w:w="0" w:type="dxa"/>
            <w:vAlign w:val="bottom"/>
          </w:tcPr>
          <w:p>
            <w:pPr>
              <w:spacing w:after="0"/>
              <w:rPr>
                <w:sz w:val="1"/>
                <w:szCs w:val="1"/>
                <w:color w:val="auto"/>
              </w:rPr>
            </w:pPr>
          </w:p>
        </w:tc>
      </w:tr>
      <w:tr>
        <w:trPr>
          <w:trHeight w:val="81"/>
        </w:trPr>
        <w:tc>
          <w:tcPr>
            <w:tcW w:w="1660" w:type="dxa"/>
            <w:vAlign w:val="bottom"/>
            <w:tcBorders>
              <w:right w:val="single" w:sz="8" w:color="A8BCBF"/>
            </w:tcBorders>
          </w:tcPr>
          <w:p>
            <w:pPr>
              <w:spacing w:after="0"/>
              <w:rPr>
                <w:sz w:val="7"/>
                <w:szCs w:val="7"/>
                <w:color w:val="auto"/>
              </w:rPr>
            </w:pPr>
          </w:p>
        </w:tc>
        <w:tc>
          <w:tcPr>
            <w:tcW w:w="1920" w:type="dxa"/>
            <w:vAlign w:val="bottom"/>
            <w:tcBorders>
              <w:right w:val="single" w:sz="8" w:color="A8BCBF"/>
            </w:tcBorders>
          </w:tcPr>
          <w:p>
            <w:pPr>
              <w:spacing w:after="0"/>
              <w:rPr>
                <w:sz w:val="7"/>
                <w:szCs w:val="7"/>
                <w:color w:val="auto"/>
              </w:rPr>
            </w:pPr>
          </w:p>
        </w:tc>
        <w:tc>
          <w:tcPr>
            <w:tcW w:w="680" w:type="dxa"/>
            <w:vAlign w:val="bottom"/>
            <w:tcBorders>
              <w:right w:val="single" w:sz="8" w:color="A8BCBF"/>
            </w:tcBorders>
          </w:tcPr>
          <w:p>
            <w:pPr>
              <w:spacing w:after="0"/>
              <w:rPr>
                <w:sz w:val="7"/>
                <w:szCs w:val="7"/>
                <w:color w:val="auto"/>
              </w:rPr>
            </w:pPr>
          </w:p>
        </w:tc>
        <w:tc>
          <w:tcPr>
            <w:tcW w:w="3380" w:type="dxa"/>
            <w:vAlign w:val="bottom"/>
            <w:tcBorders>
              <w:right w:val="single" w:sz="8" w:color="A8BCBF"/>
            </w:tcBorders>
            <w:vMerge w:val="continue"/>
          </w:tcPr>
          <w:p>
            <w:pPr>
              <w:spacing w:after="0"/>
              <w:rPr>
                <w:sz w:val="7"/>
                <w:szCs w:val="7"/>
                <w:color w:val="auto"/>
              </w:rPr>
            </w:pPr>
          </w:p>
        </w:tc>
        <w:tc>
          <w:tcPr>
            <w:tcW w:w="3380" w:type="dxa"/>
            <w:vAlign w:val="bottom"/>
            <w:vMerge w:val="restart"/>
          </w:tcPr>
          <w:p>
            <w:pPr>
              <w:ind w:left="140"/>
              <w:spacing w:after="0"/>
              <w:rPr>
                <w:sz w:val="20"/>
                <w:szCs w:val="20"/>
                <w:color w:val="auto"/>
              </w:rPr>
            </w:pPr>
            <w:r>
              <w:rPr>
                <w:rFonts w:ascii="Arial" w:cs="Arial" w:eastAsia="Arial" w:hAnsi="Arial"/>
                <w:sz w:val="14"/>
                <w:szCs w:val="14"/>
                <w:color w:val="auto"/>
              </w:rPr>
              <w:t>year</w:t>
            </w:r>
          </w:p>
        </w:tc>
        <w:tc>
          <w:tcPr>
            <w:tcW w:w="0" w:type="dxa"/>
            <w:vAlign w:val="bottom"/>
          </w:tcPr>
          <w:p>
            <w:pPr>
              <w:spacing w:after="0"/>
              <w:rPr>
                <w:sz w:val="1"/>
                <w:szCs w:val="1"/>
                <w:color w:val="auto"/>
              </w:rPr>
            </w:pPr>
          </w:p>
        </w:tc>
      </w:tr>
      <w:tr>
        <w:trPr>
          <w:trHeight w:val="91"/>
        </w:trPr>
        <w:tc>
          <w:tcPr>
            <w:tcW w:w="1660" w:type="dxa"/>
            <w:vAlign w:val="bottom"/>
            <w:tcBorders>
              <w:right w:val="single" w:sz="8" w:color="A8BCBF"/>
            </w:tcBorders>
          </w:tcPr>
          <w:p>
            <w:pPr>
              <w:spacing w:after="0"/>
              <w:rPr>
                <w:sz w:val="7"/>
                <w:szCs w:val="7"/>
                <w:color w:val="auto"/>
              </w:rPr>
            </w:pPr>
          </w:p>
        </w:tc>
        <w:tc>
          <w:tcPr>
            <w:tcW w:w="1920" w:type="dxa"/>
            <w:vAlign w:val="bottom"/>
            <w:tcBorders>
              <w:right w:val="single" w:sz="8" w:color="A8BCBF"/>
            </w:tcBorders>
          </w:tcPr>
          <w:p>
            <w:pPr>
              <w:spacing w:after="0"/>
              <w:rPr>
                <w:sz w:val="7"/>
                <w:szCs w:val="7"/>
                <w:color w:val="auto"/>
              </w:rPr>
            </w:pPr>
          </w:p>
        </w:tc>
        <w:tc>
          <w:tcPr>
            <w:tcW w:w="680" w:type="dxa"/>
            <w:vAlign w:val="bottom"/>
            <w:tcBorders>
              <w:right w:val="single" w:sz="8" w:color="A8BCBF"/>
            </w:tcBorders>
          </w:tcPr>
          <w:p>
            <w:pPr>
              <w:spacing w:after="0"/>
              <w:rPr>
                <w:sz w:val="7"/>
                <w:szCs w:val="7"/>
                <w:color w:val="auto"/>
              </w:rPr>
            </w:pPr>
          </w:p>
        </w:tc>
        <w:tc>
          <w:tcPr>
            <w:tcW w:w="3380" w:type="dxa"/>
            <w:vAlign w:val="bottom"/>
            <w:tcBorders>
              <w:right w:val="single" w:sz="8" w:color="A8BCBF"/>
            </w:tcBorders>
            <w:vMerge w:val="restart"/>
          </w:tcPr>
          <w:p>
            <w:pPr>
              <w:ind w:left="120"/>
              <w:spacing w:after="0"/>
              <w:rPr>
                <w:sz w:val="20"/>
                <w:szCs w:val="20"/>
                <w:color w:val="auto"/>
              </w:rPr>
            </w:pPr>
            <w:r>
              <w:rPr>
                <w:rFonts w:ascii="Arial" w:cs="Arial" w:eastAsia="Arial" w:hAnsi="Arial"/>
                <w:sz w:val="14"/>
                <w:szCs w:val="14"/>
                <w:color w:val="auto"/>
              </w:rPr>
              <w:t>subject to NEO holding requirements, further</w:t>
            </w: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1660" w:type="dxa"/>
            <w:vAlign w:val="bottom"/>
            <w:tcBorders>
              <w:right w:val="single" w:sz="8" w:color="A8BCBF"/>
            </w:tcBorders>
          </w:tcPr>
          <w:p>
            <w:pPr>
              <w:spacing w:after="0"/>
              <w:rPr>
                <w:sz w:val="6"/>
                <w:szCs w:val="6"/>
                <w:color w:val="auto"/>
              </w:rPr>
            </w:pPr>
          </w:p>
        </w:tc>
        <w:tc>
          <w:tcPr>
            <w:tcW w:w="1920" w:type="dxa"/>
            <w:vAlign w:val="bottom"/>
            <w:tcBorders>
              <w:right w:val="single" w:sz="8" w:color="A8BCBF"/>
            </w:tcBorders>
          </w:tcPr>
          <w:p>
            <w:pPr>
              <w:spacing w:after="0"/>
              <w:rPr>
                <w:sz w:val="6"/>
                <w:szCs w:val="6"/>
                <w:color w:val="auto"/>
              </w:rPr>
            </w:pPr>
          </w:p>
        </w:tc>
        <w:tc>
          <w:tcPr>
            <w:tcW w:w="680" w:type="dxa"/>
            <w:vAlign w:val="bottom"/>
            <w:tcBorders>
              <w:right w:val="single" w:sz="8" w:color="A8BCBF"/>
            </w:tcBorders>
          </w:tcPr>
          <w:p>
            <w:pPr>
              <w:spacing w:after="0"/>
              <w:rPr>
                <w:sz w:val="6"/>
                <w:szCs w:val="6"/>
                <w:color w:val="auto"/>
              </w:rPr>
            </w:pPr>
          </w:p>
        </w:tc>
        <w:tc>
          <w:tcPr>
            <w:tcW w:w="3380" w:type="dxa"/>
            <w:vAlign w:val="bottom"/>
            <w:tcBorders>
              <w:right w:val="single" w:sz="8" w:color="A8BCBF"/>
            </w:tcBorders>
            <w:vMerge w:val="continue"/>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1660" w:type="dxa"/>
            <w:vAlign w:val="bottom"/>
            <w:tcBorders>
              <w:right w:val="single" w:sz="8" w:color="A8BCBF"/>
            </w:tcBorders>
          </w:tcPr>
          <w:p>
            <w:pPr>
              <w:spacing w:after="0"/>
              <w:rPr>
                <w:sz w:val="14"/>
                <w:szCs w:val="14"/>
                <w:color w:val="auto"/>
              </w:rPr>
            </w:pPr>
          </w:p>
        </w:tc>
        <w:tc>
          <w:tcPr>
            <w:tcW w:w="1920" w:type="dxa"/>
            <w:vAlign w:val="bottom"/>
            <w:tcBorders>
              <w:right w:val="single" w:sz="8" w:color="A8BCBF"/>
            </w:tcBorders>
          </w:tcPr>
          <w:p>
            <w:pPr>
              <w:spacing w:after="0"/>
              <w:rPr>
                <w:sz w:val="14"/>
                <w:szCs w:val="14"/>
                <w:color w:val="auto"/>
              </w:rPr>
            </w:pPr>
          </w:p>
        </w:tc>
        <w:tc>
          <w:tcPr>
            <w:tcW w:w="680" w:type="dxa"/>
            <w:vAlign w:val="bottom"/>
            <w:tcBorders>
              <w:right w:val="single" w:sz="8" w:color="A8BCBF"/>
            </w:tcBorders>
          </w:tcPr>
          <w:p>
            <w:pPr>
              <w:spacing w:after="0"/>
              <w:rPr>
                <w:sz w:val="14"/>
                <w:szCs w:val="14"/>
                <w:color w:val="auto"/>
              </w:rPr>
            </w:pPr>
          </w:p>
        </w:tc>
        <w:tc>
          <w:tcPr>
            <w:tcW w:w="3380" w:type="dxa"/>
            <w:vAlign w:val="bottom"/>
            <w:tcBorders>
              <w:right w:val="single" w:sz="8" w:color="A8BCBF"/>
            </w:tcBorders>
          </w:tcPr>
          <w:p>
            <w:pPr>
              <w:ind w:left="120"/>
              <w:spacing w:after="0"/>
              <w:rPr>
                <w:sz w:val="20"/>
                <w:szCs w:val="20"/>
                <w:color w:val="auto"/>
              </w:rPr>
            </w:pPr>
            <w:r>
              <w:rPr>
                <w:rFonts w:ascii="Arial" w:cs="Arial" w:eastAsia="Arial" w:hAnsi="Arial"/>
                <w:sz w:val="14"/>
                <w:szCs w:val="14"/>
                <w:color w:val="auto"/>
              </w:rPr>
              <w:t>aligning executive and long-term shareholder</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660" w:type="dxa"/>
            <w:vAlign w:val="bottom"/>
            <w:tcBorders>
              <w:right w:val="single" w:sz="8" w:color="A8BCBF"/>
            </w:tcBorders>
          </w:tcPr>
          <w:p>
            <w:pPr>
              <w:spacing w:after="0"/>
              <w:rPr>
                <w:sz w:val="14"/>
                <w:szCs w:val="14"/>
                <w:color w:val="auto"/>
              </w:rPr>
            </w:pPr>
          </w:p>
        </w:tc>
        <w:tc>
          <w:tcPr>
            <w:tcW w:w="1920" w:type="dxa"/>
            <w:vAlign w:val="bottom"/>
            <w:tcBorders>
              <w:right w:val="single" w:sz="8" w:color="A8BCBF"/>
            </w:tcBorders>
          </w:tcPr>
          <w:p>
            <w:pPr>
              <w:spacing w:after="0"/>
              <w:rPr>
                <w:sz w:val="14"/>
                <w:szCs w:val="14"/>
                <w:color w:val="auto"/>
              </w:rPr>
            </w:pPr>
          </w:p>
        </w:tc>
        <w:tc>
          <w:tcPr>
            <w:tcW w:w="680" w:type="dxa"/>
            <w:vAlign w:val="bottom"/>
            <w:tcBorders>
              <w:right w:val="single" w:sz="8" w:color="A8BCBF"/>
            </w:tcBorders>
          </w:tcPr>
          <w:p>
            <w:pPr>
              <w:spacing w:after="0"/>
              <w:rPr>
                <w:sz w:val="14"/>
                <w:szCs w:val="14"/>
                <w:color w:val="auto"/>
              </w:rPr>
            </w:pPr>
          </w:p>
        </w:tc>
        <w:tc>
          <w:tcPr>
            <w:tcW w:w="3380" w:type="dxa"/>
            <w:vAlign w:val="bottom"/>
            <w:tcBorders>
              <w:right w:val="single" w:sz="8" w:color="A8BCBF"/>
            </w:tcBorders>
          </w:tcPr>
          <w:p>
            <w:pPr>
              <w:ind w:left="120"/>
              <w:spacing w:after="0"/>
              <w:rPr>
                <w:sz w:val="20"/>
                <w:szCs w:val="20"/>
                <w:color w:val="auto"/>
              </w:rPr>
            </w:pPr>
            <w:r>
              <w:rPr>
                <w:rFonts w:ascii="Arial" w:cs="Arial" w:eastAsia="Arial" w:hAnsi="Arial"/>
                <w:sz w:val="14"/>
                <w:szCs w:val="14"/>
                <w:color w:val="auto"/>
              </w:rPr>
              <w:t>interests</w:t>
            </w:r>
          </w:p>
        </w:tc>
        <w:tc>
          <w:tcPr>
            <w:tcW w:w="3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1660" w:type="dxa"/>
            <w:vAlign w:val="bottom"/>
            <w:tcBorders>
              <w:right w:val="single" w:sz="8" w:color="A8BCBF"/>
            </w:tcBorders>
          </w:tcPr>
          <w:p>
            <w:pPr>
              <w:spacing w:after="0"/>
              <w:rPr>
                <w:sz w:val="6"/>
                <w:szCs w:val="6"/>
                <w:color w:val="auto"/>
              </w:rPr>
            </w:pPr>
          </w:p>
        </w:tc>
        <w:tc>
          <w:tcPr>
            <w:tcW w:w="1920" w:type="dxa"/>
            <w:vAlign w:val="bottom"/>
            <w:tcBorders>
              <w:right w:val="single" w:sz="8" w:color="A8BCBF"/>
            </w:tcBorders>
          </w:tcPr>
          <w:p>
            <w:pPr>
              <w:spacing w:after="0"/>
              <w:rPr>
                <w:sz w:val="6"/>
                <w:szCs w:val="6"/>
                <w:color w:val="auto"/>
              </w:rPr>
            </w:pPr>
          </w:p>
        </w:tc>
        <w:tc>
          <w:tcPr>
            <w:tcW w:w="680" w:type="dxa"/>
            <w:vAlign w:val="bottom"/>
            <w:tcBorders>
              <w:right w:val="single" w:sz="8" w:color="A8BCBF"/>
            </w:tcBorders>
          </w:tcPr>
          <w:p>
            <w:pPr>
              <w:spacing w:after="0"/>
              <w:rPr>
                <w:sz w:val="6"/>
                <w:szCs w:val="6"/>
                <w:color w:val="auto"/>
              </w:rPr>
            </w:pPr>
          </w:p>
        </w:tc>
        <w:tc>
          <w:tcPr>
            <w:tcW w:w="3380" w:type="dxa"/>
            <w:vAlign w:val="bottom"/>
            <w:tcBorders>
              <w:right w:val="single" w:sz="8" w:color="A8BCBF"/>
            </w:tcBorders>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60" w:type="dxa"/>
            <w:vAlign w:val="bottom"/>
            <w:tcBorders>
              <w:right w:val="single" w:sz="8" w:color="A8BCBF"/>
            </w:tcBorders>
            <w:shd w:val="clear" w:color="auto" w:fill="EAEAE5"/>
          </w:tcPr>
          <w:p>
            <w:pPr>
              <w:ind w:left="60"/>
              <w:spacing w:after="0"/>
              <w:rPr>
                <w:sz w:val="20"/>
                <w:szCs w:val="20"/>
                <w:color w:val="auto"/>
              </w:rPr>
            </w:pPr>
            <w:r>
              <w:rPr>
                <w:rFonts w:ascii="Arial" w:cs="Arial" w:eastAsia="Arial" w:hAnsi="Arial"/>
                <w:sz w:val="14"/>
                <w:szCs w:val="14"/>
                <w:color w:val="auto"/>
              </w:rPr>
              <w:t>Long-term incentives:</w:t>
            </w:r>
          </w:p>
        </w:tc>
        <w:tc>
          <w:tcPr>
            <w:tcW w:w="1920" w:type="dxa"/>
            <w:vAlign w:val="bottom"/>
            <w:tcBorders>
              <w:right w:val="single" w:sz="8" w:color="A8BCBF"/>
            </w:tcBorders>
            <w:shd w:val="clear" w:color="auto" w:fill="EAEAE5"/>
          </w:tcPr>
          <w:p>
            <w:pPr>
              <w:jc w:val="center"/>
              <w:spacing w:after="0"/>
              <w:rPr>
                <w:sz w:val="20"/>
                <w:szCs w:val="20"/>
                <w:color w:val="auto"/>
              </w:rPr>
            </w:pPr>
            <w:r>
              <w:rPr>
                <w:rFonts w:ascii="Arial" w:cs="Arial" w:eastAsia="Arial" w:hAnsi="Arial"/>
                <w:sz w:val="14"/>
                <w:szCs w:val="14"/>
                <w:color w:val="auto"/>
                <w:w w:val="99"/>
              </w:rPr>
              <w:t>46%</w:t>
            </w:r>
          </w:p>
        </w:tc>
        <w:tc>
          <w:tcPr>
            <w:tcW w:w="680" w:type="dxa"/>
            <w:vAlign w:val="bottom"/>
            <w:tcBorders>
              <w:right w:val="single" w:sz="8" w:color="A8BCBF"/>
            </w:tcBorders>
            <w:shd w:val="clear" w:color="auto" w:fill="EAEAE5"/>
          </w:tcPr>
          <w:p>
            <w:pPr>
              <w:jc w:val="center"/>
              <w:spacing w:after="0"/>
              <w:rPr>
                <w:sz w:val="20"/>
                <w:szCs w:val="20"/>
                <w:color w:val="auto"/>
              </w:rPr>
            </w:pPr>
            <w:r>
              <w:rPr>
                <w:rFonts w:ascii="Arial" w:cs="Arial" w:eastAsia="Arial" w:hAnsi="Arial"/>
                <w:sz w:val="14"/>
                <w:szCs w:val="14"/>
                <w:color w:val="auto"/>
                <w:w w:val="99"/>
              </w:rPr>
              <w:t>Yes</w:t>
            </w:r>
          </w:p>
        </w:tc>
        <w:tc>
          <w:tcPr>
            <w:tcW w:w="3380" w:type="dxa"/>
            <w:vAlign w:val="bottom"/>
            <w:tcBorders>
              <w:right w:val="single" w:sz="8" w:color="A8BCBF"/>
            </w:tcBorders>
            <w:shd w:val="clear" w:color="auto" w:fill="EAEAE5"/>
          </w:tcPr>
          <w:p>
            <w:pPr>
              <w:ind w:left="120"/>
              <w:spacing w:after="0"/>
              <w:rPr>
                <w:sz w:val="20"/>
                <w:szCs w:val="20"/>
                <w:color w:val="auto"/>
              </w:rPr>
            </w:pPr>
            <w:r>
              <w:rPr>
                <w:rFonts w:ascii="Arial" w:cs="Arial" w:eastAsia="Arial" w:hAnsi="Arial"/>
                <w:sz w:val="14"/>
                <w:szCs w:val="14"/>
                <w:color w:val="auto"/>
              </w:rPr>
              <w:t>Performance-based stock vest solely based on</w:t>
            </w:r>
          </w:p>
        </w:tc>
        <w:tc>
          <w:tcPr>
            <w:tcW w:w="3380" w:type="dxa"/>
            <w:vAlign w:val="bottom"/>
            <w:shd w:val="clear" w:color="auto" w:fill="EAEAE5"/>
          </w:tcPr>
          <w:p>
            <w:pPr>
              <w:ind w:left="140"/>
              <w:spacing w:after="0"/>
              <w:rPr>
                <w:sz w:val="20"/>
                <w:szCs w:val="20"/>
                <w:color w:val="auto"/>
              </w:rPr>
            </w:pPr>
            <w:r>
              <w:rPr>
                <w:rFonts w:ascii="Arial" w:cs="Arial" w:eastAsia="Arial" w:hAnsi="Arial"/>
                <w:sz w:val="14"/>
                <w:szCs w:val="14"/>
                <w:color w:val="auto"/>
              </w:rPr>
              <w:t>Performance-based restricted stock linked to the</w:t>
            </w:r>
          </w:p>
        </w:tc>
        <w:tc>
          <w:tcPr>
            <w:tcW w:w="0" w:type="dxa"/>
            <w:vAlign w:val="bottom"/>
          </w:tcPr>
          <w:p>
            <w:pPr>
              <w:spacing w:after="0"/>
              <w:rPr>
                <w:sz w:val="1"/>
                <w:szCs w:val="1"/>
                <w:color w:val="auto"/>
              </w:rPr>
            </w:pPr>
          </w:p>
        </w:tc>
      </w:tr>
      <w:tr>
        <w:trPr>
          <w:trHeight w:val="162"/>
        </w:trPr>
        <w:tc>
          <w:tcPr>
            <w:tcW w:w="1660" w:type="dxa"/>
            <w:vAlign w:val="bottom"/>
            <w:tcBorders>
              <w:right w:val="single" w:sz="8" w:color="A8BCBF"/>
            </w:tcBorders>
            <w:shd w:val="clear" w:color="auto" w:fill="EAEAE5"/>
          </w:tcPr>
          <w:p>
            <w:pPr>
              <w:ind w:left="60"/>
              <w:spacing w:after="0"/>
              <w:rPr>
                <w:sz w:val="20"/>
                <w:szCs w:val="20"/>
                <w:color w:val="auto"/>
              </w:rPr>
            </w:pPr>
            <w:r>
              <w:rPr>
                <w:rFonts w:ascii="Arial" w:cs="Arial" w:eastAsia="Arial" w:hAnsi="Arial"/>
                <w:sz w:val="14"/>
                <w:szCs w:val="14"/>
                <w:color w:val="auto"/>
              </w:rPr>
              <w:t>Performance-based</w:t>
            </w:r>
          </w:p>
        </w:tc>
        <w:tc>
          <w:tcPr>
            <w:tcW w:w="1920" w:type="dxa"/>
            <w:vAlign w:val="bottom"/>
            <w:tcBorders>
              <w:right w:val="single" w:sz="8" w:color="A8BCBF"/>
            </w:tcBorders>
            <w:shd w:val="clear" w:color="auto" w:fill="EAEAE5"/>
          </w:tcPr>
          <w:p>
            <w:pPr>
              <w:spacing w:after="0"/>
              <w:rPr>
                <w:sz w:val="14"/>
                <w:szCs w:val="14"/>
                <w:color w:val="auto"/>
              </w:rPr>
            </w:pPr>
          </w:p>
        </w:tc>
        <w:tc>
          <w:tcPr>
            <w:tcW w:w="680" w:type="dxa"/>
            <w:vAlign w:val="bottom"/>
            <w:tcBorders>
              <w:right w:val="single" w:sz="8" w:color="A8BCBF"/>
            </w:tcBorders>
            <w:shd w:val="clear" w:color="auto" w:fill="EAEAE5"/>
          </w:tcPr>
          <w:p>
            <w:pPr>
              <w:spacing w:after="0"/>
              <w:rPr>
                <w:sz w:val="14"/>
                <w:szCs w:val="14"/>
                <w:color w:val="auto"/>
              </w:rPr>
            </w:pPr>
          </w:p>
        </w:tc>
        <w:tc>
          <w:tcPr>
            <w:tcW w:w="3380" w:type="dxa"/>
            <w:vAlign w:val="bottom"/>
            <w:tcBorders>
              <w:right w:val="single" w:sz="8" w:color="A8BCBF"/>
            </w:tcBorders>
            <w:shd w:val="clear" w:color="auto" w:fill="EAEAE5"/>
          </w:tcPr>
          <w:p>
            <w:pPr>
              <w:ind w:left="120"/>
              <w:spacing w:after="0"/>
              <w:rPr>
                <w:sz w:val="20"/>
                <w:szCs w:val="20"/>
                <w:color w:val="auto"/>
              </w:rPr>
            </w:pPr>
            <w:r>
              <w:rPr>
                <w:rFonts w:ascii="Arial" w:cs="Arial" w:eastAsia="Arial" w:hAnsi="Arial"/>
                <w:sz w:val="14"/>
                <w:szCs w:val="14"/>
                <w:color w:val="auto"/>
              </w:rPr>
              <w:t>company performance on preset goals over a</w:t>
            </w:r>
          </w:p>
        </w:tc>
        <w:tc>
          <w:tcPr>
            <w:tcW w:w="3380" w:type="dxa"/>
            <w:vAlign w:val="bottom"/>
            <w:shd w:val="clear" w:color="auto" w:fill="EAEAE5"/>
          </w:tcPr>
          <w:p>
            <w:pPr>
              <w:ind w:left="140"/>
              <w:spacing w:after="0"/>
              <w:rPr>
                <w:sz w:val="20"/>
                <w:szCs w:val="20"/>
                <w:color w:val="auto"/>
              </w:rPr>
            </w:pPr>
            <w:r>
              <w:rPr>
                <w:rFonts w:ascii="Arial" w:cs="Arial" w:eastAsia="Arial" w:hAnsi="Arial"/>
                <w:sz w:val="14"/>
                <w:szCs w:val="14"/>
                <w:color w:val="auto"/>
              </w:rPr>
              <w:t>achievement of “fair share” metrics</w:t>
            </w:r>
          </w:p>
        </w:tc>
        <w:tc>
          <w:tcPr>
            <w:tcW w:w="0" w:type="dxa"/>
            <w:vAlign w:val="bottom"/>
          </w:tcPr>
          <w:p>
            <w:pPr>
              <w:spacing w:after="0"/>
              <w:rPr>
                <w:sz w:val="1"/>
                <w:szCs w:val="1"/>
                <w:color w:val="auto"/>
              </w:rPr>
            </w:pPr>
          </w:p>
        </w:tc>
      </w:tr>
      <w:tr>
        <w:trPr>
          <w:trHeight w:val="162"/>
        </w:trPr>
        <w:tc>
          <w:tcPr>
            <w:tcW w:w="1660" w:type="dxa"/>
            <w:vAlign w:val="bottom"/>
            <w:tcBorders>
              <w:right w:val="single" w:sz="8" w:color="A8BCBF"/>
            </w:tcBorders>
            <w:shd w:val="clear" w:color="auto" w:fill="EAEAE5"/>
          </w:tcPr>
          <w:p>
            <w:pPr>
              <w:ind w:left="60"/>
              <w:spacing w:after="0"/>
              <w:rPr>
                <w:sz w:val="20"/>
                <w:szCs w:val="20"/>
                <w:color w:val="auto"/>
              </w:rPr>
            </w:pPr>
            <w:r>
              <w:rPr>
                <w:rFonts w:ascii="Arial" w:cs="Arial" w:eastAsia="Arial" w:hAnsi="Arial"/>
                <w:sz w:val="14"/>
                <w:szCs w:val="14"/>
                <w:color w:val="auto"/>
              </w:rPr>
              <w:t>restricted stock and</w:t>
            </w:r>
          </w:p>
        </w:tc>
        <w:tc>
          <w:tcPr>
            <w:tcW w:w="1920" w:type="dxa"/>
            <w:vAlign w:val="bottom"/>
            <w:tcBorders>
              <w:right w:val="single" w:sz="8" w:color="A8BCBF"/>
            </w:tcBorders>
            <w:shd w:val="clear" w:color="auto" w:fill="EAEAE5"/>
          </w:tcPr>
          <w:p>
            <w:pPr>
              <w:spacing w:after="0"/>
              <w:rPr>
                <w:sz w:val="14"/>
                <w:szCs w:val="14"/>
                <w:color w:val="auto"/>
              </w:rPr>
            </w:pPr>
          </w:p>
        </w:tc>
        <w:tc>
          <w:tcPr>
            <w:tcW w:w="680" w:type="dxa"/>
            <w:vAlign w:val="bottom"/>
            <w:tcBorders>
              <w:right w:val="single" w:sz="8" w:color="A8BCBF"/>
            </w:tcBorders>
            <w:shd w:val="clear" w:color="auto" w:fill="EAEAE5"/>
          </w:tcPr>
          <w:p>
            <w:pPr>
              <w:spacing w:after="0"/>
              <w:rPr>
                <w:sz w:val="14"/>
                <w:szCs w:val="14"/>
                <w:color w:val="auto"/>
              </w:rPr>
            </w:pPr>
          </w:p>
        </w:tc>
        <w:tc>
          <w:tcPr>
            <w:tcW w:w="3380" w:type="dxa"/>
            <w:vAlign w:val="bottom"/>
            <w:tcBorders>
              <w:right w:val="single" w:sz="8" w:color="A8BCBF"/>
            </w:tcBorders>
            <w:shd w:val="clear" w:color="auto" w:fill="EAEAE5"/>
          </w:tcPr>
          <w:p>
            <w:pPr>
              <w:ind w:left="120"/>
              <w:spacing w:after="0"/>
              <w:rPr>
                <w:sz w:val="20"/>
                <w:szCs w:val="20"/>
                <w:color w:val="auto"/>
              </w:rPr>
            </w:pPr>
            <w:r>
              <w:rPr>
                <w:rFonts w:ascii="Arial" w:cs="Arial" w:eastAsia="Arial" w:hAnsi="Arial"/>
                <w:sz w:val="14"/>
                <w:szCs w:val="14"/>
                <w:color w:val="auto"/>
              </w:rPr>
              <w:t>three-year performance period, linking the</w:t>
            </w:r>
          </w:p>
        </w:tc>
        <w:tc>
          <w:tcPr>
            <w:tcW w:w="3380" w:type="dxa"/>
            <w:vAlign w:val="bottom"/>
            <w:vMerge w:val="restart"/>
            <w:shd w:val="clear" w:color="auto" w:fill="EAEAE5"/>
          </w:tcPr>
          <w:p>
            <w:pPr>
              <w:ind w:left="140"/>
              <w:spacing w:after="0"/>
              <w:rPr>
                <w:sz w:val="20"/>
                <w:szCs w:val="20"/>
                <w:color w:val="auto"/>
              </w:rPr>
            </w:pPr>
            <w:r>
              <w:rPr>
                <w:rFonts w:ascii="Arial" w:cs="Arial" w:eastAsia="Arial" w:hAnsi="Arial"/>
                <w:sz w:val="14"/>
                <w:szCs w:val="14"/>
                <w:color w:val="auto"/>
              </w:rPr>
              <w:t>Performance granted with exercise price</w:t>
            </w:r>
          </w:p>
        </w:tc>
        <w:tc>
          <w:tcPr>
            <w:tcW w:w="0" w:type="dxa"/>
            <w:vAlign w:val="bottom"/>
          </w:tcPr>
          <w:p>
            <w:pPr>
              <w:spacing w:after="0"/>
              <w:rPr>
                <w:sz w:val="1"/>
                <w:szCs w:val="1"/>
                <w:color w:val="auto"/>
              </w:rPr>
            </w:pPr>
          </w:p>
        </w:tc>
      </w:tr>
      <w:tr>
        <w:trPr>
          <w:trHeight w:val="81"/>
        </w:trPr>
        <w:tc>
          <w:tcPr>
            <w:tcW w:w="1660" w:type="dxa"/>
            <w:vAlign w:val="bottom"/>
            <w:tcBorders>
              <w:right w:val="single" w:sz="8" w:color="A8BCBF"/>
            </w:tcBorders>
            <w:vMerge w:val="restart"/>
            <w:shd w:val="clear" w:color="auto" w:fill="EAEAE5"/>
          </w:tcPr>
          <w:p>
            <w:pPr>
              <w:ind w:left="60"/>
              <w:spacing w:after="0"/>
              <w:rPr>
                <w:sz w:val="20"/>
                <w:szCs w:val="20"/>
                <w:color w:val="auto"/>
              </w:rPr>
            </w:pPr>
            <w:r>
              <w:rPr>
                <w:rFonts w:ascii="Arial" w:cs="Arial" w:eastAsia="Arial" w:hAnsi="Arial"/>
                <w:sz w:val="14"/>
                <w:szCs w:val="14"/>
                <w:color w:val="auto"/>
              </w:rPr>
              <w:t>premium priced options</w:t>
            </w:r>
          </w:p>
        </w:tc>
        <w:tc>
          <w:tcPr>
            <w:tcW w:w="1920" w:type="dxa"/>
            <w:vAlign w:val="bottom"/>
            <w:tcBorders>
              <w:right w:val="single" w:sz="8" w:color="A8BCBF"/>
            </w:tcBorders>
            <w:shd w:val="clear" w:color="auto" w:fill="EAEAE5"/>
          </w:tcPr>
          <w:p>
            <w:pPr>
              <w:spacing w:after="0"/>
              <w:rPr>
                <w:sz w:val="7"/>
                <w:szCs w:val="7"/>
                <w:color w:val="auto"/>
              </w:rPr>
            </w:pPr>
          </w:p>
        </w:tc>
        <w:tc>
          <w:tcPr>
            <w:tcW w:w="680" w:type="dxa"/>
            <w:vAlign w:val="bottom"/>
            <w:tcBorders>
              <w:right w:val="single" w:sz="8" w:color="A8BCBF"/>
            </w:tcBorders>
            <w:shd w:val="clear" w:color="auto" w:fill="EAEAE5"/>
          </w:tcPr>
          <w:p>
            <w:pPr>
              <w:spacing w:after="0"/>
              <w:rPr>
                <w:sz w:val="7"/>
                <w:szCs w:val="7"/>
                <w:color w:val="auto"/>
              </w:rPr>
            </w:pPr>
          </w:p>
        </w:tc>
        <w:tc>
          <w:tcPr>
            <w:tcW w:w="3380" w:type="dxa"/>
            <w:vAlign w:val="bottom"/>
            <w:tcBorders>
              <w:right w:val="single" w:sz="8" w:color="A8BCBF"/>
            </w:tcBorders>
            <w:vMerge w:val="restart"/>
            <w:shd w:val="clear" w:color="auto" w:fill="EAEAE5"/>
          </w:tcPr>
          <w:p>
            <w:pPr>
              <w:ind w:left="120"/>
              <w:spacing w:after="0"/>
              <w:rPr>
                <w:sz w:val="20"/>
                <w:szCs w:val="20"/>
                <w:color w:val="auto"/>
              </w:rPr>
            </w:pPr>
            <w:r>
              <w:rPr>
                <w:rFonts w:ascii="Arial" w:cs="Arial" w:eastAsia="Arial" w:hAnsi="Arial"/>
                <w:sz w:val="14"/>
                <w:szCs w:val="14"/>
                <w:color w:val="auto"/>
              </w:rPr>
              <w:t>creation of shareholder value to incentives earned</w:t>
            </w:r>
          </w:p>
        </w:tc>
        <w:tc>
          <w:tcPr>
            <w:tcW w:w="3380" w:type="dxa"/>
            <w:vAlign w:val="bottom"/>
            <w:vMerge w:val="continue"/>
            <w:shd w:val="clear" w:color="auto" w:fill="EAEAE5"/>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60" w:type="dxa"/>
            <w:vAlign w:val="bottom"/>
            <w:tcBorders>
              <w:right w:val="single" w:sz="8" w:color="A8BCBF"/>
            </w:tcBorders>
            <w:vMerge w:val="continue"/>
            <w:shd w:val="clear" w:color="auto" w:fill="EAEAE5"/>
          </w:tcPr>
          <w:p>
            <w:pPr>
              <w:spacing w:after="0"/>
              <w:rPr>
                <w:sz w:val="7"/>
                <w:szCs w:val="7"/>
                <w:color w:val="auto"/>
              </w:rPr>
            </w:pPr>
          </w:p>
        </w:tc>
        <w:tc>
          <w:tcPr>
            <w:tcW w:w="1920" w:type="dxa"/>
            <w:vAlign w:val="bottom"/>
            <w:tcBorders>
              <w:right w:val="single" w:sz="8" w:color="A8BCBF"/>
            </w:tcBorders>
            <w:shd w:val="clear" w:color="auto" w:fill="EAEAE5"/>
          </w:tcPr>
          <w:p>
            <w:pPr>
              <w:spacing w:after="0"/>
              <w:rPr>
                <w:sz w:val="7"/>
                <w:szCs w:val="7"/>
                <w:color w:val="auto"/>
              </w:rPr>
            </w:pPr>
          </w:p>
        </w:tc>
        <w:tc>
          <w:tcPr>
            <w:tcW w:w="680" w:type="dxa"/>
            <w:vAlign w:val="bottom"/>
            <w:tcBorders>
              <w:right w:val="single" w:sz="8" w:color="A8BCBF"/>
            </w:tcBorders>
            <w:shd w:val="clear" w:color="auto" w:fill="EAEAE5"/>
          </w:tcPr>
          <w:p>
            <w:pPr>
              <w:spacing w:after="0"/>
              <w:rPr>
                <w:sz w:val="7"/>
                <w:szCs w:val="7"/>
                <w:color w:val="auto"/>
              </w:rPr>
            </w:pPr>
          </w:p>
        </w:tc>
        <w:tc>
          <w:tcPr>
            <w:tcW w:w="3380" w:type="dxa"/>
            <w:vAlign w:val="bottom"/>
            <w:tcBorders>
              <w:right w:val="single" w:sz="8" w:color="A8BCBF"/>
            </w:tcBorders>
            <w:vMerge w:val="continue"/>
            <w:shd w:val="clear" w:color="auto" w:fill="EAEAE5"/>
          </w:tcPr>
          <w:p>
            <w:pPr>
              <w:spacing w:after="0"/>
              <w:rPr>
                <w:sz w:val="7"/>
                <w:szCs w:val="7"/>
                <w:color w:val="auto"/>
              </w:rPr>
            </w:pPr>
          </w:p>
        </w:tc>
        <w:tc>
          <w:tcPr>
            <w:tcW w:w="3380" w:type="dxa"/>
            <w:vAlign w:val="bottom"/>
            <w:vMerge w:val="restart"/>
            <w:shd w:val="clear" w:color="auto" w:fill="EAEAE5"/>
          </w:tcPr>
          <w:p>
            <w:pPr>
              <w:ind w:left="140"/>
              <w:spacing w:after="0"/>
              <w:rPr>
                <w:sz w:val="20"/>
                <w:szCs w:val="20"/>
                <w:color w:val="auto"/>
              </w:rPr>
            </w:pPr>
            <w:r>
              <w:rPr>
                <w:rFonts w:ascii="Arial" w:cs="Arial" w:eastAsia="Arial" w:hAnsi="Arial"/>
                <w:sz w:val="14"/>
                <w:szCs w:val="14"/>
                <w:color w:val="auto"/>
              </w:rPr>
              <w:t>representing a premium greater than 50% of grant</w:t>
            </w:r>
          </w:p>
        </w:tc>
        <w:tc>
          <w:tcPr>
            <w:tcW w:w="0" w:type="dxa"/>
            <w:vAlign w:val="bottom"/>
          </w:tcPr>
          <w:p>
            <w:pPr>
              <w:spacing w:after="0"/>
              <w:rPr>
                <w:sz w:val="1"/>
                <w:szCs w:val="1"/>
                <w:color w:val="auto"/>
              </w:rPr>
            </w:pPr>
          </w:p>
        </w:tc>
      </w:tr>
      <w:tr>
        <w:trPr>
          <w:trHeight w:val="71"/>
        </w:trPr>
        <w:tc>
          <w:tcPr>
            <w:tcW w:w="1660" w:type="dxa"/>
            <w:vAlign w:val="bottom"/>
            <w:tcBorders>
              <w:right w:val="single" w:sz="8" w:color="A8BCBF"/>
            </w:tcBorders>
            <w:shd w:val="clear" w:color="auto" w:fill="EAEAE5"/>
          </w:tcPr>
          <w:p>
            <w:pPr>
              <w:spacing w:after="0"/>
              <w:rPr>
                <w:sz w:val="6"/>
                <w:szCs w:val="6"/>
                <w:color w:val="auto"/>
              </w:rPr>
            </w:pPr>
          </w:p>
        </w:tc>
        <w:tc>
          <w:tcPr>
            <w:tcW w:w="1920" w:type="dxa"/>
            <w:vAlign w:val="bottom"/>
            <w:tcBorders>
              <w:right w:val="single" w:sz="8" w:color="A8BCBF"/>
            </w:tcBorders>
            <w:shd w:val="clear" w:color="auto" w:fill="EAEAE5"/>
          </w:tcPr>
          <w:p>
            <w:pPr>
              <w:spacing w:after="0"/>
              <w:rPr>
                <w:sz w:val="6"/>
                <w:szCs w:val="6"/>
                <w:color w:val="auto"/>
              </w:rPr>
            </w:pPr>
          </w:p>
        </w:tc>
        <w:tc>
          <w:tcPr>
            <w:tcW w:w="680" w:type="dxa"/>
            <w:vAlign w:val="bottom"/>
            <w:tcBorders>
              <w:right w:val="single" w:sz="8" w:color="A8BCBF"/>
            </w:tcBorders>
            <w:shd w:val="clear" w:color="auto" w:fill="EAEAE5"/>
          </w:tcPr>
          <w:p>
            <w:pPr>
              <w:spacing w:after="0"/>
              <w:rPr>
                <w:sz w:val="6"/>
                <w:szCs w:val="6"/>
                <w:color w:val="auto"/>
              </w:rPr>
            </w:pPr>
          </w:p>
        </w:tc>
        <w:tc>
          <w:tcPr>
            <w:tcW w:w="3380" w:type="dxa"/>
            <w:vAlign w:val="bottom"/>
            <w:tcBorders>
              <w:right w:val="single" w:sz="8" w:color="A8BCBF"/>
            </w:tcBorders>
            <w:shd w:val="clear" w:color="auto" w:fill="EAEAE5"/>
          </w:tcPr>
          <w:p>
            <w:pPr>
              <w:spacing w:after="0"/>
              <w:rPr>
                <w:sz w:val="6"/>
                <w:szCs w:val="6"/>
                <w:color w:val="auto"/>
              </w:rPr>
            </w:pPr>
          </w:p>
        </w:tc>
        <w:tc>
          <w:tcPr>
            <w:tcW w:w="3380" w:type="dxa"/>
            <w:vAlign w:val="bottom"/>
            <w:vMerge w:val="continue"/>
            <w:shd w:val="clear" w:color="auto" w:fill="EAEAE5"/>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1660" w:type="dxa"/>
            <w:vAlign w:val="bottom"/>
            <w:tcBorders>
              <w:right w:val="single" w:sz="8" w:color="A8BCBF"/>
            </w:tcBorders>
            <w:shd w:val="clear" w:color="auto" w:fill="EAEAE5"/>
          </w:tcPr>
          <w:p>
            <w:pPr>
              <w:spacing w:after="0"/>
              <w:rPr>
                <w:sz w:val="14"/>
                <w:szCs w:val="14"/>
                <w:color w:val="auto"/>
              </w:rPr>
            </w:pPr>
          </w:p>
        </w:tc>
        <w:tc>
          <w:tcPr>
            <w:tcW w:w="1920" w:type="dxa"/>
            <w:vAlign w:val="bottom"/>
            <w:tcBorders>
              <w:right w:val="single" w:sz="8" w:color="A8BCBF"/>
            </w:tcBorders>
            <w:shd w:val="clear" w:color="auto" w:fill="EAEAE5"/>
          </w:tcPr>
          <w:p>
            <w:pPr>
              <w:spacing w:after="0"/>
              <w:rPr>
                <w:sz w:val="14"/>
                <w:szCs w:val="14"/>
                <w:color w:val="auto"/>
              </w:rPr>
            </w:pPr>
          </w:p>
        </w:tc>
        <w:tc>
          <w:tcPr>
            <w:tcW w:w="680" w:type="dxa"/>
            <w:vAlign w:val="bottom"/>
            <w:tcBorders>
              <w:right w:val="single" w:sz="8" w:color="A8BCBF"/>
            </w:tcBorders>
            <w:shd w:val="clear" w:color="auto" w:fill="EAEAE5"/>
          </w:tcPr>
          <w:p>
            <w:pPr>
              <w:spacing w:after="0"/>
              <w:rPr>
                <w:sz w:val="14"/>
                <w:szCs w:val="14"/>
                <w:color w:val="auto"/>
              </w:rPr>
            </w:pPr>
          </w:p>
        </w:tc>
        <w:tc>
          <w:tcPr>
            <w:tcW w:w="3380" w:type="dxa"/>
            <w:vAlign w:val="bottom"/>
            <w:tcBorders>
              <w:right w:val="single" w:sz="8" w:color="A8BCBF"/>
            </w:tcBorders>
            <w:shd w:val="clear" w:color="auto" w:fill="EAEAE5"/>
          </w:tcPr>
          <w:p>
            <w:pPr>
              <w:spacing w:after="0"/>
              <w:rPr>
                <w:sz w:val="14"/>
                <w:szCs w:val="14"/>
                <w:color w:val="auto"/>
              </w:rPr>
            </w:pPr>
          </w:p>
        </w:tc>
        <w:tc>
          <w:tcPr>
            <w:tcW w:w="3380" w:type="dxa"/>
            <w:vAlign w:val="bottom"/>
            <w:shd w:val="clear" w:color="auto" w:fill="EAEAE5"/>
          </w:tcPr>
          <w:p>
            <w:pPr>
              <w:ind w:left="140"/>
              <w:spacing w:after="0"/>
              <w:rPr>
                <w:sz w:val="20"/>
                <w:szCs w:val="20"/>
                <w:color w:val="auto"/>
              </w:rPr>
            </w:pPr>
            <w:r>
              <w:rPr>
                <w:rFonts w:ascii="Arial" w:cs="Arial" w:eastAsia="Arial" w:hAnsi="Arial"/>
                <w:sz w:val="14"/>
                <w:szCs w:val="14"/>
                <w:color w:val="auto"/>
              </w:rPr>
              <w:t>date price</w:t>
            </w:r>
          </w:p>
        </w:tc>
        <w:tc>
          <w:tcPr>
            <w:tcW w:w="0" w:type="dxa"/>
            <w:vAlign w:val="bottom"/>
          </w:tcPr>
          <w:p>
            <w:pPr>
              <w:spacing w:after="0"/>
              <w:rPr>
                <w:sz w:val="1"/>
                <w:szCs w:val="1"/>
                <w:color w:val="auto"/>
              </w:rPr>
            </w:pPr>
          </w:p>
        </w:tc>
      </w:tr>
      <w:tr>
        <w:trPr>
          <w:trHeight w:val="79"/>
        </w:trPr>
        <w:tc>
          <w:tcPr>
            <w:tcW w:w="1660" w:type="dxa"/>
            <w:vAlign w:val="bottom"/>
            <w:tcBorders>
              <w:right w:val="single" w:sz="8" w:color="A8BCBF"/>
            </w:tcBorders>
            <w:shd w:val="clear" w:color="auto" w:fill="EAEAE5"/>
          </w:tcPr>
          <w:p>
            <w:pPr>
              <w:spacing w:after="0"/>
              <w:rPr>
                <w:sz w:val="6"/>
                <w:szCs w:val="6"/>
                <w:color w:val="auto"/>
              </w:rPr>
            </w:pPr>
          </w:p>
        </w:tc>
        <w:tc>
          <w:tcPr>
            <w:tcW w:w="1920" w:type="dxa"/>
            <w:vAlign w:val="bottom"/>
            <w:tcBorders>
              <w:right w:val="single" w:sz="8" w:color="A8BCBF"/>
            </w:tcBorders>
            <w:shd w:val="clear" w:color="auto" w:fill="EAEAE5"/>
          </w:tcPr>
          <w:p>
            <w:pPr>
              <w:spacing w:after="0"/>
              <w:rPr>
                <w:sz w:val="6"/>
                <w:szCs w:val="6"/>
                <w:color w:val="auto"/>
              </w:rPr>
            </w:pPr>
          </w:p>
        </w:tc>
        <w:tc>
          <w:tcPr>
            <w:tcW w:w="680" w:type="dxa"/>
            <w:vAlign w:val="bottom"/>
            <w:tcBorders>
              <w:right w:val="single" w:sz="8" w:color="A8BCBF"/>
            </w:tcBorders>
            <w:shd w:val="clear" w:color="auto" w:fill="EAEAE5"/>
          </w:tcPr>
          <w:p>
            <w:pPr>
              <w:spacing w:after="0"/>
              <w:rPr>
                <w:sz w:val="6"/>
                <w:szCs w:val="6"/>
                <w:color w:val="auto"/>
              </w:rPr>
            </w:pPr>
          </w:p>
        </w:tc>
        <w:tc>
          <w:tcPr>
            <w:tcW w:w="3380" w:type="dxa"/>
            <w:vAlign w:val="bottom"/>
            <w:tcBorders>
              <w:right w:val="single" w:sz="8" w:color="A8BCBF"/>
            </w:tcBorders>
            <w:shd w:val="clear" w:color="auto" w:fill="EAEAE5"/>
          </w:tcPr>
          <w:p>
            <w:pPr>
              <w:spacing w:after="0"/>
              <w:rPr>
                <w:sz w:val="6"/>
                <w:szCs w:val="6"/>
                <w:color w:val="auto"/>
              </w:rPr>
            </w:pPr>
          </w:p>
        </w:tc>
        <w:tc>
          <w:tcPr>
            <w:tcW w:w="3380" w:type="dxa"/>
            <w:vAlign w:val="bottom"/>
            <w:shd w:val="clear" w:color="auto" w:fill="EAEAE5"/>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60" w:type="dxa"/>
            <w:vAlign w:val="bottom"/>
            <w:tcBorders>
              <w:right w:val="single" w:sz="8" w:color="A8BCBF"/>
            </w:tcBorders>
            <w:shd w:val="clear" w:color="auto" w:fill="FCFCF7"/>
          </w:tcPr>
          <w:p>
            <w:pPr>
              <w:ind w:left="60"/>
              <w:spacing w:after="0"/>
              <w:rPr>
                <w:sz w:val="20"/>
                <w:szCs w:val="20"/>
                <w:color w:val="auto"/>
              </w:rPr>
            </w:pPr>
            <w:r>
              <w:rPr>
                <w:rFonts w:ascii="Arial" w:cs="Arial" w:eastAsia="Arial" w:hAnsi="Arial"/>
                <w:sz w:val="14"/>
                <w:szCs w:val="14"/>
                <w:color w:val="auto"/>
              </w:rPr>
              <w:t>Long-term incentives:</w:t>
            </w:r>
          </w:p>
        </w:tc>
        <w:tc>
          <w:tcPr>
            <w:tcW w:w="1920" w:type="dxa"/>
            <w:vAlign w:val="bottom"/>
            <w:tcBorders>
              <w:right w:val="single" w:sz="8" w:color="A8BCBF"/>
            </w:tcBorders>
            <w:shd w:val="clear" w:color="auto" w:fill="FCFCF7"/>
          </w:tcPr>
          <w:p>
            <w:pPr>
              <w:jc w:val="center"/>
              <w:spacing w:after="0"/>
              <w:rPr>
                <w:sz w:val="20"/>
                <w:szCs w:val="20"/>
                <w:color w:val="auto"/>
              </w:rPr>
            </w:pPr>
            <w:r>
              <w:rPr>
                <w:rFonts w:ascii="Arial" w:cs="Arial" w:eastAsia="Arial" w:hAnsi="Arial"/>
                <w:sz w:val="14"/>
                <w:szCs w:val="14"/>
                <w:color w:val="auto"/>
                <w:w w:val="99"/>
              </w:rPr>
              <w:t>28%</w:t>
            </w:r>
          </w:p>
        </w:tc>
        <w:tc>
          <w:tcPr>
            <w:tcW w:w="680" w:type="dxa"/>
            <w:vAlign w:val="bottom"/>
            <w:tcBorders>
              <w:right w:val="single" w:sz="8" w:color="A8BCBF"/>
            </w:tcBorders>
            <w:shd w:val="clear" w:color="auto" w:fill="FCFCF7"/>
          </w:tcPr>
          <w:p>
            <w:pPr>
              <w:jc w:val="center"/>
              <w:spacing w:after="0"/>
              <w:rPr>
                <w:sz w:val="20"/>
                <w:szCs w:val="20"/>
                <w:color w:val="auto"/>
              </w:rPr>
            </w:pPr>
            <w:r>
              <w:rPr>
                <w:rFonts w:ascii="Arial" w:cs="Arial" w:eastAsia="Arial" w:hAnsi="Arial"/>
                <w:sz w:val="14"/>
                <w:szCs w:val="14"/>
                <w:color w:val="auto"/>
                <w:w w:val="99"/>
              </w:rPr>
              <w:t>Yes</w:t>
            </w:r>
          </w:p>
        </w:tc>
        <w:tc>
          <w:tcPr>
            <w:tcW w:w="3380" w:type="dxa"/>
            <w:vAlign w:val="bottom"/>
            <w:tcBorders>
              <w:right w:val="single" w:sz="8" w:color="A8BCBF"/>
            </w:tcBorders>
            <w:shd w:val="clear" w:color="auto" w:fill="FCFCF7"/>
          </w:tcPr>
          <w:p>
            <w:pPr>
              <w:ind w:left="120"/>
              <w:spacing w:after="0"/>
              <w:rPr>
                <w:sz w:val="20"/>
                <w:szCs w:val="20"/>
                <w:color w:val="auto"/>
              </w:rPr>
            </w:pPr>
            <w:r>
              <w:rPr>
                <w:rFonts w:ascii="Arial" w:cs="Arial" w:eastAsia="Arial" w:hAnsi="Arial"/>
                <w:sz w:val="14"/>
                <w:szCs w:val="14"/>
                <w:color w:val="auto"/>
              </w:rPr>
              <w:t>Ensure focus on long-term value creation, align</w:t>
            </w:r>
          </w:p>
        </w:tc>
        <w:tc>
          <w:tcPr>
            <w:tcW w:w="3380" w:type="dxa"/>
            <w:vAlign w:val="bottom"/>
            <w:shd w:val="clear" w:color="auto" w:fill="FCFCF7"/>
          </w:tcPr>
          <w:p>
            <w:pPr>
              <w:ind w:left="140"/>
              <w:spacing w:after="0"/>
              <w:rPr>
                <w:sz w:val="20"/>
                <w:szCs w:val="20"/>
                <w:color w:val="auto"/>
              </w:rPr>
            </w:pPr>
            <w:r>
              <w:rPr>
                <w:rFonts w:ascii="Arial" w:cs="Arial" w:eastAsia="Arial" w:hAnsi="Arial"/>
                <w:sz w:val="14"/>
                <w:szCs w:val="14"/>
                <w:color w:val="auto"/>
              </w:rPr>
              <w:t>Retention, alignment of interests with those of</w:t>
            </w:r>
          </w:p>
        </w:tc>
        <w:tc>
          <w:tcPr>
            <w:tcW w:w="0" w:type="dxa"/>
            <w:vAlign w:val="bottom"/>
          </w:tcPr>
          <w:p>
            <w:pPr>
              <w:spacing w:after="0"/>
              <w:rPr>
                <w:sz w:val="1"/>
                <w:szCs w:val="1"/>
                <w:color w:val="auto"/>
              </w:rPr>
            </w:pPr>
          </w:p>
        </w:tc>
      </w:tr>
      <w:tr>
        <w:trPr>
          <w:trHeight w:val="162"/>
        </w:trPr>
        <w:tc>
          <w:tcPr>
            <w:tcW w:w="1660" w:type="dxa"/>
            <w:vAlign w:val="bottom"/>
            <w:tcBorders>
              <w:right w:val="single" w:sz="8" w:color="A8BCBF"/>
            </w:tcBorders>
            <w:shd w:val="clear" w:color="auto" w:fill="FCFCF7"/>
          </w:tcPr>
          <w:p>
            <w:pPr>
              <w:ind w:left="60"/>
              <w:spacing w:after="0"/>
              <w:rPr>
                <w:sz w:val="20"/>
                <w:szCs w:val="20"/>
                <w:color w:val="auto"/>
              </w:rPr>
            </w:pPr>
            <w:r>
              <w:rPr>
                <w:rFonts w:ascii="Arial" w:cs="Arial" w:eastAsia="Arial" w:hAnsi="Arial"/>
                <w:sz w:val="14"/>
                <w:szCs w:val="14"/>
                <w:color w:val="auto"/>
              </w:rPr>
              <w:t>Time-based restricted</w:t>
            </w:r>
          </w:p>
        </w:tc>
        <w:tc>
          <w:tcPr>
            <w:tcW w:w="1920" w:type="dxa"/>
            <w:vAlign w:val="bottom"/>
            <w:tcBorders>
              <w:right w:val="single" w:sz="8" w:color="A8BCBF"/>
            </w:tcBorders>
            <w:shd w:val="clear" w:color="auto" w:fill="FCFCF7"/>
          </w:tcPr>
          <w:p>
            <w:pPr>
              <w:spacing w:after="0"/>
              <w:rPr>
                <w:sz w:val="14"/>
                <w:szCs w:val="14"/>
                <w:color w:val="auto"/>
              </w:rPr>
            </w:pPr>
          </w:p>
        </w:tc>
        <w:tc>
          <w:tcPr>
            <w:tcW w:w="680" w:type="dxa"/>
            <w:vAlign w:val="bottom"/>
            <w:tcBorders>
              <w:right w:val="single" w:sz="8" w:color="A8BCBF"/>
            </w:tcBorders>
            <w:shd w:val="clear" w:color="auto" w:fill="FCFCF7"/>
          </w:tcPr>
          <w:p>
            <w:pPr>
              <w:spacing w:after="0"/>
              <w:rPr>
                <w:sz w:val="14"/>
                <w:szCs w:val="14"/>
                <w:color w:val="auto"/>
              </w:rPr>
            </w:pPr>
          </w:p>
        </w:tc>
        <w:tc>
          <w:tcPr>
            <w:tcW w:w="3380" w:type="dxa"/>
            <w:vAlign w:val="bottom"/>
            <w:tcBorders>
              <w:right w:val="single" w:sz="8" w:color="A8BCBF"/>
            </w:tcBorders>
            <w:shd w:val="clear" w:color="auto" w:fill="FCFCF7"/>
          </w:tcPr>
          <w:p>
            <w:pPr>
              <w:ind w:left="120"/>
              <w:spacing w:after="0"/>
              <w:rPr>
                <w:sz w:val="20"/>
                <w:szCs w:val="20"/>
                <w:color w:val="auto"/>
              </w:rPr>
            </w:pPr>
            <w:r>
              <w:rPr>
                <w:rFonts w:ascii="Arial" w:cs="Arial" w:eastAsia="Arial" w:hAnsi="Arial"/>
                <w:sz w:val="14"/>
                <w:szCs w:val="14"/>
                <w:color w:val="auto"/>
              </w:rPr>
              <w:t>executive and long-term shareholder interests,</w:t>
            </w:r>
          </w:p>
        </w:tc>
        <w:tc>
          <w:tcPr>
            <w:tcW w:w="3380" w:type="dxa"/>
            <w:vAlign w:val="bottom"/>
            <w:shd w:val="clear" w:color="auto" w:fill="FCFCF7"/>
          </w:tcPr>
          <w:p>
            <w:pPr>
              <w:ind w:left="140"/>
              <w:spacing w:after="0"/>
              <w:rPr>
                <w:sz w:val="20"/>
                <w:szCs w:val="20"/>
                <w:color w:val="auto"/>
              </w:rPr>
            </w:pPr>
            <w:r>
              <w:rPr>
                <w:rFonts w:ascii="Arial" w:cs="Arial" w:eastAsia="Arial" w:hAnsi="Arial"/>
                <w:sz w:val="14"/>
                <w:szCs w:val="14"/>
                <w:color w:val="auto"/>
              </w:rPr>
              <w:t>long-term shareholders and includes restricted</w:t>
            </w:r>
          </w:p>
        </w:tc>
        <w:tc>
          <w:tcPr>
            <w:tcW w:w="0" w:type="dxa"/>
            <w:vAlign w:val="bottom"/>
          </w:tcPr>
          <w:p>
            <w:pPr>
              <w:spacing w:after="0"/>
              <w:rPr>
                <w:sz w:val="1"/>
                <w:szCs w:val="1"/>
                <w:color w:val="auto"/>
              </w:rPr>
            </w:pPr>
          </w:p>
        </w:tc>
      </w:tr>
      <w:tr>
        <w:trPr>
          <w:trHeight w:val="172"/>
        </w:trPr>
        <w:tc>
          <w:tcPr>
            <w:tcW w:w="1660" w:type="dxa"/>
            <w:vAlign w:val="bottom"/>
            <w:tcBorders>
              <w:right w:val="single" w:sz="8" w:color="A8BCBF"/>
            </w:tcBorders>
            <w:shd w:val="clear" w:color="auto" w:fill="FCFCF7"/>
          </w:tcPr>
          <w:p>
            <w:pPr>
              <w:ind w:left="60"/>
              <w:spacing w:after="0"/>
              <w:rPr>
                <w:sz w:val="20"/>
                <w:szCs w:val="20"/>
                <w:color w:val="auto"/>
              </w:rPr>
            </w:pPr>
            <w:r>
              <w:rPr>
                <w:rFonts w:ascii="Arial" w:cs="Arial" w:eastAsia="Arial" w:hAnsi="Arial"/>
                <w:sz w:val="14"/>
                <w:szCs w:val="14"/>
                <w:color w:val="auto"/>
              </w:rPr>
              <w:t>stock</w:t>
            </w:r>
          </w:p>
        </w:tc>
        <w:tc>
          <w:tcPr>
            <w:tcW w:w="1920" w:type="dxa"/>
            <w:vAlign w:val="bottom"/>
            <w:tcBorders>
              <w:right w:val="single" w:sz="8" w:color="A8BCBF"/>
            </w:tcBorders>
            <w:shd w:val="clear" w:color="auto" w:fill="FCFCF7"/>
          </w:tcPr>
          <w:p>
            <w:pPr>
              <w:spacing w:after="0"/>
              <w:rPr>
                <w:sz w:val="14"/>
                <w:szCs w:val="14"/>
                <w:color w:val="auto"/>
              </w:rPr>
            </w:pPr>
          </w:p>
        </w:tc>
        <w:tc>
          <w:tcPr>
            <w:tcW w:w="680" w:type="dxa"/>
            <w:vAlign w:val="bottom"/>
            <w:tcBorders>
              <w:right w:val="single" w:sz="8" w:color="A8BCBF"/>
            </w:tcBorders>
            <w:shd w:val="clear" w:color="auto" w:fill="FCFCF7"/>
          </w:tcPr>
          <w:p>
            <w:pPr>
              <w:spacing w:after="0"/>
              <w:rPr>
                <w:sz w:val="14"/>
                <w:szCs w:val="14"/>
                <w:color w:val="auto"/>
              </w:rPr>
            </w:pPr>
          </w:p>
        </w:tc>
        <w:tc>
          <w:tcPr>
            <w:tcW w:w="3380" w:type="dxa"/>
            <w:vAlign w:val="bottom"/>
            <w:tcBorders>
              <w:right w:val="single" w:sz="8" w:color="A8BCBF"/>
            </w:tcBorders>
            <w:shd w:val="clear" w:color="auto" w:fill="FCFCF7"/>
          </w:tcPr>
          <w:p>
            <w:pPr>
              <w:ind w:left="120"/>
              <w:spacing w:after="0"/>
              <w:rPr>
                <w:sz w:val="20"/>
                <w:szCs w:val="20"/>
                <w:color w:val="auto"/>
              </w:rPr>
            </w:pPr>
            <w:r>
              <w:rPr>
                <w:rFonts w:ascii="Arial" w:cs="Arial" w:eastAsia="Arial" w:hAnsi="Arial"/>
                <w:sz w:val="14"/>
                <w:szCs w:val="14"/>
                <w:color w:val="auto"/>
              </w:rPr>
              <w:t>and promote retention</w:t>
            </w:r>
          </w:p>
        </w:tc>
        <w:tc>
          <w:tcPr>
            <w:tcW w:w="3380" w:type="dxa"/>
            <w:vAlign w:val="bottom"/>
            <w:shd w:val="clear" w:color="auto" w:fill="FCFCF7"/>
          </w:tcPr>
          <w:p>
            <w:pPr>
              <w:ind w:left="140"/>
              <w:spacing w:after="0"/>
              <w:rPr>
                <w:sz w:val="20"/>
                <w:szCs w:val="20"/>
                <w:color w:val="auto"/>
              </w:rPr>
            </w:pPr>
            <w:r>
              <w:rPr>
                <w:rFonts w:ascii="Arial" w:cs="Arial" w:eastAsia="Arial" w:hAnsi="Arial"/>
                <w:sz w:val="14"/>
                <w:szCs w:val="14"/>
                <w:color w:val="auto"/>
              </w:rPr>
              <w:t>stock received in lieu of cash as noted above</w:t>
            </w:r>
          </w:p>
        </w:tc>
        <w:tc>
          <w:tcPr>
            <w:tcW w:w="0" w:type="dxa"/>
            <w:vAlign w:val="bottom"/>
          </w:tcPr>
          <w:p>
            <w:pPr>
              <w:spacing w:after="0"/>
              <w:rPr>
                <w:sz w:val="1"/>
                <w:szCs w:val="1"/>
                <w:color w:val="auto"/>
              </w:rPr>
            </w:pPr>
          </w:p>
        </w:tc>
      </w:tr>
      <w:tr>
        <w:trPr>
          <w:trHeight w:val="106"/>
        </w:trPr>
        <w:tc>
          <w:tcPr>
            <w:tcW w:w="1660" w:type="dxa"/>
            <w:vAlign w:val="bottom"/>
            <w:tcBorders>
              <w:right w:val="single" w:sz="8" w:color="A8BCBF"/>
            </w:tcBorders>
            <w:shd w:val="clear" w:color="auto" w:fill="FCFCF7"/>
          </w:tcPr>
          <w:p>
            <w:pPr>
              <w:spacing w:after="0"/>
              <w:rPr>
                <w:sz w:val="9"/>
                <w:szCs w:val="9"/>
                <w:color w:val="auto"/>
              </w:rPr>
            </w:pPr>
          </w:p>
        </w:tc>
        <w:tc>
          <w:tcPr>
            <w:tcW w:w="1920" w:type="dxa"/>
            <w:vAlign w:val="bottom"/>
            <w:tcBorders>
              <w:right w:val="single" w:sz="8" w:color="A8BCBF"/>
            </w:tcBorders>
            <w:shd w:val="clear" w:color="auto" w:fill="FCFCF7"/>
          </w:tcPr>
          <w:p>
            <w:pPr>
              <w:spacing w:after="0"/>
              <w:rPr>
                <w:sz w:val="9"/>
                <w:szCs w:val="9"/>
                <w:color w:val="auto"/>
              </w:rPr>
            </w:pPr>
          </w:p>
        </w:tc>
        <w:tc>
          <w:tcPr>
            <w:tcW w:w="680" w:type="dxa"/>
            <w:vAlign w:val="bottom"/>
            <w:tcBorders>
              <w:right w:val="single" w:sz="8" w:color="A8BCBF"/>
            </w:tcBorders>
            <w:shd w:val="clear" w:color="auto" w:fill="FCFCF7"/>
          </w:tcPr>
          <w:p>
            <w:pPr>
              <w:spacing w:after="0"/>
              <w:rPr>
                <w:sz w:val="9"/>
                <w:szCs w:val="9"/>
                <w:color w:val="auto"/>
              </w:rPr>
            </w:pPr>
          </w:p>
        </w:tc>
        <w:tc>
          <w:tcPr>
            <w:tcW w:w="3380" w:type="dxa"/>
            <w:vAlign w:val="bottom"/>
            <w:tcBorders>
              <w:right w:val="single" w:sz="8" w:color="A8BCBF"/>
            </w:tcBorders>
            <w:shd w:val="clear" w:color="auto" w:fill="FCFCF7"/>
          </w:tcPr>
          <w:p>
            <w:pPr>
              <w:spacing w:after="0"/>
              <w:rPr>
                <w:sz w:val="9"/>
                <w:szCs w:val="9"/>
                <w:color w:val="auto"/>
              </w:rPr>
            </w:pPr>
          </w:p>
        </w:tc>
        <w:tc>
          <w:tcPr>
            <w:tcW w:w="3380" w:type="dxa"/>
            <w:vAlign w:val="bottom"/>
            <w:shd w:val="clear" w:color="auto" w:fill="FCFCF7"/>
          </w:tcPr>
          <w:p>
            <w:pPr>
              <w:spacing w:after="0"/>
              <w:rPr>
                <w:sz w:val="9"/>
                <w:szCs w:val="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(1) % of 2020 Total Compensation (Proforma) for CEO Maddox as displayed in immediately prior chart, excluding Other Compensation. Percentages do not add up to 100% because of rounding.</w:t>
      </w:r>
    </w:p>
    <w:p>
      <w:pPr>
        <w:spacing w:after="0" w:line="62" w:lineRule="exact"/>
        <w:rPr>
          <w:sz w:val="20"/>
          <w:szCs w:val="20"/>
          <w:color w:val="auto"/>
        </w:rPr>
      </w:pPr>
    </w:p>
    <w:p>
      <w:pPr>
        <w:ind w:left="800" w:hanging="684"/>
        <w:spacing w:after="0"/>
        <w:tabs>
          <w:tab w:leader="none" w:pos="800" w:val="left"/>
        </w:tabs>
        <w:numPr>
          <w:ilvl w:val="0"/>
          <w:numId w:val="54"/>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27"/>
          <w:szCs w:val="27"/>
          <w:color w:val="604F2B"/>
        </w:rPr>
        <w:t>How we approach executive compensation</w:t>
      </w:r>
    </w:p>
    <w:p>
      <w:pPr>
        <w:spacing w:after="0" w:line="21" w:lineRule="exact"/>
        <w:rPr>
          <w:sz w:val="20"/>
          <w:szCs w:val="20"/>
          <w:color w:val="auto"/>
        </w:rPr>
      </w:pPr>
    </w:p>
    <w:p>
      <w:pPr>
        <w:ind w:left="120" w:right="180"/>
        <w:spacing w:after="0" w:line="246" w:lineRule="auto"/>
        <w:rPr>
          <w:sz w:val="20"/>
          <w:szCs w:val="20"/>
          <w:color w:val="auto"/>
        </w:rPr>
      </w:pPr>
      <w:r>
        <w:rPr>
          <w:rFonts w:ascii="Arial" w:cs="Arial" w:eastAsia="Arial" w:hAnsi="Arial"/>
          <w:sz w:val="18"/>
          <w:szCs w:val="18"/>
          <w:color w:val="auto"/>
        </w:rPr>
        <w:t>Our executive compensation philosophy is to align the interests of executives with those of shareholders by designing incentives that are directly tied to actions which create sustainable long-term shareholder value.</w:t>
      </w:r>
    </w:p>
    <w:p>
      <w:pPr>
        <w:spacing w:after="0" w:line="170" w:lineRule="exact"/>
        <w:rPr>
          <w:sz w:val="20"/>
          <w:szCs w:val="20"/>
          <w:color w:val="auto"/>
        </w:rPr>
      </w:pPr>
    </w:p>
    <w:p>
      <w:pPr>
        <w:ind w:left="120" w:right="420"/>
        <w:spacing w:after="0" w:line="246" w:lineRule="auto"/>
        <w:rPr>
          <w:sz w:val="20"/>
          <w:szCs w:val="20"/>
          <w:color w:val="auto"/>
        </w:rPr>
      </w:pPr>
      <w:r>
        <w:rPr>
          <w:rFonts w:ascii="Arial" w:cs="Arial" w:eastAsia="Arial" w:hAnsi="Arial"/>
          <w:sz w:val="18"/>
          <w:szCs w:val="18"/>
          <w:color w:val="auto"/>
        </w:rPr>
        <w:t>We, the Compensation Committee, believe that our ability to oversee the delivery of operational excellence and sustainable long-term returns to shareholders is inexorably linked to attracting and retaining a high-performing management team.</w:t>
      </w:r>
    </w:p>
    <w:p>
      <w:pPr>
        <w:spacing w:after="0" w:line="156" w:lineRule="exact"/>
        <w:rPr>
          <w:sz w:val="20"/>
          <w:szCs w:val="20"/>
          <w:color w:val="auto"/>
        </w:rPr>
      </w:pPr>
    </w:p>
    <w:p>
      <w:pPr>
        <w:jc w:val="both"/>
        <w:ind w:left="120" w:right="80"/>
        <w:spacing w:after="0" w:line="261" w:lineRule="auto"/>
        <w:rPr>
          <w:sz w:val="20"/>
          <w:szCs w:val="20"/>
          <w:color w:val="auto"/>
        </w:rPr>
      </w:pPr>
      <w:r>
        <w:rPr>
          <w:rFonts w:ascii="Arial" w:cs="Arial" w:eastAsia="Arial" w:hAnsi="Arial"/>
          <w:sz w:val="17"/>
          <w:szCs w:val="17"/>
          <w:color w:val="auto"/>
        </w:rPr>
        <w:t>Hence, the executive compensation program must be designed to attract, reward, and retain executive officers who create continual near-and long-term shareholder value by achieving the Company’s strategic goals. We also believe that stability at the executive level is key to the strength of the Company, particularly given the relatively small pool of executives with gaming experience for whom we compete.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achieve this, we rely on the following principles:</w:t>
      </w:r>
    </w:p>
    <w:p>
      <w:pPr>
        <w:spacing w:after="0" w:line="163" w:lineRule="exact"/>
        <w:rPr>
          <w:sz w:val="20"/>
          <w:szCs w:val="20"/>
          <w:color w:val="auto"/>
        </w:rPr>
      </w:pPr>
    </w:p>
    <w:p>
      <w:pPr>
        <w:ind w:left="120" w:right="320"/>
        <w:spacing w:after="0" w:line="244" w:lineRule="auto"/>
        <w:rPr>
          <w:sz w:val="20"/>
          <w:szCs w:val="20"/>
          <w:color w:val="auto"/>
        </w:rPr>
      </w:pPr>
      <w:r>
        <w:rPr>
          <w:rFonts w:ascii="Arial" w:cs="Arial" w:eastAsia="Arial" w:hAnsi="Arial"/>
          <w:sz w:val="18"/>
          <w:szCs w:val="18"/>
          <w:b w:val="1"/>
          <w:bCs w:val="1"/>
          <w:color w:val="604F2B"/>
        </w:rPr>
        <w:t xml:space="preserve">Pay-for-Sustainable Performance: </w:t>
      </w:r>
      <w:r>
        <w:rPr>
          <w:rFonts w:ascii="Arial" w:cs="Arial" w:eastAsia="Arial" w:hAnsi="Arial"/>
          <w:sz w:val="18"/>
          <w:szCs w:val="18"/>
          <w:color w:val="000000"/>
        </w:rPr>
        <w:t>The majority of our executives’ total compensation is tied to achieving annual and long-term goals</w:t>
      </w:r>
      <w:r>
        <w:rPr>
          <w:rFonts w:ascii="Arial" w:cs="Arial" w:eastAsia="Arial" w:hAnsi="Arial"/>
          <w:sz w:val="18"/>
          <w:szCs w:val="18"/>
          <w:b w:val="1"/>
          <w:bCs w:val="1"/>
          <w:color w:val="604F2B"/>
        </w:rPr>
        <w:t xml:space="preserve"> </w:t>
      </w:r>
      <w:r>
        <w:rPr>
          <w:rFonts w:ascii="Arial" w:cs="Arial" w:eastAsia="Arial" w:hAnsi="Arial"/>
          <w:sz w:val="18"/>
          <w:szCs w:val="18"/>
          <w:color w:val="000000"/>
        </w:rPr>
        <w:t>that enhance the value of our reputation and brand, sustain the performance and attractiveness of our resorts and drive long-term shareholder value. The Compensation Committee retains discretion to reduce amounts earned and payable when doing so will further these goals. Further, 50% of annual incentive is paid in equity (rather than all cash), and equity is subject to our robust holding requirements.</w:t>
      </w:r>
    </w:p>
    <w:p>
      <w:pPr>
        <w:spacing w:after="0" w:line="136" w:lineRule="exact"/>
        <w:rPr>
          <w:sz w:val="20"/>
          <w:szCs w:val="20"/>
          <w:color w:val="auto"/>
        </w:rPr>
      </w:pPr>
    </w:p>
    <w:p>
      <w:pPr>
        <w:ind w:left="120" w:right="180"/>
        <w:spacing w:after="0" w:line="266" w:lineRule="auto"/>
        <w:rPr>
          <w:sz w:val="20"/>
          <w:szCs w:val="20"/>
          <w:color w:val="auto"/>
        </w:rPr>
      </w:pPr>
      <w:r>
        <w:rPr>
          <w:rFonts w:ascii="Arial" w:cs="Arial" w:eastAsia="Arial" w:hAnsi="Arial"/>
          <w:sz w:val="17"/>
          <w:szCs w:val="17"/>
          <w:b w:val="1"/>
          <w:bCs w:val="1"/>
          <w:color w:val="604F2B"/>
        </w:rPr>
        <w:t xml:space="preserve">Shareholder Alignment: </w:t>
      </w:r>
      <w:r>
        <w:rPr>
          <w:rFonts w:ascii="Arial" w:cs="Arial" w:eastAsia="Arial" w:hAnsi="Arial"/>
          <w:sz w:val="17"/>
          <w:szCs w:val="17"/>
          <w:color w:val="000000"/>
        </w:rPr>
        <w:t>Our long-term equity incentives align executives’ interests with those of shareholders and stakeholders. Our</w:t>
      </w:r>
      <w:r>
        <w:rPr>
          <w:rFonts w:ascii="Arial" w:cs="Arial" w:eastAsia="Arial" w:hAnsi="Arial"/>
          <w:sz w:val="17"/>
          <w:szCs w:val="17"/>
          <w:b w:val="1"/>
          <w:bCs w:val="1"/>
          <w:color w:val="604F2B"/>
        </w:rPr>
        <w:t xml:space="preserve"> </w:t>
      </w:r>
      <w:r>
        <w:rPr>
          <w:rFonts w:ascii="Arial" w:cs="Arial" w:eastAsia="Arial" w:hAnsi="Arial"/>
          <w:sz w:val="17"/>
          <w:szCs w:val="17"/>
          <w:color w:val="000000"/>
        </w:rPr>
        <w:t>executive compensation focuses on key metrics that are critical drivers for realizing our strategic objectives and achieving long-term results. By focusing on regular equity grants that vest over three years and on performance-based awards, we believe that the alignment of interest is strengthened, especially when coupled with robust stock holding requirements for executives (6x base salary for our CEO).</w:t>
      </w:r>
    </w:p>
    <w:p>
      <w:pPr>
        <w:spacing w:after="0" w:line="11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b w:val="1"/>
          <w:bCs w:val="1"/>
          <w:color w:val="604F2B"/>
        </w:rPr>
        <w:t xml:space="preserve">Focus on Compensation Totals and Parity: </w:t>
      </w:r>
      <w:r>
        <w:rPr>
          <w:rFonts w:ascii="Arial" w:cs="Arial" w:eastAsia="Arial" w:hAnsi="Arial"/>
          <w:sz w:val="18"/>
          <w:szCs w:val="18"/>
          <w:color w:val="000000"/>
        </w:rPr>
        <w:t>We evaluate the total amounts of executives’ compensation for parity purposes and assess</w:t>
      </w:r>
      <w:r>
        <w:rPr>
          <w:rFonts w:ascii="Arial" w:cs="Arial" w:eastAsia="Arial" w:hAnsi="Arial"/>
          <w:sz w:val="18"/>
          <w:szCs w:val="18"/>
          <w:b w:val="1"/>
          <w:bCs w:val="1"/>
          <w:color w:val="604F2B"/>
        </w:rPr>
        <w:t xml:space="preserve"> </w:t>
      </w:r>
      <w:r>
        <w:rPr>
          <w:rFonts w:ascii="Arial" w:cs="Arial" w:eastAsia="Arial" w:hAnsi="Arial"/>
          <w:sz w:val="18"/>
          <w:szCs w:val="18"/>
          <w:color w:val="000000"/>
        </w:rPr>
        <w:t>them relative to the pay practices of major gaming companies and other competitors for talent. The Committee reaffirmed its commitment to right-sized executive compensation by benchmarking total compensation at the median of our peer group and making adjustments for specific skills and experience.</w:t>
      </w:r>
    </w:p>
    <w:p>
      <w:pPr>
        <w:spacing w:after="0" w:line="147"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b w:val="1"/>
          <w:bCs w:val="1"/>
          <w:color w:val="604F2B"/>
        </w:rPr>
        <w:t xml:space="preserve">Simplicity and Clarity: </w:t>
      </w:r>
      <w:r>
        <w:rPr>
          <w:rFonts w:ascii="Arial" w:cs="Arial" w:eastAsia="Arial" w:hAnsi="Arial"/>
          <w:sz w:val="18"/>
          <w:szCs w:val="18"/>
          <w:color w:val="000000"/>
        </w:rPr>
        <w:t>We value pay structures that are simple and clear. We believe pay simplicity promotes transparency, avoids</w:t>
      </w:r>
      <w:r>
        <w:rPr>
          <w:rFonts w:ascii="Arial" w:cs="Arial" w:eastAsia="Arial" w:hAnsi="Arial"/>
          <w:sz w:val="18"/>
          <w:szCs w:val="18"/>
          <w:b w:val="1"/>
          <w:bCs w:val="1"/>
          <w:color w:val="604F2B"/>
        </w:rPr>
        <w:t xml:space="preserve"> </w:t>
      </w:r>
      <w:r>
        <w:rPr>
          <w:rFonts w:ascii="Arial" w:cs="Arial" w:eastAsia="Arial" w:hAnsi="Arial"/>
          <w:sz w:val="18"/>
          <w:szCs w:val="18"/>
          <w:color w:val="000000"/>
        </w:rPr>
        <w:t>incentivizing focus on pay goals at the expense of ongoing excellence and performance, and promotes teamwork.</w:t>
      </w:r>
    </w:p>
    <w:p>
      <w:pPr>
        <w:spacing w:after="0" w:line="113" w:lineRule="exact"/>
        <w:rPr>
          <w:sz w:val="20"/>
          <w:szCs w:val="20"/>
          <w:color w:val="auto"/>
        </w:rPr>
      </w:pPr>
    </w:p>
    <w:p>
      <w:pPr>
        <w:ind w:left="120" w:right="340"/>
        <w:spacing w:after="0" w:line="247" w:lineRule="auto"/>
        <w:rPr>
          <w:sz w:val="20"/>
          <w:szCs w:val="20"/>
          <w:color w:val="auto"/>
        </w:rPr>
      </w:pPr>
      <w:r>
        <w:rPr>
          <w:rFonts w:ascii="Arial" w:cs="Arial" w:eastAsia="Arial" w:hAnsi="Arial"/>
          <w:sz w:val="18"/>
          <w:szCs w:val="18"/>
          <w:b w:val="1"/>
          <w:bCs w:val="1"/>
          <w:color w:val="604F2B"/>
        </w:rPr>
        <w:t xml:space="preserve">Attract and Retain Top Talent: </w:t>
      </w:r>
      <w:r>
        <w:rPr>
          <w:rFonts w:ascii="Arial" w:cs="Arial" w:eastAsia="Arial" w:hAnsi="Arial"/>
          <w:sz w:val="18"/>
          <w:szCs w:val="18"/>
          <w:color w:val="000000"/>
        </w:rPr>
        <w:t>Our business spans continents, can be subject to meaningful volatility, requires tight coordination with</w:t>
      </w:r>
      <w:r>
        <w:rPr>
          <w:rFonts w:ascii="Arial" w:cs="Arial" w:eastAsia="Arial" w:hAnsi="Arial"/>
          <w:sz w:val="18"/>
          <w:szCs w:val="18"/>
          <w:b w:val="1"/>
          <w:bCs w:val="1"/>
          <w:color w:val="604F2B"/>
        </w:rPr>
        <w:t xml:space="preserve"> </w:t>
      </w:r>
      <w:r>
        <w:rPr>
          <w:rFonts w:ascii="Arial" w:cs="Arial" w:eastAsia="Arial" w:hAnsi="Arial"/>
          <w:sz w:val="18"/>
          <w:szCs w:val="18"/>
          <w:color w:val="000000"/>
        </w:rPr>
        <w:t>regulators, depends on knowledge of numerous types of complex operations, requires diligent investment over many years and across business cycles, and is highly dependent on a reputation for excellence, so finding and retaining top talent is a critical element of our compensation.</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39</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HOW OUR EXECUTIVE COMPENSATION PHILOSOPHY DRIVES CEO PAY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86360</wp:posOffset>
            </wp:positionV>
            <wp:extent cx="6797675" cy="2272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7675" cy="2272030"/>
                    </a:xfrm>
                    <a:prstGeom prst="rect">
                      <a:avLst/>
                    </a:prstGeom>
                    <a:noFill/>
                  </pic:spPr>
                </pic:pic>
              </a:graphicData>
            </a:graphic>
          </wp:anchor>
        </w:drawing>
      </w:r>
    </w:p>
    <w:p>
      <w:pPr>
        <w:spacing w:after="0" w:line="10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560" w:type="dxa"/>
            <w:vAlign w:val="bottom"/>
            <w:tcBorders>
              <w:right w:val="single" w:sz="8" w:color="A8BCBF"/>
            </w:tcBorders>
          </w:tcPr>
          <w:p>
            <w:pPr>
              <w:spacing w:after="0"/>
              <w:rPr>
                <w:sz w:val="13"/>
                <w:szCs w:val="13"/>
                <w:color w:val="auto"/>
              </w:rPr>
            </w:pPr>
          </w:p>
        </w:tc>
        <w:tc>
          <w:tcPr>
            <w:tcW w:w="1520" w:type="dxa"/>
            <w:vAlign w:val="bottom"/>
            <w:tcBorders>
              <w:right w:val="single" w:sz="8" w:color="A8BCBF"/>
            </w:tcBorders>
          </w:tcPr>
          <w:p>
            <w:pPr>
              <w:jc w:val="center"/>
              <w:ind w:right="69"/>
              <w:spacing w:after="0"/>
              <w:rPr>
                <w:sz w:val="20"/>
                <w:szCs w:val="20"/>
                <w:color w:val="auto"/>
              </w:rPr>
            </w:pPr>
            <w:r>
              <w:rPr>
                <w:rFonts w:ascii="Arial" w:cs="Arial" w:eastAsia="Arial" w:hAnsi="Arial"/>
                <w:sz w:val="13"/>
                <w:szCs w:val="13"/>
                <w:b w:val="1"/>
                <w:bCs w:val="1"/>
                <w:color w:val="604F2B"/>
                <w:w w:val="96"/>
              </w:rPr>
              <w:t>FOCUS ON</w:t>
            </w:r>
          </w:p>
        </w:tc>
        <w:tc>
          <w:tcPr>
            <w:tcW w:w="1360" w:type="dxa"/>
            <w:vAlign w:val="bottom"/>
            <w:tcBorders>
              <w:right w:val="single" w:sz="8" w:color="A8BCBF"/>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604F2B"/>
                <w:w w:val="93"/>
              </w:rPr>
              <w:t>PAY FOR</w:t>
            </w:r>
          </w:p>
        </w:tc>
        <w:tc>
          <w:tcPr>
            <w:tcW w:w="1560" w:type="dxa"/>
            <w:vAlign w:val="bottom"/>
            <w:tcBorders>
              <w:right w:val="single" w:sz="8" w:color="A8BCBF"/>
            </w:tcBorders>
          </w:tcPr>
          <w:p>
            <w:pPr>
              <w:spacing w:after="0"/>
              <w:rPr>
                <w:sz w:val="11"/>
                <w:szCs w:val="11"/>
                <w:color w:val="auto"/>
              </w:rPr>
            </w:pPr>
          </w:p>
        </w:tc>
        <w:tc>
          <w:tcPr>
            <w:tcW w:w="1520" w:type="dxa"/>
            <w:vAlign w:val="bottom"/>
            <w:tcBorders>
              <w:right w:val="single" w:sz="8" w:color="A8BCBF"/>
            </w:tcBorders>
          </w:tcPr>
          <w:p>
            <w:pPr>
              <w:jc w:val="center"/>
              <w:ind w:right="69"/>
              <w:spacing w:after="0" w:line="135" w:lineRule="exact"/>
              <w:rPr>
                <w:sz w:val="20"/>
                <w:szCs w:val="20"/>
                <w:color w:val="auto"/>
              </w:rPr>
            </w:pPr>
            <w:r>
              <w:rPr>
                <w:rFonts w:ascii="Arial" w:cs="Arial" w:eastAsia="Arial" w:hAnsi="Arial"/>
                <w:sz w:val="13"/>
                <w:szCs w:val="13"/>
                <w:b w:val="1"/>
                <w:bCs w:val="1"/>
                <w:color w:val="604F2B"/>
                <w:w w:val="96"/>
              </w:rPr>
              <w:t>COMPENSATION</w:t>
            </w:r>
          </w:p>
        </w:tc>
        <w:tc>
          <w:tcPr>
            <w:tcW w:w="1360" w:type="dxa"/>
            <w:vAlign w:val="bottom"/>
            <w:tcBorders>
              <w:right w:val="single" w:sz="8" w:color="A8BCBF"/>
            </w:tcBorders>
          </w:tcPr>
          <w:p>
            <w:pPr>
              <w:spacing w:after="0"/>
              <w:rPr>
                <w:sz w:val="11"/>
                <w:szCs w:val="11"/>
                <w:color w:val="auto"/>
              </w:rPr>
            </w:pPr>
          </w:p>
        </w:tc>
        <w:tc>
          <w:tcPr>
            <w:tcW w:w="138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604F2B"/>
                <w:w w:val="96"/>
              </w:rPr>
              <w:t>ATTRACT AND</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3"/>
                <w:szCs w:val="13"/>
                <w:b w:val="1"/>
                <w:bCs w:val="1"/>
                <w:color w:val="604F2B"/>
                <w:w w:val="97"/>
              </w:rPr>
              <w:t>SUSTAINABLE</w:t>
            </w:r>
          </w:p>
        </w:tc>
        <w:tc>
          <w:tcPr>
            <w:tcW w:w="1560" w:type="dxa"/>
            <w:vAlign w:val="bottom"/>
            <w:tcBorders>
              <w:right w:val="single" w:sz="8" w:color="A8BCBF"/>
            </w:tcBorders>
          </w:tcPr>
          <w:p>
            <w:pPr>
              <w:jc w:val="center"/>
              <w:ind w:right="5"/>
              <w:spacing w:after="0" w:line="135" w:lineRule="exact"/>
              <w:rPr>
                <w:sz w:val="20"/>
                <w:szCs w:val="20"/>
                <w:color w:val="auto"/>
              </w:rPr>
            </w:pPr>
            <w:r>
              <w:rPr>
                <w:rFonts w:ascii="Arial" w:cs="Arial" w:eastAsia="Arial" w:hAnsi="Arial"/>
                <w:sz w:val="13"/>
                <w:szCs w:val="13"/>
                <w:b w:val="1"/>
                <w:bCs w:val="1"/>
                <w:color w:val="604F2B"/>
                <w:w w:val="95"/>
              </w:rPr>
              <w:t>SHAREHOLDER</w:t>
            </w:r>
          </w:p>
        </w:tc>
        <w:tc>
          <w:tcPr>
            <w:tcW w:w="1520" w:type="dxa"/>
            <w:vAlign w:val="bottom"/>
            <w:tcBorders>
              <w:right w:val="single" w:sz="8" w:color="A8BCBF"/>
            </w:tcBorders>
          </w:tcPr>
          <w:p>
            <w:pPr>
              <w:jc w:val="center"/>
              <w:ind w:right="89"/>
              <w:spacing w:after="0" w:line="135" w:lineRule="exact"/>
              <w:rPr>
                <w:sz w:val="20"/>
                <w:szCs w:val="20"/>
                <w:color w:val="auto"/>
              </w:rPr>
            </w:pPr>
            <w:r>
              <w:rPr>
                <w:rFonts w:ascii="Arial" w:cs="Arial" w:eastAsia="Arial" w:hAnsi="Arial"/>
                <w:sz w:val="13"/>
                <w:szCs w:val="13"/>
                <w:b w:val="1"/>
                <w:bCs w:val="1"/>
                <w:color w:val="604F2B"/>
                <w:w w:val="95"/>
              </w:rPr>
              <w:t>TOTALS AND</w:t>
            </w:r>
          </w:p>
        </w:tc>
        <w:tc>
          <w:tcPr>
            <w:tcW w:w="1360" w:type="dxa"/>
            <w:vAlign w:val="bottom"/>
            <w:tcBorders>
              <w:right w:val="single" w:sz="8" w:color="A8BCBF"/>
            </w:tcBorders>
          </w:tcPr>
          <w:p>
            <w:pPr>
              <w:jc w:val="center"/>
              <w:ind w:right="66"/>
              <w:spacing w:after="0" w:line="135" w:lineRule="exact"/>
              <w:rPr>
                <w:sz w:val="20"/>
                <w:szCs w:val="20"/>
                <w:color w:val="auto"/>
              </w:rPr>
            </w:pPr>
            <w:r>
              <w:rPr>
                <w:rFonts w:ascii="Arial" w:cs="Arial" w:eastAsia="Arial" w:hAnsi="Arial"/>
                <w:sz w:val="13"/>
                <w:szCs w:val="13"/>
                <w:b w:val="1"/>
                <w:bCs w:val="1"/>
                <w:color w:val="604F2B"/>
                <w:w w:val="95"/>
              </w:rPr>
              <w:t>SIMPLICITY</w:t>
            </w:r>
          </w:p>
        </w:tc>
        <w:tc>
          <w:tcPr>
            <w:tcW w:w="1380" w:type="dxa"/>
            <w:vAlign w:val="bottom"/>
          </w:tcPr>
          <w:p>
            <w:pPr>
              <w:jc w:val="center"/>
              <w:ind w:right="48"/>
              <w:spacing w:after="0" w:line="135" w:lineRule="exact"/>
              <w:rPr>
                <w:sz w:val="20"/>
                <w:szCs w:val="20"/>
                <w:color w:val="auto"/>
              </w:rPr>
            </w:pPr>
            <w:r>
              <w:rPr>
                <w:rFonts w:ascii="Arial" w:cs="Arial" w:eastAsia="Arial" w:hAnsi="Arial"/>
                <w:sz w:val="13"/>
                <w:szCs w:val="13"/>
                <w:b w:val="1"/>
                <w:bCs w:val="1"/>
                <w:color w:val="604F2B"/>
                <w:w w:val="93"/>
              </w:rPr>
              <w:t>RETAIN TOP</w:t>
            </w:r>
          </w:p>
        </w:tc>
        <w:tc>
          <w:tcPr>
            <w:tcW w:w="0" w:type="dxa"/>
            <w:vAlign w:val="bottom"/>
          </w:tcPr>
          <w:p>
            <w:pPr>
              <w:spacing w:after="0"/>
              <w:rPr>
                <w:sz w:val="1"/>
                <w:szCs w:val="1"/>
                <w:color w:val="auto"/>
              </w:rPr>
            </w:pPr>
          </w:p>
        </w:tc>
      </w:tr>
      <w:tr>
        <w:trPr>
          <w:trHeight w:val="168"/>
        </w:trPr>
        <w:tc>
          <w:tcPr>
            <w:tcW w:w="3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3"/>
                <w:szCs w:val="13"/>
                <w:b w:val="1"/>
                <w:bCs w:val="1"/>
                <w:color w:val="604F2B"/>
                <w:w w:val="96"/>
              </w:rPr>
              <w:t>PERFORMANCE</w:t>
            </w:r>
          </w:p>
        </w:tc>
        <w:tc>
          <w:tcPr>
            <w:tcW w:w="1560" w:type="dxa"/>
            <w:vAlign w:val="bottom"/>
            <w:tcBorders>
              <w:right w:val="single" w:sz="8" w:color="A8BCBF"/>
            </w:tcBorders>
          </w:tcPr>
          <w:p>
            <w:pPr>
              <w:jc w:val="center"/>
              <w:ind w:right="5"/>
              <w:spacing w:after="0"/>
              <w:rPr>
                <w:sz w:val="20"/>
                <w:szCs w:val="20"/>
                <w:color w:val="auto"/>
              </w:rPr>
            </w:pPr>
            <w:r>
              <w:rPr>
                <w:rFonts w:ascii="Arial" w:cs="Arial" w:eastAsia="Arial" w:hAnsi="Arial"/>
                <w:sz w:val="13"/>
                <w:szCs w:val="13"/>
                <w:b w:val="1"/>
                <w:bCs w:val="1"/>
                <w:color w:val="604F2B"/>
                <w:w w:val="98"/>
              </w:rPr>
              <w:t>ALIGNMENT</w:t>
            </w:r>
          </w:p>
        </w:tc>
        <w:tc>
          <w:tcPr>
            <w:tcW w:w="1520" w:type="dxa"/>
            <w:vAlign w:val="bottom"/>
            <w:tcBorders>
              <w:right w:val="single" w:sz="8" w:color="A8BCBF"/>
            </w:tcBorders>
          </w:tcPr>
          <w:p>
            <w:pPr>
              <w:jc w:val="center"/>
              <w:ind w:right="69"/>
              <w:spacing w:after="0"/>
              <w:rPr>
                <w:sz w:val="20"/>
                <w:szCs w:val="20"/>
                <w:color w:val="auto"/>
              </w:rPr>
            </w:pPr>
            <w:r>
              <w:rPr>
                <w:rFonts w:ascii="Arial" w:cs="Arial" w:eastAsia="Arial" w:hAnsi="Arial"/>
                <w:sz w:val="13"/>
                <w:szCs w:val="13"/>
                <w:b w:val="1"/>
                <w:bCs w:val="1"/>
                <w:color w:val="604F2B"/>
                <w:w w:val="96"/>
              </w:rPr>
              <w:t>PARITY</w:t>
            </w:r>
          </w:p>
        </w:tc>
        <w:tc>
          <w:tcPr>
            <w:tcW w:w="1360" w:type="dxa"/>
            <w:vAlign w:val="bottom"/>
            <w:tcBorders>
              <w:right w:val="single" w:sz="8" w:color="A8BCBF"/>
            </w:tcBorders>
          </w:tcPr>
          <w:p>
            <w:pPr>
              <w:jc w:val="center"/>
              <w:ind w:right="66"/>
              <w:spacing w:after="0"/>
              <w:rPr>
                <w:sz w:val="20"/>
                <w:szCs w:val="20"/>
                <w:color w:val="auto"/>
              </w:rPr>
            </w:pPr>
            <w:r>
              <w:rPr>
                <w:rFonts w:ascii="Arial" w:cs="Arial" w:eastAsia="Arial" w:hAnsi="Arial"/>
                <w:sz w:val="13"/>
                <w:szCs w:val="13"/>
                <w:b w:val="1"/>
                <w:bCs w:val="1"/>
                <w:color w:val="604F2B"/>
                <w:w w:val="97"/>
              </w:rPr>
              <w:t>AND CLARITY</w:t>
            </w:r>
          </w:p>
        </w:tc>
        <w:tc>
          <w:tcPr>
            <w:tcW w:w="1380" w:type="dxa"/>
            <w:vAlign w:val="bottom"/>
          </w:tcPr>
          <w:p>
            <w:pPr>
              <w:jc w:val="center"/>
              <w:ind w:right="48"/>
              <w:spacing w:after="0"/>
              <w:rPr>
                <w:sz w:val="20"/>
                <w:szCs w:val="20"/>
                <w:color w:val="auto"/>
              </w:rPr>
            </w:pPr>
            <w:r>
              <w:rPr>
                <w:rFonts w:ascii="Arial" w:cs="Arial" w:eastAsia="Arial" w:hAnsi="Arial"/>
                <w:sz w:val="13"/>
                <w:szCs w:val="13"/>
                <w:b w:val="1"/>
                <w:bCs w:val="1"/>
                <w:color w:val="604F2B"/>
                <w:w w:val="97"/>
              </w:rPr>
              <w:t>TALENT</w:t>
            </w:r>
          </w:p>
        </w:tc>
        <w:tc>
          <w:tcPr>
            <w:tcW w:w="0" w:type="dxa"/>
            <w:vAlign w:val="bottom"/>
          </w:tcPr>
          <w:p>
            <w:pPr>
              <w:spacing w:after="0"/>
              <w:rPr>
                <w:sz w:val="1"/>
                <w:szCs w:val="1"/>
                <w:color w:val="auto"/>
              </w:rPr>
            </w:pPr>
          </w:p>
        </w:tc>
      </w:tr>
      <w:tr>
        <w:trPr>
          <w:trHeight w:val="97"/>
        </w:trPr>
        <w:tc>
          <w:tcPr>
            <w:tcW w:w="300" w:type="dxa"/>
            <w:vAlign w:val="bottom"/>
          </w:tcPr>
          <w:p>
            <w:pPr>
              <w:spacing w:after="0"/>
              <w:rPr>
                <w:sz w:val="8"/>
                <w:szCs w:val="8"/>
                <w:color w:val="auto"/>
              </w:rPr>
            </w:pPr>
          </w:p>
        </w:tc>
        <w:tc>
          <w:tcPr>
            <w:tcW w:w="3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560" w:type="dxa"/>
            <w:vAlign w:val="bottom"/>
            <w:tcBorders>
              <w:right w:val="single" w:sz="8" w:color="A8BCBF"/>
            </w:tcBorders>
          </w:tcPr>
          <w:p>
            <w:pPr>
              <w:spacing w:after="0"/>
              <w:rPr>
                <w:sz w:val="8"/>
                <w:szCs w:val="8"/>
                <w:color w:val="auto"/>
              </w:rPr>
            </w:pPr>
          </w:p>
        </w:tc>
        <w:tc>
          <w:tcPr>
            <w:tcW w:w="1520" w:type="dxa"/>
            <w:vAlign w:val="bottom"/>
            <w:tcBorders>
              <w:right w:val="single" w:sz="8" w:color="A8BCBF"/>
            </w:tcBorders>
          </w:tcPr>
          <w:p>
            <w:pPr>
              <w:spacing w:after="0"/>
              <w:rPr>
                <w:sz w:val="8"/>
                <w:szCs w:val="8"/>
                <w:color w:val="auto"/>
              </w:rPr>
            </w:pPr>
          </w:p>
        </w:tc>
        <w:tc>
          <w:tcPr>
            <w:tcW w:w="1360" w:type="dxa"/>
            <w:vAlign w:val="bottom"/>
            <w:tcBorders>
              <w:right w:val="single" w:sz="8" w:color="A8BCBF"/>
            </w:tcBorders>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8"/>
        </w:trPr>
        <w:tc>
          <w:tcPr>
            <w:tcW w:w="300" w:type="dxa"/>
            <w:vAlign w:val="bottom"/>
            <w:shd w:val="clear" w:color="auto" w:fill="EAEAE5"/>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shd w:val="clear" w:color="auto" w:fill="EAEAE5"/>
          </w:tcPr>
          <w:p>
            <w:pPr>
              <w:ind w:left="260"/>
              <w:spacing w:after="0"/>
              <w:rPr>
                <w:sz w:val="20"/>
                <w:szCs w:val="20"/>
                <w:color w:val="auto"/>
              </w:rPr>
            </w:pPr>
            <w:r>
              <w:rPr>
                <w:rFonts w:ascii="Arial" w:cs="Arial" w:eastAsia="Arial" w:hAnsi="Arial"/>
                <w:sz w:val="16"/>
                <w:szCs w:val="16"/>
                <w:color w:val="auto"/>
              </w:rPr>
              <w:t>Benchmarking CEO at Median of Peer</w:t>
            </w:r>
          </w:p>
        </w:tc>
        <w:tc>
          <w:tcPr>
            <w:tcW w:w="1460" w:type="dxa"/>
            <w:vAlign w:val="bottom"/>
            <w:shd w:val="clear" w:color="auto" w:fill="EAEAE5"/>
          </w:tcPr>
          <w:p>
            <w:pPr>
              <w:spacing w:after="0"/>
              <w:rPr>
                <w:sz w:val="22"/>
                <w:szCs w:val="22"/>
                <w:color w:val="auto"/>
              </w:rPr>
            </w:pPr>
          </w:p>
        </w:tc>
        <w:tc>
          <w:tcPr>
            <w:tcW w:w="1560" w:type="dxa"/>
            <w:vAlign w:val="bottom"/>
            <w:tcBorders>
              <w:right w:val="single" w:sz="8" w:color="EAEAE5"/>
            </w:tcBorders>
            <w:vMerge w:val="restart"/>
            <w:shd w:val="clear" w:color="auto" w:fill="EAEAE5"/>
          </w:tcPr>
          <w:p>
            <w:pPr>
              <w:jc w:val="center"/>
              <w:spacing w:after="0"/>
              <w:rPr>
                <w:sz w:val="20"/>
                <w:szCs w:val="20"/>
                <w:color w:val="auto"/>
              </w:rPr>
            </w:pPr>
            <w:r>
              <w:rPr>
                <w:rFonts w:ascii="Arial" w:cs="Arial" w:eastAsia="Arial" w:hAnsi="Arial"/>
                <w:sz w:val="16"/>
                <w:szCs w:val="16"/>
                <w:color w:val="604F2B"/>
              </w:rPr>
              <w:t>●</w:t>
            </w:r>
          </w:p>
        </w:tc>
        <w:tc>
          <w:tcPr>
            <w:tcW w:w="1520" w:type="dxa"/>
            <w:vAlign w:val="bottom"/>
            <w:tcBorders>
              <w:right w:val="single" w:sz="8" w:color="EAEAE5"/>
            </w:tcBorders>
            <w:vMerge w:val="restart"/>
            <w:shd w:val="clear" w:color="auto" w:fill="EAEAE5"/>
          </w:tcPr>
          <w:p>
            <w:pPr>
              <w:jc w:val="center"/>
              <w:ind w:right="69"/>
              <w:spacing w:after="0"/>
              <w:rPr>
                <w:sz w:val="20"/>
                <w:szCs w:val="20"/>
                <w:color w:val="auto"/>
              </w:rPr>
            </w:pPr>
            <w:r>
              <w:rPr>
                <w:rFonts w:ascii="Arial" w:cs="Arial" w:eastAsia="Arial" w:hAnsi="Arial"/>
                <w:sz w:val="16"/>
                <w:szCs w:val="16"/>
                <w:color w:val="604F2B"/>
              </w:rPr>
              <w:t>●</w:t>
            </w:r>
          </w:p>
        </w:tc>
        <w:tc>
          <w:tcPr>
            <w:tcW w:w="1360" w:type="dxa"/>
            <w:vAlign w:val="bottom"/>
            <w:tcBorders>
              <w:right w:val="single" w:sz="8" w:color="EAEAE5"/>
            </w:tcBorders>
            <w:shd w:val="clear" w:color="auto" w:fill="EAEAE5"/>
          </w:tcPr>
          <w:p>
            <w:pPr>
              <w:spacing w:after="0"/>
              <w:rPr>
                <w:sz w:val="22"/>
                <w:szCs w:val="22"/>
                <w:color w:val="auto"/>
              </w:rPr>
            </w:pPr>
          </w:p>
        </w:tc>
        <w:tc>
          <w:tcPr>
            <w:tcW w:w="1380" w:type="dxa"/>
            <w:vAlign w:val="bottom"/>
            <w:vMerge w:val="restart"/>
            <w:shd w:val="clear" w:color="auto" w:fill="EAEAE5"/>
          </w:tcPr>
          <w:p>
            <w:pPr>
              <w:jc w:val="center"/>
              <w:ind w:right="48"/>
              <w:spacing w:after="0"/>
              <w:rPr>
                <w:sz w:val="20"/>
                <w:szCs w:val="20"/>
                <w:color w:val="auto"/>
              </w:rPr>
            </w:pPr>
            <w:r>
              <w:rPr>
                <w:rFonts w:ascii="Arial" w:cs="Arial" w:eastAsia="Arial" w:hAnsi="Arial"/>
                <w:sz w:val="16"/>
                <w:szCs w:val="16"/>
                <w:color w:val="604F2B"/>
              </w:rPr>
              <w:t>●</w:t>
            </w:r>
          </w:p>
        </w:tc>
        <w:tc>
          <w:tcPr>
            <w:tcW w:w="0" w:type="dxa"/>
            <w:vAlign w:val="bottom"/>
          </w:tcPr>
          <w:p>
            <w:pPr>
              <w:spacing w:after="0"/>
              <w:rPr>
                <w:sz w:val="1"/>
                <w:szCs w:val="1"/>
                <w:color w:val="auto"/>
              </w:rPr>
            </w:pPr>
          </w:p>
        </w:tc>
      </w:tr>
      <w:tr>
        <w:trPr>
          <w:trHeight w:val="235"/>
        </w:trPr>
        <w:tc>
          <w:tcPr>
            <w:tcW w:w="300" w:type="dxa"/>
            <w:vAlign w:val="bottom"/>
            <w:tcBorders>
              <w:bottom w:val="single" w:sz="8" w:color="EAEAE5"/>
            </w:tcBorders>
            <w:shd w:val="clear" w:color="auto" w:fill="EAEAE5"/>
          </w:tcPr>
          <w:p>
            <w:pPr>
              <w:spacing w:after="0"/>
              <w:rPr>
                <w:sz w:val="20"/>
                <w:szCs w:val="20"/>
                <w:color w:val="auto"/>
              </w:rPr>
            </w:pPr>
          </w:p>
        </w:tc>
        <w:tc>
          <w:tcPr>
            <w:tcW w:w="3440" w:type="dxa"/>
            <w:vAlign w:val="bottom"/>
            <w:tcBorders>
              <w:bottom w:val="single" w:sz="8" w:color="EAEAE5"/>
            </w:tcBorders>
            <w:shd w:val="clear" w:color="auto" w:fill="EAEAE5"/>
          </w:tcPr>
          <w:p>
            <w:pPr>
              <w:ind w:left="260"/>
              <w:spacing w:after="0"/>
              <w:rPr>
                <w:sz w:val="20"/>
                <w:szCs w:val="20"/>
                <w:color w:val="auto"/>
              </w:rPr>
            </w:pPr>
            <w:r>
              <w:rPr>
                <w:rFonts w:ascii="Arial" w:cs="Arial" w:eastAsia="Arial" w:hAnsi="Arial"/>
                <w:sz w:val="16"/>
                <w:szCs w:val="16"/>
                <w:color w:val="auto"/>
              </w:rPr>
              <w:t>Group</w:t>
            </w:r>
          </w:p>
        </w:tc>
        <w:tc>
          <w:tcPr>
            <w:tcW w:w="1460" w:type="dxa"/>
            <w:vAlign w:val="bottom"/>
            <w:tcBorders>
              <w:bottom w:val="single" w:sz="8" w:color="EAEAE5"/>
            </w:tcBorders>
            <w:shd w:val="clear" w:color="auto" w:fill="EAEAE5"/>
          </w:tcPr>
          <w:p>
            <w:pPr>
              <w:spacing w:after="0"/>
              <w:rPr>
                <w:sz w:val="20"/>
                <w:szCs w:val="20"/>
                <w:color w:val="auto"/>
              </w:rPr>
            </w:pPr>
          </w:p>
        </w:tc>
        <w:tc>
          <w:tcPr>
            <w:tcW w:w="1560" w:type="dxa"/>
            <w:vAlign w:val="bottom"/>
            <w:tcBorders>
              <w:bottom w:val="single" w:sz="8" w:color="EAEAE5"/>
              <w:right w:val="single" w:sz="8" w:color="EAEAE5"/>
            </w:tcBorders>
            <w:vMerge w:val="continue"/>
            <w:shd w:val="clear" w:color="auto" w:fill="EAEAE5"/>
          </w:tcPr>
          <w:p>
            <w:pPr>
              <w:spacing w:after="0"/>
              <w:rPr>
                <w:sz w:val="20"/>
                <w:szCs w:val="20"/>
                <w:color w:val="auto"/>
              </w:rPr>
            </w:pPr>
          </w:p>
        </w:tc>
        <w:tc>
          <w:tcPr>
            <w:tcW w:w="1520" w:type="dxa"/>
            <w:vAlign w:val="bottom"/>
            <w:tcBorders>
              <w:bottom w:val="single" w:sz="8" w:color="EAEAE5"/>
              <w:right w:val="single" w:sz="8" w:color="EAEAE5"/>
            </w:tcBorders>
            <w:vMerge w:val="continue"/>
            <w:shd w:val="clear" w:color="auto" w:fill="EAEAE5"/>
          </w:tcPr>
          <w:p>
            <w:pPr>
              <w:spacing w:after="0"/>
              <w:rPr>
                <w:sz w:val="20"/>
                <w:szCs w:val="20"/>
                <w:color w:val="auto"/>
              </w:rPr>
            </w:pPr>
          </w:p>
        </w:tc>
        <w:tc>
          <w:tcPr>
            <w:tcW w:w="1360" w:type="dxa"/>
            <w:vAlign w:val="bottom"/>
            <w:tcBorders>
              <w:bottom w:val="single" w:sz="8" w:color="EAEAE5"/>
              <w:right w:val="single" w:sz="8" w:color="EAEAE5"/>
            </w:tcBorders>
            <w:shd w:val="clear" w:color="auto" w:fill="EAEAE5"/>
          </w:tcPr>
          <w:p>
            <w:pPr>
              <w:spacing w:after="0"/>
              <w:rPr>
                <w:sz w:val="20"/>
                <w:szCs w:val="20"/>
                <w:color w:val="auto"/>
              </w:rPr>
            </w:pPr>
          </w:p>
        </w:tc>
        <w:tc>
          <w:tcPr>
            <w:tcW w:w="1380" w:type="dxa"/>
            <w:vAlign w:val="bottom"/>
            <w:tcBorders>
              <w:bottom w:val="single" w:sz="8" w:color="EAEAE5"/>
            </w:tcBorders>
            <w:vMerge w:val="continue"/>
            <w:shd w:val="clear" w:color="auto" w:fill="EAEAE5"/>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30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260"/>
              <w:spacing w:after="0"/>
              <w:rPr>
                <w:sz w:val="20"/>
                <w:szCs w:val="20"/>
                <w:color w:val="auto"/>
              </w:rPr>
            </w:pPr>
            <w:r>
              <w:rPr>
                <w:rFonts w:ascii="Arial" w:cs="Arial" w:eastAsia="Arial" w:hAnsi="Arial"/>
                <w:sz w:val="16"/>
                <w:szCs w:val="16"/>
                <w:color w:val="auto"/>
              </w:rPr>
              <w:t>93% of total direct NEO compensation is</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604F2B"/>
              </w:rPr>
              <w:t>●</w:t>
            </w:r>
          </w:p>
        </w:tc>
        <w:tc>
          <w:tcPr>
            <w:tcW w:w="1560" w:type="dxa"/>
            <w:vAlign w:val="bottom"/>
            <w:vMerge w:val="restart"/>
          </w:tcPr>
          <w:p>
            <w:pPr>
              <w:jc w:val="center"/>
              <w:spacing w:after="0"/>
              <w:rPr>
                <w:sz w:val="20"/>
                <w:szCs w:val="20"/>
                <w:color w:val="auto"/>
              </w:rPr>
            </w:pPr>
            <w:r>
              <w:rPr>
                <w:rFonts w:ascii="Arial" w:cs="Arial" w:eastAsia="Arial" w:hAnsi="Arial"/>
                <w:sz w:val="16"/>
                <w:szCs w:val="16"/>
                <w:color w:val="604F2B"/>
              </w:rPr>
              <w:t>●</w:t>
            </w:r>
          </w:p>
        </w:tc>
        <w:tc>
          <w:tcPr>
            <w:tcW w:w="1520" w:type="dxa"/>
            <w:vAlign w:val="bottom"/>
          </w:tcPr>
          <w:p>
            <w:pPr>
              <w:spacing w:after="0"/>
              <w:rPr>
                <w:sz w:val="22"/>
                <w:szCs w:val="22"/>
                <w:color w:val="auto"/>
              </w:rPr>
            </w:pPr>
          </w:p>
        </w:tc>
        <w:tc>
          <w:tcPr>
            <w:tcW w:w="1360" w:type="dxa"/>
            <w:vAlign w:val="bottom"/>
            <w:vMerge w:val="restart"/>
          </w:tcPr>
          <w:p>
            <w:pPr>
              <w:jc w:val="center"/>
              <w:ind w:right="66"/>
              <w:spacing w:after="0"/>
              <w:rPr>
                <w:sz w:val="20"/>
                <w:szCs w:val="20"/>
                <w:color w:val="auto"/>
              </w:rPr>
            </w:pPr>
            <w:r>
              <w:rPr>
                <w:rFonts w:ascii="Arial" w:cs="Arial" w:eastAsia="Arial" w:hAnsi="Arial"/>
                <w:sz w:val="16"/>
                <w:szCs w:val="16"/>
                <w:color w:val="604F2B"/>
              </w:rPr>
              <w:t>●</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00" w:type="dxa"/>
            <w:vAlign w:val="bottom"/>
          </w:tcPr>
          <w:p>
            <w:pPr>
              <w:spacing w:after="0"/>
              <w:rPr>
                <w:sz w:val="22"/>
                <w:szCs w:val="22"/>
                <w:color w:val="auto"/>
              </w:rPr>
            </w:pPr>
          </w:p>
        </w:tc>
        <w:tc>
          <w:tcPr>
            <w:tcW w:w="3440" w:type="dxa"/>
            <w:vAlign w:val="bottom"/>
          </w:tcPr>
          <w:p>
            <w:pPr>
              <w:ind w:left="260"/>
              <w:spacing w:after="0" w:line="259" w:lineRule="exact"/>
              <w:rPr>
                <w:sz w:val="20"/>
                <w:szCs w:val="20"/>
                <w:color w:val="auto"/>
              </w:rPr>
            </w:pPr>
            <w:r>
              <w:rPr>
                <w:rFonts w:ascii="Arial" w:cs="Arial" w:eastAsia="Arial" w:hAnsi="Arial"/>
                <w:sz w:val="16"/>
                <w:szCs w:val="16"/>
                <w:color w:val="auto"/>
              </w:rPr>
              <w:t>at-risk</w:t>
            </w:r>
            <w:r>
              <w:rPr>
                <w:rFonts w:ascii="Arial" w:cs="Arial" w:eastAsia="Arial" w:hAnsi="Arial"/>
                <w:sz w:val="27"/>
                <w:szCs w:val="27"/>
                <w:color w:val="auto"/>
                <w:vertAlign w:val="superscript"/>
              </w:rPr>
              <w:t>(2)</w:t>
            </w:r>
          </w:p>
        </w:tc>
        <w:tc>
          <w:tcPr>
            <w:tcW w:w="1460" w:type="dxa"/>
            <w:vAlign w:val="bottom"/>
            <w:vMerge w:val="continue"/>
          </w:tcPr>
          <w:p>
            <w:pPr>
              <w:spacing w:after="0"/>
              <w:rPr>
                <w:sz w:val="22"/>
                <w:szCs w:val="22"/>
                <w:color w:val="auto"/>
              </w:rPr>
            </w:pPr>
          </w:p>
        </w:tc>
        <w:tc>
          <w:tcPr>
            <w:tcW w:w="1560" w:type="dxa"/>
            <w:vAlign w:val="bottom"/>
            <w:vMerge w:val="continue"/>
          </w:tcPr>
          <w:p>
            <w:pPr>
              <w:spacing w:after="0"/>
              <w:rPr>
                <w:sz w:val="22"/>
                <w:szCs w:val="22"/>
                <w:color w:val="auto"/>
              </w:rPr>
            </w:pPr>
          </w:p>
        </w:tc>
        <w:tc>
          <w:tcPr>
            <w:tcW w:w="1520" w:type="dxa"/>
            <w:vAlign w:val="bottom"/>
          </w:tcPr>
          <w:p>
            <w:pPr>
              <w:spacing w:after="0"/>
              <w:rPr>
                <w:sz w:val="22"/>
                <w:szCs w:val="22"/>
                <w:color w:val="auto"/>
              </w:rPr>
            </w:pPr>
          </w:p>
        </w:tc>
        <w:tc>
          <w:tcPr>
            <w:tcW w:w="1360" w:type="dxa"/>
            <w:vAlign w:val="bottom"/>
            <w:vMerge w:val="continue"/>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00" w:type="dxa"/>
            <w:vAlign w:val="bottom"/>
            <w:shd w:val="clear" w:color="auto" w:fill="EAEAE5"/>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shd w:val="clear" w:color="auto" w:fill="EAEAE5"/>
          </w:tcPr>
          <w:p>
            <w:pPr>
              <w:ind w:left="260"/>
              <w:spacing w:after="0"/>
              <w:rPr>
                <w:sz w:val="20"/>
                <w:szCs w:val="20"/>
                <w:color w:val="auto"/>
              </w:rPr>
            </w:pPr>
            <w:r>
              <w:rPr>
                <w:rFonts w:ascii="Arial" w:cs="Arial" w:eastAsia="Arial" w:hAnsi="Arial"/>
                <w:sz w:val="16"/>
                <w:szCs w:val="16"/>
                <w:color w:val="auto"/>
              </w:rPr>
              <w:t>Annual incentives are 100% performance</w:t>
            </w:r>
          </w:p>
        </w:tc>
        <w:tc>
          <w:tcPr>
            <w:tcW w:w="1460" w:type="dxa"/>
            <w:vAlign w:val="bottom"/>
            <w:vMerge w:val="restart"/>
            <w:shd w:val="clear" w:color="auto" w:fill="EAEAE5"/>
          </w:tcPr>
          <w:p>
            <w:pPr>
              <w:jc w:val="center"/>
              <w:spacing w:after="0"/>
              <w:rPr>
                <w:sz w:val="20"/>
                <w:szCs w:val="20"/>
                <w:color w:val="auto"/>
              </w:rPr>
            </w:pPr>
            <w:r>
              <w:rPr>
                <w:rFonts w:ascii="Arial" w:cs="Arial" w:eastAsia="Arial" w:hAnsi="Arial"/>
                <w:sz w:val="16"/>
                <w:szCs w:val="16"/>
                <w:color w:val="604F2B"/>
              </w:rPr>
              <w:t>●</w:t>
            </w:r>
          </w:p>
        </w:tc>
        <w:tc>
          <w:tcPr>
            <w:tcW w:w="1560" w:type="dxa"/>
            <w:vAlign w:val="bottom"/>
            <w:tcBorders>
              <w:right w:val="single" w:sz="8" w:color="EAEAE5"/>
            </w:tcBorders>
            <w:vMerge w:val="restart"/>
            <w:shd w:val="clear" w:color="auto" w:fill="EAEAE5"/>
          </w:tcPr>
          <w:p>
            <w:pPr>
              <w:jc w:val="center"/>
              <w:spacing w:after="0"/>
              <w:rPr>
                <w:sz w:val="20"/>
                <w:szCs w:val="20"/>
                <w:color w:val="auto"/>
              </w:rPr>
            </w:pPr>
            <w:r>
              <w:rPr>
                <w:rFonts w:ascii="Arial" w:cs="Arial" w:eastAsia="Arial" w:hAnsi="Arial"/>
                <w:sz w:val="16"/>
                <w:szCs w:val="16"/>
                <w:color w:val="604F2B"/>
              </w:rPr>
              <w:t>●</w:t>
            </w:r>
          </w:p>
        </w:tc>
        <w:tc>
          <w:tcPr>
            <w:tcW w:w="1520" w:type="dxa"/>
            <w:vAlign w:val="bottom"/>
            <w:tcBorders>
              <w:right w:val="single" w:sz="8" w:color="EAEAE5"/>
            </w:tcBorders>
            <w:vMerge w:val="restart"/>
            <w:shd w:val="clear" w:color="auto" w:fill="EAEAE5"/>
          </w:tcPr>
          <w:p>
            <w:pPr>
              <w:jc w:val="center"/>
              <w:ind w:right="69"/>
              <w:spacing w:after="0"/>
              <w:rPr>
                <w:sz w:val="20"/>
                <w:szCs w:val="20"/>
                <w:color w:val="auto"/>
              </w:rPr>
            </w:pPr>
            <w:r>
              <w:rPr>
                <w:rFonts w:ascii="Arial" w:cs="Arial" w:eastAsia="Arial" w:hAnsi="Arial"/>
                <w:sz w:val="16"/>
                <w:szCs w:val="16"/>
                <w:color w:val="604F2B"/>
              </w:rPr>
              <w:t>●</w:t>
            </w:r>
          </w:p>
        </w:tc>
        <w:tc>
          <w:tcPr>
            <w:tcW w:w="1360" w:type="dxa"/>
            <w:vAlign w:val="bottom"/>
            <w:tcBorders>
              <w:right w:val="single" w:sz="8" w:color="EAEAE5"/>
            </w:tcBorders>
            <w:vMerge w:val="restart"/>
            <w:shd w:val="clear" w:color="auto" w:fill="EAEAE5"/>
          </w:tcPr>
          <w:p>
            <w:pPr>
              <w:jc w:val="center"/>
              <w:ind w:right="66"/>
              <w:spacing w:after="0"/>
              <w:rPr>
                <w:sz w:val="20"/>
                <w:szCs w:val="20"/>
                <w:color w:val="auto"/>
              </w:rPr>
            </w:pPr>
            <w:r>
              <w:rPr>
                <w:rFonts w:ascii="Arial" w:cs="Arial" w:eastAsia="Arial" w:hAnsi="Arial"/>
                <w:sz w:val="16"/>
                <w:szCs w:val="16"/>
                <w:color w:val="604F2B"/>
              </w:rPr>
              <w:t>●</w:t>
            </w:r>
          </w:p>
        </w:tc>
        <w:tc>
          <w:tcPr>
            <w:tcW w:w="1380" w:type="dxa"/>
            <w:vAlign w:val="bottom"/>
            <w:vMerge w:val="restart"/>
            <w:shd w:val="clear" w:color="auto" w:fill="EAEAE5"/>
          </w:tcPr>
          <w:p>
            <w:pPr>
              <w:jc w:val="center"/>
              <w:ind w:right="48"/>
              <w:spacing w:after="0"/>
              <w:rPr>
                <w:sz w:val="20"/>
                <w:szCs w:val="20"/>
                <w:color w:val="auto"/>
              </w:rPr>
            </w:pPr>
            <w:r>
              <w:rPr>
                <w:rFonts w:ascii="Arial" w:cs="Arial" w:eastAsia="Arial" w:hAnsi="Arial"/>
                <w:sz w:val="16"/>
                <w:szCs w:val="16"/>
                <w:color w:val="604F2B"/>
              </w:rPr>
              <w:t>●</w:t>
            </w:r>
          </w:p>
        </w:tc>
        <w:tc>
          <w:tcPr>
            <w:tcW w:w="0" w:type="dxa"/>
            <w:vAlign w:val="bottom"/>
          </w:tcPr>
          <w:p>
            <w:pPr>
              <w:spacing w:after="0"/>
              <w:rPr>
                <w:sz w:val="1"/>
                <w:szCs w:val="1"/>
                <w:color w:val="auto"/>
              </w:rPr>
            </w:pPr>
          </w:p>
        </w:tc>
      </w:tr>
      <w:tr>
        <w:trPr>
          <w:trHeight w:val="235"/>
        </w:trPr>
        <w:tc>
          <w:tcPr>
            <w:tcW w:w="300" w:type="dxa"/>
            <w:vAlign w:val="bottom"/>
            <w:tcBorders>
              <w:bottom w:val="single" w:sz="8" w:color="EAEAE5"/>
            </w:tcBorders>
            <w:shd w:val="clear" w:color="auto" w:fill="EAEAE5"/>
          </w:tcPr>
          <w:p>
            <w:pPr>
              <w:spacing w:after="0"/>
              <w:rPr>
                <w:sz w:val="20"/>
                <w:szCs w:val="20"/>
                <w:color w:val="auto"/>
              </w:rPr>
            </w:pPr>
          </w:p>
        </w:tc>
        <w:tc>
          <w:tcPr>
            <w:tcW w:w="3440" w:type="dxa"/>
            <w:vAlign w:val="bottom"/>
            <w:tcBorders>
              <w:bottom w:val="single" w:sz="8" w:color="EAEAE5"/>
            </w:tcBorders>
            <w:shd w:val="clear" w:color="auto" w:fill="EAEAE5"/>
          </w:tcPr>
          <w:p>
            <w:pPr>
              <w:ind w:left="260"/>
              <w:spacing w:after="0"/>
              <w:rPr>
                <w:sz w:val="20"/>
                <w:szCs w:val="20"/>
                <w:color w:val="auto"/>
              </w:rPr>
            </w:pPr>
            <w:r>
              <w:rPr>
                <w:rFonts w:ascii="Arial" w:cs="Arial" w:eastAsia="Arial" w:hAnsi="Arial"/>
                <w:sz w:val="16"/>
                <w:szCs w:val="16"/>
                <w:color w:val="auto"/>
              </w:rPr>
              <w:t>based</w:t>
            </w:r>
          </w:p>
        </w:tc>
        <w:tc>
          <w:tcPr>
            <w:tcW w:w="1460" w:type="dxa"/>
            <w:vAlign w:val="bottom"/>
            <w:tcBorders>
              <w:bottom w:val="single" w:sz="8" w:color="EAEAE5"/>
            </w:tcBorders>
            <w:vMerge w:val="continue"/>
            <w:shd w:val="clear" w:color="auto" w:fill="EAEAE5"/>
          </w:tcPr>
          <w:p>
            <w:pPr>
              <w:spacing w:after="0"/>
              <w:rPr>
                <w:sz w:val="20"/>
                <w:szCs w:val="20"/>
                <w:color w:val="auto"/>
              </w:rPr>
            </w:pPr>
          </w:p>
        </w:tc>
        <w:tc>
          <w:tcPr>
            <w:tcW w:w="1560" w:type="dxa"/>
            <w:vAlign w:val="bottom"/>
            <w:tcBorders>
              <w:bottom w:val="single" w:sz="8" w:color="EAEAE5"/>
              <w:right w:val="single" w:sz="8" w:color="EAEAE5"/>
            </w:tcBorders>
            <w:vMerge w:val="continue"/>
            <w:shd w:val="clear" w:color="auto" w:fill="EAEAE5"/>
          </w:tcPr>
          <w:p>
            <w:pPr>
              <w:spacing w:after="0"/>
              <w:rPr>
                <w:sz w:val="20"/>
                <w:szCs w:val="20"/>
                <w:color w:val="auto"/>
              </w:rPr>
            </w:pPr>
          </w:p>
        </w:tc>
        <w:tc>
          <w:tcPr>
            <w:tcW w:w="1520" w:type="dxa"/>
            <w:vAlign w:val="bottom"/>
            <w:tcBorders>
              <w:bottom w:val="single" w:sz="8" w:color="EAEAE5"/>
              <w:right w:val="single" w:sz="8" w:color="EAEAE5"/>
            </w:tcBorders>
            <w:vMerge w:val="continue"/>
            <w:shd w:val="clear" w:color="auto" w:fill="EAEAE5"/>
          </w:tcPr>
          <w:p>
            <w:pPr>
              <w:spacing w:after="0"/>
              <w:rPr>
                <w:sz w:val="20"/>
                <w:szCs w:val="20"/>
                <w:color w:val="auto"/>
              </w:rPr>
            </w:pPr>
          </w:p>
        </w:tc>
        <w:tc>
          <w:tcPr>
            <w:tcW w:w="1360" w:type="dxa"/>
            <w:vAlign w:val="bottom"/>
            <w:tcBorders>
              <w:bottom w:val="single" w:sz="8" w:color="EAEAE5"/>
              <w:right w:val="single" w:sz="8" w:color="EAEAE5"/>
            </w:tcBorders>
            <w:vMerge w:val="continue"/>
            <w:shd w:val="clear" w:color="auto" w:fill="EAEAE5"/>
          </w:tcPr>
          <w:p>
            <w:pPr>
              <w:spacing w:after="0"/>
              <w:rPr>
                <w:sz w:val="20"/>
                <w:szCs w:val="20"/>
                <w:color w:val="auto"/>
              </w:rPr>
            </w:pPr>
          </w:p>
        </w:tc>
        <w:tc>
          <w:tcPr>
            <w:tcW w:w="1380" w:type="dxa"/>
            <w:vAlign w:val="bottom"/>
            <w:tcBorders>
              <w:bottom w:val="single" w:sz="8" w:color="EAEAE5"/>
            </w:tcBorders>
            <w:vMerge w:val="continue"/>
            <w:shd w:val="clear" w:color="auto" w:fill="EAEAE5"/>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30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3440" w:type="dxa"/>
            <w:vAlign w:val="bottom"/>
          </w:tcPr>
          <w:p>
            <w:pPr>
              <w:ind w:left="260"/>
              <w:spacing w:after="0"/>
              <w:rPr>
                <w:sz w:val="20"/>
                <w:szCs w:val="20"/>
                <w:color w:val="auto"/>
              </w:rPr>
            </w:pPr>
            <w:r>
              <w:rPr>
                <w:rFonts w:ascii="Arial" w:cs="Arial" w:eastAsia="Arial" w:hAnsi="Arial"/>
                <w:sz w:val="16"/>
                <w:szCs w:val="16"/>
                <w:color w:val="auto"/>
              </w:rPr>
              <w:t>Performance-based stock units comprise</w:t>
            </w:r>
          </w:p>
        </w:tc>
        <w:tc>
          <w:tcPr>
            <w:tcW w:w="1460" w:type="dxa"/>
            <w:vAlign w:val="bottom"/>
            <w:vMerge w:val="restart"/>
          </w:tcPr>
          <w:p>
            <w:pPr>
              <w:jc w:val="center"/>
              <w:spacing w:after="0"/>
              <w:rPr>
                <w:sz w:val="20"/>
                <w:szCs w:val="20"/>
                <w:color w:val="auto"/>
              </w:rPr>
            </w:pPr>
            <w:r>
              <w:rPr>
                <w:rFonts w:ascii="Arial" w:cs="Arial" w:eastAsia="Arial" w:hAnsi="Arial"/>
                <w:sz w:val="16"/>
                <w:szCs w:val="16"/>
                <w:color w:val="604F2B"/>
              </w:rPr>
              <w:t>●</w:t>
            </w:r>
          </w:p>
        </w:tc>
        <w:tc>
          <w:tcPr>
            <w:tcW w:w="1560" w:type="dxa"/>
            <w:vAlign w:val="bottom"/>
            <w:vMerge w:val="restart"/>
          </w:tcPr>
          <w:p>
            <w:pPr>
              <w:jc w:val="center"/>
              <w:spacing w:after="0"/>
              <w:rPr>
                <w:sz w:val="20"/>
                <w:szCs w:val="20"/>
                <w:color w:val="auto"/>
              </w:rPr>
            </w:pPr>
            <w:r>
              <w:rPr>
                <w:rFonts w:ascii="Arial" w:cs="Arial" w:eastAsia="Arial" w:hAnsi="Arial"/>
                <w:sz w:val="16"/>
                <w:szCs w:val="16"/>
                <w:color w:val="604F2B"/>
              </w:rPr>
              <w:t>●</w:t>
            </w:r>
          </w:p>
        </w:tc>
        <w:tc>
          <w:tcPr>
            <w:tcW w:w="1520" w:type="dxa"/>
            <w:vAlign w:val="bottom"/>
            <w:vMerge w:val="restart"/>
          </w:tcPr>
          <w:p>
            <w:pPr>
              <w:jc w:val="center"/>
              <w:ind w:right="69"/>
              <w:spacing w:after="0"/>
              <w:rPr>
                <w:sz w:val="20"/>
                <w:szCs w:val="20"/>
                <w:color w:val="auto"/>
              </w:rPr>
            </w:pPr>
            <w:r>
              <w:rPr>
                <w:rFonts w:ascii="Arial" w:cs="Arial" w:eastAsia="Arial" w:hAnsi="Arial"/>
                <w:sz w:val="16"/>
                <w:szCs w:val="16"/>
                <w:color w:val="604F2B"/>
              </w:rPr>
              <w:t>●</w:t>
            </w:r>
          </w:p>
        </w:tc>
        <w:tc>
          <w:tcPr>
            <w:tcW w:w="1360" w:type="dxa"/>
            <w:vAlign w:val="bottom"/>
            <w:vMerge w:val="restart"/>
          </w:tcPr>
          <w:p>
            <w:pPr>
              <w:jc w:val="center"/>
              <w:ind w:right="66"/>
              <w:spacing w:after="0"/>
              <w:rPr>
                <w:sz w:val="20"/>
                <w:szCs w:val="20"/>
                <w:color w:val="auto"/>
              </w:rPr>
            </w:pPr>
            <w:r>
              <w:rPr>
                <w:rFonts w:ascii="Arial" w:cs="Arial" w:eastAsia="Arial" w:hAnsi="Arial"/>
                <w:sz w:val="16"/>
                <w:szCs w:val="16"/>
                <w:color w:val="604F2B"/>
              </w:rPr>
              <w:t>●</w:t>
            </w:r>
          </w:p>
        </w:tc>
        <w:tc>
          <w:tcPr>
            <w:tcW w:w="1380" w:type="dxa"/>
            <w:vAlign w:val="bottom"/>
            <w:vMerge w:val="restart"/>
          </w:tcPr>
          <w:p>
            <w:pPr>
              <w:jc w:val="center"/>
              <w:ind w:right="48"/>
              <w:spacing w:after="0"/>
              <w:rPr>
                <w:sz w:val="20"/>
                <w:szCs w:val="20"/>
                <w:color w:val="auto"/>
              </w:rPr>
            </w:pPr>
            <w:r>
              <w:rPr>
                <w:rFonts w:ascii="Arial" w:cs="Arial" w:eastAsia="Arial" w:hAnsi="Arial"/>
                <w:sz w:val="16"/>
                <w:szCs w:val="16"/>
                <w:color w:val="604F2B"/>
              </w:rPr>
              <w:t>●</w:t>
            </w:r>
          </w:p>
        </w:tc>
        <w:tc>
          <w:tcPr>
            <w:tcW w:w="0" w:type="dxa"/>
            <w:vAlign w:val="bottom"/>
          </w:tcPr>
          <w:p>
            <w:pPr>
              <w:spacing w:after="0"/>
              <w:rPr>
                <w:sz w:val="1"/>
                <w:szCs w:val="1"/>
                <w:color w:val="auto"/>
              </w:rPr>
            </w:pPr>
          </w:p>
        </w:tc>
      </w:tr>
      <w:tr>
        <w:trPr>
          <w:trHeight w:val="195"/>
        </w:trPr>
        <w:tc>
          <w:tcPr>
            <w:tcW w:w="300" w:type="dxa"/>
            <w:vAlign w:val="bottom"/>
          </w:tcPr>
          <w:p>
            <w:pPr>
              <w:spacing w:after="0"/>
              <w:rPr>
                <w:sz w:val="16"/>
                <w:szCs w:val="16"/>
                <w:color w:val="auto"/>
              </w:rPr>
            </w:pPr>
          </w:p>
        </w:tc>
        <w:tc>
          <w:tcPr>
            <w:tcW w:w="3440" w:type="dxa"/>
            <w:vAlign w:val="bottom"/>
          </w:tcPr>
          <w:p>
            <w:pPr>
              <w:ind w:left="260"/>
              <w:spacing w:after="0"/>
              <w:rPr>
                <w:sz w:val="20"/>
                <w:szCs w:val="20"/>
                <w:color w:val="auto"/>
              </w:rPr>
            </w:pPr>
            <w:r>
              <w:rPr>
                <w:rFonts w:ascii="Arial" w:cs="Arial" w:eastAsia="Arial" w:hAnsi="Arial"/>
                <w:sz w:val="16"/>
                <w:szCs w:val="16"/>
                <w:color w:val="auto"/>
              </w:rPr>
              <w:t>majority of long-term incentives</w:t>
            </w:r>
          </w:p>
        </w:tc>
        <w:tc>
          <w:tcPr>
            <w:tcW w:w="146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196850" cy="325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6850" cy="325755"/>
                    </a:xfrm>
                    <a:prstGeom prst="rect">
                      <a:avLst/>
                    </a:prstGeom>
                    <a:noFill/>
                  </pic:spPr>
                </pic:pic>
              </a:graphicData>
            </a:graphic>
          </wp:anchor>
        </w:drawing>
      </w:r>
    </w:p>
    <w:p>
      <w:pPr>
        <w:spacing w:after="0" w:line="103" w:lineRule="exact"/>
        <w:rPr>
          <w:sz w:val="20"/>
          <w:szCs w:val="20"/>
          <w:color w:val="auto"/>
        </w:rPr>
      </w:pPr>
    </w:p>
    <w:p>
      <w:pPr>
        <w:ind w:left="680" w:hanging="492"/>
        <w:spacing w:after="0"/>
        <w:tabs>
          <w:tab w:leader="none" w:pos="680" w:val="left"/>
        </w:tabs>
        <w:numPr>
          <w:ilvl w:val="0"/>
          <w:numId w:val="55"/>
        </w:numPr>
        <w:rPr>
          <w:rFonts w:ascii="MS PGothic" w:cs="MS PGothic" w:eastAsia="MS PGothic" w:hAnsi="MS PGothic"/>
          <w:sz w:val="16"/>
          <w:szCs w:val="16"/>
          <w:color w:val="auto"/>
        </w:rPr>
      </w:pPr>
      <w:r>
        <w:rPr>
          <w:rFonts w:ascii="Arial" w:cs="Arial" w:eastAsia="Arial" w:hAnsi="Arial"/>
          <w:sz w:val="16"/>
          <w:szCs w:val="16"/>
          <w:color w:val="auto"/>
        </w:rPr>
        <w:t>Annual incentives subject to negative Board</w:t>
      </w:r>
    </w:p>
    <w:tbl>
      <w:tblPr>
        <w:tblLayout w:type="fixed"/>
        <w:tblInd w:w="18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3580" w:type="dxa"/>
            <w:vAlign w:val="bottom"/>
          </w:tcPr>
          <w:p>
            <w:pPr>
              <w:ind w:left="180"/>
              <w:spacing w:after="0"/>
              <w:rPr>
                <w:sz w:val="20"/>
                <w:szCs w:val="20"/>
                <w:color w:val="auto"/>
              </w:rPr>
            </w:pPr>
            <w:r>
              <w:rPr>
                <w:rFonts w:ascii="Arial" w:cs="Arial" w:eastAsia="Arial" w:hAnsi="Arial"/>
                <w:sz w:val="16"/>
                <w:szCs w:val="16"/>
                <w:color w:val="auto"/>
              </w:rPr>
              <w:t>discretion</w:t>
            </w:r>
          </w:p>
        </w:tc>
        <w:tc>
          <w:tcPr>
            <w:tcW w:w="1240" w:type="dxa"/>
            <w:vAlign w:val="bottom"/>
          </w:tcPr>
          <w:p>
            <w:pPr>
              <w:ind w:left="440"/>
              <w:spacing w:after="0"/>
              <w:rPr>
                <w:sz w:val="20"/>
                <w:szCs w:val="20"/>
                <w:color w:val="auto"/>
              </w:rPr>
            </w:pPr>
            <w:r>
              <w:rPr>
                <w:rFonts w:ascii="Arial" w:cs="Arial" w:eastAsia="Arial" w:hAnsi="Arial"/>
                <w:sz w:val="16"/>
                <w:szCs w:val="16"/>
                <w:color w:val="604F2B"/>
              </w:rPr>
              <w:t>●</w:t>
            </w:r>
          </w:p>
        </w:tc>
        <w:tc>
          <w:tcPr>
            <w:tcW w:w="2220" w:type="dxa"/>
            <w:vAlign w:val="bottom"/>
          </w:tcPr>
          <w:p>
            <w:pPr>
              <w:ind w:left="700"/>
              <w:spacing w:after="0"/>
              <w:rPr>
                <w:sz w:val="20"/>
                <w:szCs w:val="20"/>
                <w:color w:val="auto"/>
              </w:rPr>
            </w:pPr>
            <w:r>
              <w:rPr>
                <w:rFonts w:ascii="Arial" w:cs="Arial" w:eastAsia="Arial" w:hAnsi="Arial"/>
                <w:sz w:val="16"/>
                <w:szCs w:val="16"/>
                <w:color w:val="604F2B"/>
              </w:rPr>
              <w:t>●</w:t>
            </w:r>
          </w:p>
        </w:tc>
        <w:tc>
          <w:tcPr>
            <w:tcW w:w="2160" w:type="dxa"/>
            <w:vAlign w:val="bottom"/>
          </w:tcPr>
          <w:p>
            <w:pPr>
              <w:ind w:left="1420"/>
              <w:spacing w:after="0"/>
              <w:rPr>
                <w:sz w:val="20"/>
                <w:szCs w:val="20"/>
                <w:color w:val="auto"/>
              </w:rPr>
            </w:pPr>
            <w:r>
              <w:rPr>
                <w:rFonts w:ascii="Arial" w:cs="Arial" w:eastAsia="Arial" w:hAnsi="Arial"/>
                <w:sz w:val="16"/>
                <w:szCs w:val="16"/>
                <w:color w:val="604F2B"/>
              </w:rPr>
              <w:t>●</w:t>
            </w:r>
          </w:p>
        </w:tc>
        <w:tc>
          <w:tcPr>
            <w:tcW w:w="740" w:type="dxa"/>
            <w:vAlign w:val="bottom"/>
          </w:tcPr>
          <w:p>
            <w:pPr>
              <w:spacing w:after="0"/>
              <w:rPr>
                <w:sz w:val="17"/>
                <w:szCs w:val="17"/>
                <w:color w:val="auto"/>
              </w:rPr>
            </w:pPr>
          </w:p>
        </w:tc>
      </w:tr>
      <w:tr>
        <w:trPr>
          <w:trHeight w:val="341"/>
        </w:trPr>
        <w:tc>
          <w:tcPr>
            <w:tcW w:w="32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3580" w:type="dxa"/>
            <w:vAlign w:val="bottom"/>
          </w:tcPr>
          <w:p>
            <w:pPr>
              <w:ind w:left="180"/>
              <w:spacing w:after="0"/>
              <w:rPr>
                <w:sz w:val="20"/>
                <w:szCs w:val="20"/>
                <w:color w:val="auto"/>
              </w:rPr>
            </w:pPr>
            <w:r>
              <w:rPr>
                <w:rFonts w:ascii="Arial" w:cs="Arial" w:eastAsia="Arial" w:hAnsi="Arial"/>
                <w:sz w:val="16"/>
                <w:szCs w:val="16"/>
                <w:color w:val="auto"/>
              </w:rPr>
              <w:t>Stock Ownership Guidelines for all NEOs</w:t>
            </w:r>
          </w:p>
        </w:tc>
        <w:tc>
          <w:tcPr>
            <w:tcW w:w="1240" w:type="dxa"/>
            <w:vAlign w:val="bottom"/>
          </w:tcPr>
          <w:p>
            <w:pPr>
              <w:spacing w:after="0"/>
              <w:rPr>
                <w:sz w:val="24"/>
                <w:szCs w:val="24"/>
                <w:color w:val="auto"/>
              </w:rPr>
            </w:pPr>
          </w:p>
        </w:tc>
        <w:tc>
          <w:tcPr>
            <w:tcW w:w="2220" w:type="dxa"/>
            <w:vAlign w:val="bottom"/>
          </w:tcPr>
          <w:p>
            <w:pPr>
              <w:ind w:left="700"/>
              <w:spacing w:after="0"/>
              <w:rPr>
                <w:sz w:val="20"/>
                <w:szCs w:val="20"/>
                <w:color w:val="auto"/>
              </w:rPr>
            </w:pPr>
            <w:r>
              <w:rPr>
                <w:rFonts w:ascii="Arial" w:cs="Arial" w:eastAsia="Arial" w:hAnsi="Arial"/>
                <w:sz w:val="16"/>
                <w:szCs w:val="16"/>
                <w:color w:val="604F2B"/>
              </w:rPr>
              <w:t>●</w:t>
            </w:r>
          </w:p>
        </w:tc>
        <w:tc>
          <w:tcPr>
            <w:tcW w:w="2160" w:type="dxa"/>
            <w:vAlign w:val="bottom"/>
          </w:tcPr>
          <w:p>
            <w:pPr>
              <w:ind w:left="1420"/>
              <w:spacing w:after="0"/>
              <w:rPr>
                <w:sz w:val="20"/>
                <w:szCs w:val="20"/>
                <w:color w:val="auto"/>
              </w:rPr>
            </w:pPr>
            <w:r>
              <w:rPr>
                <w:rFonts w:ascii="Arial" w:cs="Arial" w:eastAsia="Arial" w:hAnsi="Arial"/>
                <w:sz w:val="16"/>
                <w:szCs w:val="16"/>
                <w:color w:val="604F2B"/>
              </w:rPr>
              <w:t>●</w:t>
            </w:r>
          </w:p>
        </w:tc>
        <w:tc>
          <w:tcPr>
            <w:tcW w:w="740" w:type="dxa"/>
            <w:vAlign w:val="bottom"/>
          </w:tcPr>
          <w:p>
            <w:pPr>
              <w:ind w:left="640"/>
              <w:spacing w:after="0"/>
              <w:rPr>
                <w:sz w:val="20"/>
                <w:szCs w:val="20"/>
                <w:color w:val="auto"/>
              </w:rPr>
            </w:pPr>
            <w:r>
              <w:rPr>
                <w:rFonts w:ascii="Arial" w:cs="Arial" w:eastAsia="Arial" w:hAnsi="Arial"/>
                <w:sz w:val="16"/>
                <w:szCs w:val="16"/>
                <w:color w:val="604F2B"/>
                <w:w w:val="82"/>
              </w:rPr>
              <w:t>●</w:t>
            </w:r>
          </w:p>
        </w:tc>
      </w:tr>
    </w:tbl>
    <w:p>
      <w:pPr>
        <w:spacing w:after="0" w:line="131" w:lineRule="exact"/>
        <w:rPr>
          <w:sz w:val="20"/>
          <w:szCs w:val="20"/>
          <w:color w:val="auto"/>
        </w:rPr>
      </w:pPr>
    </w:p>
    <w:p>
      <w:pPr>
        <w:ind w:left="280" w:hanging="164"/>
        <w:spacing w:after="0"/>
        <w:tabs>
          <w:tab w:leader="none" w:pos="280" w:val="left"/>
        </w:tabs>
        <w:numPr>
          <w:ilvl w:val="0"/>
          <w:numId w:val="56"/>
        </w:numPr>
        <w:rPr>
          <w:rFonts w:ascii="Arial" w:cs="Arial" w:eastAsia="Arial" w:hAnsi="Arial"/>
          <w:sz w:val="11"/>
          <w:szCs w:val="11"/>
          <w:color w:val="auto"/>
        </w:rPr>
      </w:pPr>
      <w:r>
        <w:rPr>
          <w:rFonts w:ascii="Arial" w:cs="Arial" w:eastAsia="Arial" w:hAnsi="Arial"/>
          <w:sz w:val="13"/>
          <w:szCs w:val="13"/>
          <w:color w:val="auto"/>
        </w:rPr>
        <w:t>Based on 2020 Total Direct Compensation for NEOs excluding the CEO’s employment contract extension grant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27"/>
          <w:szCs w:val="27"/>
          <w:color w:val="604F2B"/>
        </w:rPr>
        <w:t>How the company has performed</w:t>
      </w:r>
    </w:p>
    <w:p>
      <w:pPr>
        <w:spacing w:after="0" w:line="21" w:lineRule="exact"/>
        <w:rPr>
          <w:sz w:val="20"/>
          <w:szCs w:val="20"/>
          <w:color w:val="auto"/>
        </w:rPr>
      </w:pPr>
    </w:p>
    <w:p>
      <w:pPr>
        <w:ind w:left="120" w:right="200"/>
        <w:spacing w:after="0" w:line="237" w:lineRule="auto"/>
        <w:rPr>
          <w:sz w:val="20"/>
          <w:szCs w:val="20"/>
          <w:color w:val="auto"/>
        </w:rPr>
      </w:pPr>
      <w:r>
        <w:rPr>
          <w:rFonts w:ascii="Arial" w:cs="Arial" w:eastAsia="Arial" w:hAnsi="Arial"/>
          <w:sz w:val="18"/>
          <w:szCs w:val="18"/>
          <w:color w:val="auto"/>
        </w:rPr>
        <w:t>While our year-to-year performance can be significantly impacted by market factors, geopolitical events and investor sentiment, we have delivered significant outperformance since our initial public offering in October 2002 through October 2020. Over that 18-year period, the Company has averaged a 16% annual Total Shareholder Return (“TSR”), (including reinvestment of dividends), which is substantially above the TSR of both the S&amp;P 500 (approximately 10% average annual TSR) and the S&amp;P Consumer Discretionary Index (approximately 12% average annual TSR) over the same time period. We have also delivered an average annual TSR nearly four times our closest industry peers.</w:t>
      </w:r>
      <w:r>
        <w:rPr>
          <w:rFonts w:ascii="Arial" w:cs="Arial" w:eastAsia="Arial" w:hAnsi="Arial"/>
          <w:sz w:val="15"/>
          <w:szCs w:val="15"/>
          <w:color w:val="auto"/>
        </w:rPr>
        <w:t>(1)</w:t>
      </w:r>
      <w:r>
        <w:rPr>
          <w:rFonts w:ascii="Arial" w:cs="Arial" w:eastAsia="Arial" w:hAnsi="Arial"/>
          <w:sz w:val="18"/>
          <w:szCs w:val="18"/>
          <w:color w:val="auto"/>
        </w:rPr>
        <w:t xml:space="preserve"> We believe these results are driven by our focused, long-term investment in our properties and by our relentless dedication to delivering the industry’s best customer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129540</wp:posOffset>
            </wp:positionV>
            <wp:extent cx="4697730" cy="25628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97730"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0" w:right="780" w:hanging="4"/>
        <w:spacing w:after="0" w:line="230" w:lineRule="auto"/>
        <w:tabs>
          <w:tab w:leader="none" w:pos="286" w:val="left"/>
        </w:tabs>
        <w:numPr>
          <w:ilvl w:val="0"/>
          <w:numId w:val="57"/>
        </w:numPr>
        <w:rPr>
          <w:rFonts w:ascii="Arial" w:cs="Arial" w:eastAsia="Arial" w:hAnsi="Arial"/>
          <w:sz w:val="11"/>
          <w:szCs w:val="11"/>
          <w:color w:val="auto"/>
        </w:rPr>
      </w:pPr>
      <w:r>
        <w:rPr>
          <w:rFonts w:ascii="Arial" w:cs="Arial" w:eastAsia="Arial" w:hAnsi="Arial"/>
          <w:sz w:val="13"/>
          <w:szCs w:val="13"/>
          <w:color w:val="auto"/>
        </w:rPr>
        <w:t>Industry peers reflect Las Vegas Sands and MGM Resorts. Las Vegas Sands’ TSR is measured from the market close on the day of their IPO on 12/15/2004 (average annual TSR of approximately 4%). MGM Resorts’ TSR is measured from the close on the date of Wynn Resorts’ IPO on 10/25/2002 (average annual TSR of approximately 4%).</w:t>
      </w:r>
    </w:p>
    <w:p>
      <w:pPr>
        <w:spacing w:after="0" w:line="48" w:lineRule="exact"/>
        <w:rPr>
          <w:sz w:val="20"/>
          <w:szCs w:val="20"/>
          <w:color w:val="auto"/>
        </w:rPr>
      </w:pPr>
    </w:p>
    <w:p>
      <w:pPr>
        <w:ind w:left="800" w:hanging="684"/>
        <w:spacing w:after="0"/>
        <w:tabs>
          <w:tab w:leader="none" w:pos="800" w:val="left"/>
        </w:tabs>
        <w:numPr>
          <w:ilvl w:val="0"/>
          <w:numId w:val="58"/>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27"/>
          <w:szCs w:val="27"/>
          <w:color w:val="604F2B"/>
        </w:rPr>
        <w:t>Our key accomplishments in 2020 include:</w:t>
      </w:r>
    </w:p>
    <w:p>
      <w:pPr>
        <w:spacing w:after="0" w:line="21" w:lineRule="exact"/>
        <w:rPr>
          <w:sz w:val="20"/>
          <w:szCs w:val="20"/>
          <w:color w:val="auto"/>
        </w:rPr>
      </w:pPr>
    </w:p>
    <w:p>
      <w:pPr>
        <w:ind w:left="340" w:right="400" w:hanging="224"/>
        <w:spacing w:after="0" w:line="238"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604F2B"/>
        </w:rPr>
        <w:t xml:space="preserve">Industry-Leading Response to the COVID-19 Pandemic. </w:t>
      </w:r>
      <w:r>
        <w:rPr>
          <w:rFonts w:ascii="Arial" w:cs="Arial" w:eastAsia="Arial" w:hAnsi="Arial"/>
          <w:sz w:val="18"/>
          <w:szCs w:val="18"/>
          <w:color w:val="000000"/>
        </w:rPr>
        <w:t>We pre-emptively closed our Las Vegas Operations to protect our</w:t>
      </w:r>
      <w:r>
        <w:rPr>
          <w:rFonts w:ascii="Arial" w:cs="Arial" w:eastAsia="Arial" w:hAnsi="Arial"/>
          <w:sz w:val="18"/>
          <w:szCs w:val="18"/>
          <w:b w:val="1"/>
          <w:bCs w:val="1"/>
          <w:color w:val="604F2B"/>
        </w:rPr>
        <w:t xml:space="preserve"> </w:t>
      </w:r>
      <w:r>
        <w:rPr>
          <w:rFonts w:ascii="Arial" w:cs="Arial" w:eastAsia="Arial" w:hAnsi="Arial"/>
          <w:sz w:val="18"/>
          <w:szCs w:val="18"/>
          <w:color w:val="000000"/>
        </w:rPr>
        <w:t>customers, our partners and our employees in response to the COVID-19 pandemic. We created and adopted the industry-leading approach to allow our resorts to reopen safely. We leveraged resources to assist local health services to broaden access to testing, which contributed to reopening our resorts earlier.</w:t>
      </w:r>
    </w:p>
    <w:p>
      <w:pPr>
        <w:spacing w:after="0" w:line="182" w:lineRule="exact"/>
        <w:rPr>
          <w:rFonts w:ascii="Arial" w:cs="Arial" w:eastAsia="Arial" w:hAnsi="Arial"/>
          <w:sz w:val="18"/>
          <w:szCs w:val="18"/>
          <w:color w:val="auto"/>
        </w:rPr>
      </w:pPr>
    </w:p>
    <w:p>
      <w:pPr>
        <w:ind w:left="340" w:right="80" w:hanging="224"/>
        <w:spacing w:after="0" w:line="247"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604F2B"/>
        </w:rPr>
        <w:t>Advanced our Digital Gaming Strategy</w:t>
      </w:r>
      <w:r>
        <w:rPr>
          <w:rFonts w:ascii="Arial" w:cs="Arial" w:eastAsia="Arial" w:hAnsi="Arial"/>
          <w:sz w:val="18"/>
          <w:szCs w:val="18"/>
          <w:color w:val="000000"/>
        </w:rPr>
        <w:t>. We accelerated our digital sports betting strategy by acquiring a controlling stake in BetBull</w:t>
      </w:r>
      <w:r>
        <w:rPr>
          <w:rFonts w:ascii="Arial" w:cs="Arial" w:eastAsia="Arial" w:hAnsi="Arial"/>
          <w:sz w:val="18"/>
          <w:szCs w:val="18"/>
          <w:b w:val="1"/>
          <w:bCs w:val="1"/>
          <w:color w:val="604F2B"/>
        </w:rPr>
        <w:t xml:space="preserve"> </w:t>
      </w:r>
      <w:r>
        <w:rPr>
          <w:rFonts w:ascii="Arial" w:cs="Arial" w:eastAsia="Arial" w:hAnsi="Arial"/>
          <w:sz w:val="18"/>
          <w:szCs w:val="18"/>
          <w:color w:val="000000"/>
        </w:rPr>
        <w:t>in October 2020, and aggressively growing our domestic interactive business. By the end of 2020, a subsidiary of Wynn Interactive had secured market access in seven states and had agreements for additional market access pending legalization in other states. We launched our app, WynnBET, to pursue growth in the market.</w:t>
      </w:r>
    </w:p>
    <w:p>
      <w:pPr>
        <w:spacing w:after="0" w:line="173" w:lineRule="exact"/>
        <w:rPr>
          <w:rFonts w:ascii="Arial" w:cs="Arial" w:eastAsia="Arial" w:hAnsi="Arial"/>
          <w:sz w:val="18"/>
          <w:szCs w:val="18"/>
          <w:color w:val="auto"/>
        </w:rPr>
      </w:pPr>
    </w:p>
    <w:p>
      <w:pPr>
        <w:ind w:left="340" w:right="1420" w:hanging="224"/>
        <w:spacing w:after="0" w:line="271"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604F2B"/>
        </w:rPr>
        <w:t xml:space="preserve">Growing Mass Gaming Share in Macau. </w:t>
      </w:r>
      <w:r>
        <w:rPr>
          <w:rFonts w:ascii="Arial" w:cs="Arial" w:eastAsia="Arial" w:hAnsi="Arial"/>
          <w:sz w:val="18"/>
          <w:szCs w:val="18"/>
          <w:color w:val="000000"/>
        </w:rPr>
        <w:t>Upon reopening in Macau, our team has focused on continuing to grow our</w:t>
      </w:r>
      <w:r>
        <w:rPr>
          <w:rFonts w:ascii="Arial" w:cs="Arial" w:eastAsia="Arial" w:hAnsi="Arial"/>
          <w:sz w:val="18"/>
          <w:szCs w:val="18"/>
          <w:b w:val="1"/>
          <w:bCs w:val="1"/>
          <w:color w:val="604F2B"/>
        </w:rPr>
        <w:t xml:space="preserve"> </w:t>
      </w:r>
      <w:r>
        <w:rPr>
          <w:rFonts w:ascii="Arial" w:cs="Arial" w:eastAsia="Arial" w:hAnsi="Arial"/>
          <w:sz w:val="18"/>
          <w:szCs w:val="18"/>
          <w:color w:val="000000"/>
        </w:rPr>
        <w:t>mass table gaming market share, which increased approximately 160 basis points year over year in 4Q 2020.</w:t>
      </w:r>
    </w:p>
    <w:p>
      <w:pPr>
        <w:spacing w:after="0" w:line="153" w:lineRule="exact"/>
        <w:rPr>
          <w:rFonts w:ascii="Arial" w:cs="Arial" w:eastAsia="Arial" w:hAnsi="Arial"/>
          <w:sz w:val="18"/>
          <w:szCs w:val="18"/>
          <w:color w:val="auto"/>
        </w:rPr>
      </w:pPr>
    </w:p>
    <w:p>
      <w:pPr>
        <w:ind w:left="340" w:right="180" w:hanging="224"/>
        <w:spacing w:after="0" w:line="24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604F2B"/>
        </w:rPr>
        <w:t xml:space="preserve">Targeted Capital Investment Program at Existing Properties. </w:t>
      </w:r>
      <w:r>
        <w:rPr>
          <w:rFonts w:ascii="Arial" w:cs="Arial" w:eastAsia="Arial" w:hAnsi="Arial"/>
          <w:sz w:val="18"/>
          <w:szCs w:val="18"/>
          <w:color w:val="000000"/>
        </w:rPr>
        <w:t>Although we halted many capital expenditure projects as a</w:t>
      </w:r>
      <w:r>
        <w:rPr>
          <w:rFonts w:ascii="Arial" w:cs="Arial" w:eastAsia="Arial" w:hAnsi="Arial"/>
          <w:sz w:val="18"/>
          <w:szCs w:val="18"/>
          <w:b w:val="1"/>
          <w:bCs w:val="1"/>
          <w:color w:val="604F2B"/>
        </w:rPr>
        <w:t xml:space="preserve"> </w:t>
      </w:r>
      <w:r>
        <w:rPr>
          <w:rFonts w:ascii="Arial" w:cs="Arial" w:eastAsia="Arial" w:hAnsi="Arial"/>
          <w:sz w:val="18"/>
          <w:szCs w:val="18"/>
          <w:color w:val="000000"/>
        </w:rPr>
        <w:t>consequence of the COVID-19 pandemic, we executed on targeted property enhancements where capital had already been deployed or where we saw an opportunity for a meaningful upgrade as we reopened. In Las Vegas, we completed construction of an approximately 430,000 square foot meeting and convention facility that is ready to welcome guests when it is safe to do so. We have designed and are prepared to make a meaningful room refreshment for the Wynn Las Vegas tower in the near term.</w:t>
      </w:r>
    </w:p>
    <w:p>
      <w:pPr>
        <w:spacing w:after="0" w:line="176" w:lineRule="exact"/>
        <w:rPr>
          <w:rFonts w:ascii="Arial" w:cs="Arial" w:eastAsia="Arial" w:hAnsi="Arial"/>
          <w:sz w:val="18"/>
          <w:szCs w:val="18"/>
          <w:color w:val="auto"/>
        </w:rPr>
      </w:pPr>
    </w:p>
    <w:p>
      <w:pPr>
        <w:ind w:left="340" w:right="20" w:hanging="224"/>
        <w:spacing w:after="0" w:line="244"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604F2B"/>
        </w:rPr>
        <w:t xml:space="preserve">Maintaining Healthy Liquidity and Financial Flexibility. </w:t>
      </w:r>
      <w:r>
        <w:rPr>
          <w:rFonts w:ascii="Arial" w:cs="Arial" w:eastAsia="Arial" w:hAnsi="Arial"/>
          <w:sz w:val="18"/>
          <w:szCs w:val="18"/>
          <w:color w:val="000000"/>
        </w:rPr>
        <w:t>Despite the COVID-19 pandemic, we opportunistically preserved our liquidity</w:t>
      </w:r>
      <w:r>
        <w:rPr>
          <w:rFonts w:ascii="Arial" w:cs="Arial" w:eastAsia="Arial" w:hAnsi="Arial"/>
          <w:sz w:val="18"/>
          <w:szCs w:val="18"/>
          <w:b w:val="1"/>
          <w:bCs w:val="1"/>
          <w:color w:val="604F2B"/>
        </w:rPr>
        <w:t xml:space="preserve"> </w:t>
      </w:r>
      <w:r>
        <w:rPr>
          <w:rFonts w:ascii="Arial" w:cs="Arial" w:eastAsia="Arial" w:hAnsi="Arial"/>
          <w:sz w:val="18"/>
          <w:szCs w:val="18"/>
          <w:color w:val="000000"/>
        </w:rPr>
        <w:t>and de-risked our Macau balance sheet. As of December 31, 2020, the Company had approximately $3.48 billion of cash and cash equivalents and $461.4 million of borrowing capacity available under our revolving credit facilities. During 2020, the Company continued to improve the maturity profile of its debt obligations in Macau by refinancing shorter tenor secured debt with longer tenor unsecured senior notes.</w:t>
      </w:r>
    </w:p>
    <w:p>
      <w:pPr>
        <w:spacing w:after="0" w:line="176" w:lineRule="exact"/>
        <w:rPr>
          <w:rFonts w:ascii="Arial" w:cs="Arial" w:eastAsia="Arial" w:hAnsi="Arial"/>
          <w:sz w:val="18"/>
          <w:szCs w:val="18"/>
          <w:color w:val="auto"/>
        </w:rPr>
      </w:pPr>
    </w:p>
    <w:p>
      <w:pPr>
        <w:ind w:left="340" w:right="160" w:hanging="224"/>
        <w:spacing w:after="0" w:line="242" w:lineRule="auto"/>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604F2B"/>
        </w:rPr>
        <w:t xml:space="preserve">Continued Recognition as a Preeminent Integrated Resort. </w:t>
      </w:r>
      <w:r>
        <w:rPr>
          <w:rFonts w:ascii="Arial" w:cs="Arial" w:eastAsia="Arial" w:hAnsi="Arial"/>
          <w:sz w:val="18"/>
          <w:szCs w:val="18"/>
          <w:color w:val="000000"/>
        </w:rPr>
        <w:t>For the second year in a row, Wynn Macau is the only resort in the</w:t>
      </w:r>
      <w:r>
        <w:rPr>
          <w:rFonts w:ascii="Arial" w:cs="Arial" w:eastAsia="Arial" w:hAnsi="Arial"/>
          <w:sz w:val="18"/>
          <w:szCs w:val="18"/>
          <w:b w:val="1"/>
          <w:bCs w:val="1"/>
          <w:color w:val="604F2B"/>
        </w:rPr>
        <w:t xml:space="preserve"> </w:t>
      </w:r>
      <w:r>
        <w:rPr>
          <w:rFonts w:ascii="Arial" w:cs="Arial" w:eastAsia="Arial" w:hAnsi="Arial"/>
          <w:sz w:val="18"/>
          <w:szCs w:val="18"/>
          <w:color w:val="000000"/>
        </w:rPr>
        <w:t>world with eight Forbes Travel Guide Five-Star awards. Wynn Macau and Wynn Palace, which won seven Five-Star Awards, are the most decorated integrated resort brands in Asia, with 15 Five-Star Awards. In 2021, Wynn Las Vegas and Encore Las Vegas won seven Five Star awards. Collectively, the Company has 22 Five Star awards in its portfolio. In addition, Wynn Resorts was once again honored to be included on FORTUNE Magazine’s 2021 World’s Most Admired Companies list in the hotel, casino, and resort category and ranked first overall in the category of Quality of Products/ Services among all international hotel companies.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31"/>
          <w:szCs w:val="31"/>
          <w:color w:val="604F2B"/>
        </w:rPr>
        <w:t>How we designed incentives in 2020</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2020 HIGHLIGHTS:</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the Compensation Committee:</w:t>
      </w:r>
    </w:p>
    <w:p>
      <w:pPr>
        <w:spacing w:after="0" w:line="212" w:lineRule="exact"/>
        <w:rPr>
          <w:sz w:val="20"/>
          <w:szCs w:val="20"/>
          <w:color w:val="auto"/>
        </w:rPr>
      </w:pPr>
    </w:p>
    <w:p>
      <w:pPr>
        <w:ind w:left="340" w:right="480" w:hanging="224"/>
        <w:spacing w:after="0" w:line="274" w:lineRule="auto"/>
        <w:tabs>
          <w:tab w:leader="none" w:pos="3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Set rigorous and meaningful financial metrics for annual incentives for the second half of 2020, once our properties reopened, that reflected the operating condition of the properties. Continued to pay 50% of annual incentive executive compensation in equity.</w:t>
      </w:r>
    </w:p>
    <w:p>
      <w:pPr>
        <w:spacing w:after="0" w:line="174" w:lineRule="exact"/>
        <w:rPr>
          <w:rFonts w:ascii="Arial" w:cs="Arial" w:eastAsia="Arial" w:hAnsi="Arial"/>
          <w:sz w:val="17"/>
          <w:szCs w:val="17"/>
          <w:color w:val="auto"/>
        </w:rPr>
      </w:pPr>
    </w:p>
    <w:p>
      <w:pPr>
        <w:ind w:left="340" w:right="20" w:hanging="224"/>
        <w:spacing w:after="0" w:line="238"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Maintained a policy that at least 50% of long-term incentive grants would be performance-based, including performance-based stock awards that vest upon achievement of pre-established financial performance goals that are based on the Company’s ability to achieve a premium revenue and Adjusted Property EBITDA “fair share” relative to its peers (see discussion of this metric below), on a three-year basis.</w:t>
      </w:r>
    </w:p>
    <w:p>
      <w:pPr>
        <w:spacing w:after="0" w:line="204" w:lineRule="exact"/>
        <w:rPr>
          <w:rFonts w:ascii="Arial" w:cs="Arial" w:eastAsia="Arial" w:hAnsi="Arial"/>
          <w:sz w:val="18"/>
          <w:szCs w:val="18"/>
          <w:color w:val="auto"/>
        </w:rPr>
      </w:pPr>
    </w:p>
    <w:p>
      <w:pPr>
        <w:ind w:left="340" w:right="580" w:hanging="224"/>
        <w:spacing w:after="0" w:line="246"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Reaffirmed its commitment to compensate executives at the median with regard to total compensation, and conducted an overall analysis of all NEO total compensation to confirm compliance.</w:t>
      </w:r>
    </w:p>
    <w:p>
      <w:pPr>
        <w:spacing w:after="0" w:line="196" w:lineRule="exact"/>
        <w:rPr>
          <w:rFonts w:ascii="Arial" w:cs="Arial" w:eastAsia="Arial" w:hAnsi="Arial"/>
          <w:sz w:val="18"/>
          <w:szCs w:val="18"/>
          <w:color w:val="auto"/>
        </w:rPr>
      </w:pPr>
    </w:p>
    <w:p>
      <w:pPr>
        <w:ind w:left="340" w:right="360" w:hanging="224"/>
        <w:spacing w:after="0" w:line="246" w:lineRule="auto"/>
        <w:tabs>
          <w:tab w:leader="none" w:pos="3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Modified the vesting schedule to equal annual installment vesting over three-years for restricted stock awards to allow executives to realize incentives over time.</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41</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71"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b w:val="1"/>
          <w:bCs w:val="1"/>
          <w:color w:val="604F2B"/>
        </w:rPr>
        <w:t xml:space="preserve">Role of the Compensation Committee and Management in Setting Compensation: </w:t>
      </w:r>
      <w:r>
        <w:rPr>
          <w:rFonts w:ascii="Arial" w:cs="Arial" w:eastAsia="Arial" w:hAnsi="Arial"/>
          <w:sz w:val="18"/>
          <w:szCs w:val="18"/>
          <w:color w:val="000000"/>
        </w:rPr>
        <w:t>The Compensation Committee sets all elements</w:t>
      </w:r>
      <w:r>
        <w:rPr>
          <w:rFonts w:ascii="Arial" w:cs="Arial" w:eastAsia="Arial" w:hAnsi="Arial"/>
          <w:sz w:val="18"/>
          <w:szCs w:val="18"/>
          <w:b w:val="1"/>
          <w:bCs w:val="1"/>
          <w:color w:val="604F2B"/>
        </w:rPr>
        <w:t xml:space="preserve"> </w:t>
      </w:r>
      <w:r>
        <w:rPr>
          <w:rFonts w:ascii="Arial" w:cs="Arial" w:eastAsia="Arial" w:hAnsi="Arial"/>
          <w:sz w:val="18"/>
          <w:szCs w:val="18"/>
          <w:color w:val="000000"/>
        </w:rPr>
        <w:t>of compensation for our NEOs based upon consideration of an NEO’s contributions to the operating and strategic performance of the Company. The Compensation Committee considers the recommendations of the CEO in establishing compensation for all other NEOs. In addition, the CEO performs annual reviews of our senior executive officers and makes recommendations to the Compensation Committee. The Compensation Committee reviews the recommendations and makes final decisions regarding compensation for our senior executive officers.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COMPENSATION MIX</w:t>
      </w:r>
    </w:p>
    <w:p>
      <w:pPr>
        <w:spacing w:after="0" w:line="1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We take a multi-year investment approach to our business that focuses on rewarding strong near-term performance and the creation of long-term shareholder value. Because product quality and service excellence are at the core of our strategy, we use annually focused, operations-based pay to highlight the critical importance of performing well each year for each customer. We supplement that with a set of long-term incentives and holding requirements to support the sustainability of our reputation and our ongoing returns. The charts below highlight the focus on equity and at-risk mix of the total direct compensation for our current NEOs based on 2020 compensation outcomes</w:t>
      </w:r>
      <w:r>
        <w:rPr>
          <w:rFonts w:ascii="Arial" w:cs="Arial" w:eastAsia="Arial" w:hAnsi="Arial"/>
          <w:sz w:val="15"/>
          <w:szCs w:val="15"/>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103620" cy="15944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0362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80" w:hanging="164"/>
        <w:spacing w:after="0"/>
        <w:tabs>
          <w:tab w:leader="none" w:pos="280" w:val="left"/>
        </w:tabs>
        <w:numPr>
          <w:ilvl w:val="0"/>
          <w:numId w:val="61"/>
        </w:numPr>
        <w:rPr>
          <w:rFonts w:ascii="Arial" w:cs="Arial" w:eastAsia="Arial" w:hAnsi="Arial"/>
          <w:sz w:val="11"/>
          <w:szCs w:val="11"/>
          <w:color w:val="auto"/>
        </w:rPr>
      </w:pPr>
      <w:r>
        <w:rPr>
          <w:rFonts w:ascii="Arial" w:cs="Arial" w:eastAsia="Arial" w:hAnsi="Arial"/>
          <w:sz w:val="13"/>
          <w:szCs w:val="13"/>
          <w:color w:val="auto"/>
        </w:rPr>
        <w:t>Based on 2020 Total Direct Compensation for NEOs excluding the CEO’s employment contract extension grant and retention grants for all NEOs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27"/>
          <w:szCs w:val="27"/>
          <w:color w:val="604F2B"/>
        </w:rPr>
        <w:t>2020 Compensation design &amp; decisions</w:t>
      </w:r>
    </w:p>
    <w:p>
      <w:pPr>
        <w:spacing w:after="0" w:line="2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b w:val="1"/>
          <w:bCs w:val="1"/>
          <w:color w:val="604F2B"/>
        </w:rPr>
        <w:t xml:space="preserve">Base Salary: </w:t>
      </w:r>
      <w:r>
        <w:rPr>
          <w:rFonts w:ascii="Arial" w:cs="Arial" w:eastAsia="Arial" w:hAnsi="Arial"/>
          <w:sz w:val="18"/>
          <w:szCs w:val="18"/>
          <w:color w:val="000000"/>
        </w:rPr>
        <w:t>Negotiated employment agreements establish our NEOs’ initial base salaries. We review and adjust their base salaries</w:t>
      </w:r>
      <w:r>
        <w:rPr>
          <w:rFonts w:ascii="Arial" w:cs="Arial" w:eastAsia="Arial" w:hAnsi="Arial"/>
          <w:sz w:val="18"/>
          <w:szCs w:val="18"/>
          <w:b w:val="1"/>
          <w:bCs w:val="1"/>
          <w:color w:val="604F2B"/>
        </w:rPr>
        <w:t xml:space="preserve"> </w:t>
      </w:r>
      <w:r>
        <w:rPr>
          <w:rFonts w:ascii="Arial" w:cs="Arial" w:eastAsia="Arial" w:hAnsi="Arial"/>
          <w:sz w:val="18"/>
          <w:szCs w:val="18"/>
          <w:color w:val="000000"/>
        </w:rPr>
        <w:t>periodically to stay competitive, to reflect improvements in performance, capabilities, and experience, and reward expansions of responsibility or other extraordinary circumstances. While contractual base salaries for the NEOs as of December 31, 2020 and 2019 were unchanged, cash base salaries for NEOs were reduced by 100%, 50%, and 35% for Mr. Maddox, Mr. Billings, and Ms. Whittemore, respectively, as part of our COVID-19 mitigation efforts as described below.</w:t>
      </w:r>
    </w:p>
    <w:p>
      <w:pPr>
        <w:spacing w:after="0" w:line="162"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March 2020, each of the NEOs elected to receive a portion of their remaining base salary compensation for the 2020 calendar year in the form of a restricted stock award (in lieu of cash) that vested on December 31, 2020 if the NEO remained continuously employed with the Company through such vesting date. The number of shares underlying each NEO’s restricted stock award was determined based on the three-day trailing closing price of the Company’s stock on March 20, 2020, equivalent to the amount of base salary compensation such NEO would have otherwise received. The table below presents the base salary our NEOs were contractually entitled to for 2020. The incremental value of the restricted stock award received in lieu of cash for base salary compensation is included in the “Stock Awards” column to the Summary Compensation Table below, and the applicable incremental amounts are described in the footnote to the “Base Salary” column thereto.</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1220" w:type="dxa"/>
            <w:vAlign w:val="bottom"/>
          </w:tcPr>
          <w:p>
            <w:pPr>
              <w:spacing w:after="0"/>
              <w:rPr>
                <w:sz w:val="17"/>
                <w:szCs w:val="17"/>
                <w:color w:val="auto"/>
              </w:rPr>
            </w:pPr>
          </w:p>
        </w:tc>
        <w:tc>
          <w:tcPr>
            <w:tcW w:w="3640" w:type="dxa"/>
            <w:vAlign w:val="bottom"/>
            <w:tcBorders>
              <w:right w:val="single" w:sz="8" w:color="A8BCBF"/>
            </w:tcBorders>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Borders>
              <w:right w:val="single" w:sz="8" w:color="A8BCBF"/>
            </w:tcBorders>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Borders>
              <w:right w:val="single" w:sz="8" w:color="A8BCBF"/>
            </w:tcBorders>
          </w:tcPr>
          <w:p>
            <w:pPr>
              <w:spacing w:after="0"/>
              <w:rPr>
                <w:sz w:val="17"/>
                <w:szCs w:val="17"/>
                <w:color w:val="auto"/>
              </w:rPr>
            </w:pPr>
          </w:p>
        </w:tc>
        <w:tc>
          <w:tcPr>
            <w:tcW w:w="1480" w:type="dxa"/>
            <w:vAlign w:val="bottom"/>
            <w:tcBorders>
              <w:right w:val="single" w:sz="8" w:color="A8BCBF"/>
            </w:tcBorders>
          </w:tcPr>
          <w:p>
            <w:pPr>
              <w:jc w:val="center"/>
              <w:spacing w:after="0"/>
              <w:rPr>
                <w:sz w:val="20"/>
                <w:szCs w:val="20"/>
                <w:color w:val="auto"/>
              </w:rPr>
            </w:pPr>
            <w:r>
              <w:rPr>
                <w:rFonts w:ascii="Arial" w:cs="Arial" w:eastAsia="Arial" w:hAnsi="Arial"/>
                <w:sz w:val="14"/>
                <w:szCs w:val="14"/>
                <w:b w:val="1"/>
                <w:bCs w:val="1"/>
                <w:color w:val="604F2B"/>
              </w:rPr>
              <w:t>2020 CASH</w:t>
            </w:r>
          </w:p>
        </w:tc>
        <w:tc>
          <w:tcPr>
            <w:tcW w:w="400" w:type="dxa"/>
            <w:vAlign w:val="bottom"/>
          </w:tcPr>
          <w:p>
            <w:pPr>
              <w:spacing w:after="0"/>
              <w:rPr>
                <w:sz w:val="17"/>
                <w:szCs w:val="17"/>
                <w:color w:val="auto"/>
              </w:rPr>
            </w:pPr>
          </w:p>
        </w:tc>
        <w:tc>
          <w:tcPr>
            <w:tcW w:w="1240" w:type="dxa"/>
            <w:vAlign w:val="bottom"/>
          </w:tcPr>
          <w:p>
            <w:pPr>
              <w:jc w:val="center"/>
              <w:ind w:right="359"/>
              <w:spacing w:after="0"/>
              <w:rPr>
                <w:sz w:val="20"/>
                <w:szCs w:val="20"/>
                <w:color w:val="auto"/>
              </w:rPr>
            </w:pPr>
            <w:r>
              <w:rPr>
                <w:rFonts w:ascii="Arial" w:cs="Arial" w:eastAsia="Arial" w:hAnsi="Arial"/>
                <w:sz w:val="14"/>
                <w:szCs w:val="14"/>
                <w:b w:val="1"/>
                <w:bCs w:val="1"/>
                <w:color w:val="604F2B"/>
              </w:rPr>
              <w:t>2019 CASH</w:t>
            </w:r>
          </w:p>
        </w:tc>
      </w:tr>
      <w:tr>
        <w:trPr>
          <w:trHeight w:val="159"/>
        </w:trPr>
        <w:tc>
          <w:tcPr>
            <w:tcW w:w="1220" w:type="dxa"/>
            <w:vAlign w:val="bottom"/>
          </w:tcPr>
          <w:p>
            <w:pPr>
              <w:spacing w:after="0"/>
              <w:rPr>
                <w:sz w:val="13"/>
                <w:szCs w:val="13"/>
                <w:color w:val="auto"/>
              </w:rPr>
            </w:pPr>
          </w:p>
        </w:tc>
        <w:tc>
          <w:tcPr>
            <w:tcW w:w="3640" w:type="dxa"/>
            <w:vAlign w:val="bottom"/>
            <w:tcBorders>
              <w:right w:val="single" w:sz="8" w:color="A8BCBF"/>
            </w:tcBorders>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Borders>
              <w:right w:val="single" w:sz="8" w:color="A8BCBF"/>
            </w:tcBorders>
          </w:tcPr>
          <w:p>
            <w:pPr>
              <w:jc w:val="right"/>
              <w:ind w:right="257"/>
              <w:spacing w:after="0" w:line="159" w:lineRule="exact"/>
              <w:rPr>
                <w:sz w:val="20"/>
                <w:szCs w:val="20"/>
                <w:color w:val="auto"/>
              </w:rPr>
            </w:pPr>
            <w:r>
              <w:rPr>
                <w:rFonts w:ascii="Arial" w:cs="Arial" w:eastAsia="Arial" w:hAnsi="Arial"/>
                <w:sz w:val="14"/>
                <w:szCs w:val="14"/>
                <w:b w:val="1"/>
                <w:bCs w:val="1"/>
                <w:color w:val="604F2B"/>
              </w:rPr>
              <w:t>2020 BASE</w:t>
            </w:r>
          </w:p>
        </w:tc>
        <w:tc>
          <w:tcPr>
            <w:tcW w:w="420" w:type="dxa"/>
            <w:vAlign w:val="bottom"/>
          </w:tcPr>
          <w:p>
            <w:pPr>
              <w:spacing w:after="0"/>
              <w:rPr>
                <w:sz w:val="13"/>
                <w:szCs w:val="13"/>
                <w:color w:val="auto"/>
              </w:rPr>
            </w:pPr>
          </w:p>
        </w:tc>
        <w:tc>
          <w:tcPr>
            <w:tcW w:w="1220" w:type="dxa"/>
            <w:vAlign w:val="bottom"/>
            <w:tcBorders>
              <w:right w:val="single" w:sz="8" w:color="A8BCBF"/>
            </w:tcBorders>
          </w:tcPr>
          <w:p>
            <w:pPr>
              <w:jc w:val="right"/>
              <w:ind w:right="377"/>
              <w:spacing w:after="0" w:line="159" w:lineRule="exact"/>
              <w:rPr>
                <w:sz w:val="20"/>
                <w:szCs w:val="20"/>
                <w:color w:val="auto"/>
              </w:rPr>
            </w:pPr>
            <w:r>
              <w:rPr>
                <w:rFonts w:ascii="Arial" w:cs="Arial" w:eastAsia="Arial" w:hAnsi="Arial"/>
                <w:sz w:val="14"/>
                <w:szCs w:val="14"/>
                <w:b w:val="1"/>
                <w:bCs w:val="1"/>
                <w:color w:val="604F2B"/>
              </w:rPr>
              <w:t>2019 BASE</w:t>
            </w:r>
          </w:p>
        </w:tc>
        <w:tc>
          <w:tcPr>
            <w:tcW w:w="1480" w:type="dxa"/>
            <w:vAlign w:val="bottom"/>
            <w:tcBorders>
              <w:right w:val="single" w:sz="8" w:color="A8BCBF"/>
            </w:tcBorders>
          </w:tcPr>
          <w:p>
            <w:pPr>
              <w:jc w:val="center"/>
              <w:spacing w:after="0" w:line="159" w:lineRule="exact"/>
              <w:rPr>
                <w:sz w:val="20"/>
                <w:szCs w:val="20"/>
                <w:color w:val="auto"/>
              </w:rPr>
            </w:pPr>
            <w:r>
              <w:rPr>
                <w:rFonts w:ascii="Arial" w:cs="Arial" w:eastAsia="Arial" w:hAnsi="Arial"/>
                <w:sz w:val="14"/>
                <w:szCs w:val="14"/>
                <w:b w:val="1"/>
                <w:bCs w:val="1"/>
                <w:color w:val="604F2B"/>
              </w:rPr>
              <w:t>BASE</w:t>
            </w:r>
          </w:p>
        </w:tc>
        <w:tc>
          <w:tcPr>
            <w:tcW w:w="400" w:type="dxa"/>
            <w:vAlign w:val="bottom"/>
          </w:tcPr>
          <w:p>
            <w:pPr>
              <w:spacing w:after="0"/>
              <w:rPr>
                <w:sz w:val="13"/>
                <w:szCs w:val="13"/>
                <w:color w:val="auto"/>
              </w:rPr>
            </w:pPr>
          </w:p>
        </w:tc>
        <w:tc>
          <w:tcPr>
            <w:tcW w:w="1240" w:type="dxa"/>
            <w:vAlign w:val="bottom"/>
          </w:tcPr>
          <w:p>
            <w:pPr>
              <w:jc w:val="center"/>
              <w:ind w:right="359"/>
              <w:spacing w:after="0" w:line="159" w:lineRule="exact"/>
              <w:rPr>
                <w:sz w:val="20"/>
                <w:szCs w:val="20"/>
                <w:color w:val="auto"/>
              </w:rPr>
            </w:pPr>
            <w:r>
              <w:rPr>
                <w:rFonts w:ascii="Arial" w:cs="Arial" w:eastAsia="Arial" w:hAnsi="Arial"/>
                <w:sz w:val="14"/>
                <w:szCs w:val="14"/>
                <w:b w:val="1"/>
                <w:bCs w:val="1"/>
                <w:color w:val="604F2B"/>
              </w:rPr>
              <w:t>BASE</w:t>
            </w:r>
          </w:p>
        </w:tc>
      </w:tr>
      <w:tr>
        <w:trPr>
          <w:trHeight w:val="233"/>
        </w:trPr>
        <w:tc>
          <w:tcPr>
            <w:tcW w:w="4860" w:type="dxa"/>
            <w:vAlign w:val="bottom"/>
            <w:tcBorders>
              <w:right w:val="single" w:sz="8" w:color="A8BCBF"/>
            </w:tcBorders>
            <w:gridSpan w:val="2"/>
          </w:tcPr>
          <w:p>
            <w:pPr>
              <w:ind w:left="80"/>
              <w:spacing w:after="0"/>
              <w:rPr>
                <w:sz w:val="20"/>
                <w:szCs w:val="20"/>
                <w:color w:val="auto"/>
              </w:rPr>
            </w:pPr>
            <w:r>
              <w:rPr>
                <w:rFonts w:ascii="Arial" w:cs="Arial" w:eastAsia="Arial" w:hAnsi="Arial"/>
                <w:sz w:val="14"/>
                <w:szCs w:val="14"/>
                <w:b w:val="1"/>
                <w:bCs w:val="1"/>
                <w:color w:val="604F2B"/>
              </w:rPr>
              <w:t>EXECUTIVE</w:t>
            </w:r>
          </w:p>
        </w:tc>
        <w:tc>
          <w:tcPr>
            <w:tcW w:w="300" w:type="dxa"/>
            <w:vAlign w:val="bottom"/>
          </w:tcPr>
          <w:p>
            <w:pPr>
              <w:spacing w:after="0"/>
              <w:rPr>
                <w:sz w:val="20"/>
                <w:szCs w:val="20"/>
                <w:color w:val="auto"/>
              </w:rPr>
            </w:pPr>
          </w:p>
        </w:tc>
        <w:tc>
          <w:tcPr>
            <w:tcW w:w="1100" w:type="dxa"/>
            <w:vAlign w:val="bottom"/>
            <w:tcBorders>
              <w:right w:val="single" w:sz="8" w:color="A8BCBF"/>
            </w:tcBorders>
          </w:tcPr>
          <w:p>
            <w:pPr>
              <w:jc w:val="right"/>
              <w:ind w:right="257"/>
              <w:spacing w:after="0" w:line="233" w:lineRule="exact"/>
              <w:rPr>
                <w:sz w:val="20"/>
                <w:szCs w:val="20"/>
                <w:color w:val="auto"/>
              </w:rPr>
            </w:pPr>
            <w:r>
              <w:rPr>
                <w:rFonts w:ascii="Arial" w:cs="Arial" w:eastAsia="Arial" w:hAnsi="Arial"/>
                <w:sz w:val="14"/>
                <w:szCs w:val="14"/>
                <w:b w:val="1"/>
                <w:bCs w:val="1"/>
                <w:color w:val="604F2B"/>
                <w:w w:val="95"/>
              </w:rPr>
              <w:t>SALARY</w:t>
            </w:r>
            <w:r>
              <w:rPr>
                <w:rFonts w:ascii="Arial" w:cs="Arial" w:eastAsia="Arial" w:hAnsi="Arial"/>
                <w:sz w:val="24"/>
                <w:szCs w:val="24"/>
                <w:b w:val="1"/>
                <w:bCs w:val="1"/>
                <w:color w:val="604F2B"/>
                <w:w w:val="95"/>
                <w:vertAlign w:val="superscript"/>
              </w:rPr>
              <w:t>(1)</w:t>
            </w:r>
          </w:p>
        </w:tc>
        <w:tc>
          <w:tcPr>
            <w:tcW w:w="420" w:type="dxa"/>
            <w:vAlign w:val="bottom"/>
          </w:tcPr>
          <w:p>
            <w:pPr>
              <w:spacing w:after="0"/>
              <w:rPr>
                <w:sz w:val="20"/>
                <w:szCs w:val="20"/>
                <w:color w:val="auto"/>
              </w:rPr>
            </w:pPr>
          </w:p>
        </w:tc>
        <w:tc>
          <w:tcPr>
            <w:tcW w:w="1220" w:type="dxa"/>
            <w:vAlign w:val="bottom"/>
            <w:tcBorders>
              <w:right w:val="single" w:sz="8" w:color="A8BCBF"/>
            </w:tcBorders>
          </w:tcPr>
          <w:p>
            <w:pPr>
              <w:jc w:val="right"/>
              <w:ind w:right="377"/>
              <w:spacing w:after="0" w:line="233" w:lineRule="exact"/>
              <w:rPr>
                <w:sz w:val="20"/>
                <w:szCs w:val="20"/>
                <w:color w:val="auto"/>
              </w:rPr>
            </w:pPr>
            <w:r>
              <w:rPr>
                <w:rFonts w:ascii="Arial" w:cs="Arial" w:eastAsia="Arial" w:hAnsi="Arial"/>
                <w:sz w:val="14"/>
                <w:szCs w:val="14"/>
                <w:b w:val="1"/>
                <w:bCs w:val="1"/>
                <w:color w:val="604F2B"/>
                <w:w w:val="95"/>
              </w:rPr>
              <w:t>SALARY</w:t>
            </w:r>
            <w:r>
              <w:rPr>
                <w:rFonts w:ascii="Arial" w:cs="Arial" w:eastAsia="Arial" w:hAnsi="Arial"/>
                <w:sz w:val="24"/>
                <w:szCs w:val="24"/>
                <w:b w:val="1"/>
                <w:bCs w:val="1"/>
                <w:color w:val="604F2B"/>
                <w:w w:val="95"/>
                <w:vertAlign w:val="superscript"/>
              </w:rPr>
              <w:t>(1)</w:t>
            </w:r>
          </w:p>
        </w:tc>
        <w:tc>
          <w:tcPr>
            <w:tcW w:w="1480" w:type="dxa"/>
            <w:vAlign w:val="bottom"/>
            <w:tcBorders>
              <w:right w:val="single" w:sz="8" w:color="A8BCBF"/>
            </w:tcBorders>
          </w:tcPr>
          <w:p>
            <w:pPr>
              <w:jc w:val="center"/>
              <w:spacing w:after="0" w:line="233" w:lineRule="exact"/>
              <w:rPr>
                <w:sz w:val="20"/>
                <w:szCs w:val="20"/>
                <w:color w:val="auto"/>
              </w:rPr>
            </w:pPr>
            <w:r>
              <w:rPr>
                <w:rFonts w:ascii="Arial" w:cs="Arial" w:eastAsia="Arial" w:hAnsi="Arial"/>
                <w:sz w:val="14"/>
                <w:szCs w:val="14"/>
                <w:b w:val="1"/>
                <w:bCs w:val="1"/>
                <w:color w:val="604F2B"/>
                <w:w w:val="95"/>
              </w:rPr>
              <w:t>SALARY</w:t>
            </w:r>
            <w:r>
              <w:rPr>
                <w:rFonts w:ascii="Arial" w:cs="Arial" w:eastAsia="Arial" w:hAnsi="Arial"/>
                <w:sz w:val="24"/>
                <w:szCs w:val="24"/>
                <w:b w:val="1"/>
                <w:bCs w:val="1"/>
                <w:color w:val="604F2B"/>
                <w:w w:val="95"/>
                <w:vertAlign w:val="superscript"/>
              </w:rPr>
              <w:t>(2)</w:t>
            </w:r>
          </w:p>
        </w:tc>
        <w:tc>
          <w:tcPr>
            <w:tcW w:w="400" w:type="dxa"/>
            <w:vAlign w:val="bottom"/>
          </w:tcPr>
          <w:p>
            <w:pPr>
              <w:spacing w:after="0"/>
              <w:rPr>
                <w:sz w:val="20"/>
                <w:szCs w:val="20"/>
                <w:color w:val="auto"/>
              </w:rPr>
            </w:pPr>
          </w:p>
        </w:tc>
        <w:tc>
          <w:tcPr>
            <w:tcW w:w="1240" w:type="dxa"/>
            <w:vAlign w:val="bottom"/>
          </w:tcPr>
          <w:p>
            <w:pPr>
              <w:jc w:val="center"/>
              <w:ind w:right="359"/>
              <w:spacing w:after="0" w:line="233" w:lineRule="exact"/>
              <w:rPr>
                <w:sz w:val="20"/>
                <w:szCs w:val="20"/>
                <w:color w:val="auto"/>
              </w:rPr>
            </w:pPr>
            <w:r>
              <w:rPr>
                <w:rFonts w:ascii="Arial" w:cs="Arial" w:eastAsia="Arial" w:hAnsi="Arial"/>
                <w:sz w:val="14"/>
                <w:szCs w:val="14"/>
                <w:b w:val="1"/>
                <w:bCs w:val="1"/>
                <w:color w:val="604F2B"/>
                <w:w w:val="93"/>
              </w:rPr>
              <w:t>SALARY</w:t>
            </w:r>
            <w:r>
              <w:rPr>
                <w:rFonts w:ascii="Arial" w:cs="Arial" w:eastAsia="Arial" w:hAnsi="Arial"/>
                <w:sz w:val="24"/>
                <w:szCs w:val="24"/>
                <w:b w:val="1"/>
                <w:bCs w:val="1"/>
                <w:color w:val="604F2B"/>
                <w:w w:val="93"/>
                <w:vertAlign w:val="superscript"/>
              </w:rPr>
              <w:t>(2)</w:t>
            </w:r>
          </w:p>
        </w:tc>
      </w:tr>
      <w:tr>
        <w:trPr>
          <w:trHeight w:val="243"/>
        </w:trPr>
        <w:tc>
          <w:tcPr>
            <w:tcW w:w="4860" w:type="dxa"/>
            <w:vAlign w:val="bottom"/>
            <w:tcBorders>
              <w:right w:val="single" w:sz="8" w:color="A8BCBF"/>
            </w:tcBorders>
            <w:gridSpan w:val="2"/>
            <w:shd w:val="clear" w:color="auto" w:fill="EAEAE5"/>
          </w:tcPr>
          <w:p>
            <w:pPr>
              <w:ind w:left="60"/>
              <w:spacing w:after="0"/>
              <w:rPr>
                <w:sz w:val="20"/>
                <w:szCs w:val="20"/>
                <w:color w:val="auto"/>
              </w:rPr>
            </w:pPr>
            <w:r>
              <w:rPr>
                <w:rFonts w:ascii="Arial" w:cs="Arial" w:eastAsia="Arial" w:hAnsi="Arial"/>
                <w:sz w:val="18"/>
                <w:szCs w:val="18"/>
                <w:color w:val="auto"/>
              </w:rPr>
              <w:t>Matt Maddox</w:t>
            </w:r>
          </w:p>
        </w:tc>
        <w:tc>
          <w:tcPr>
            <w:tcW w:w="300" w:type="dxa"/>
            <w:vAlign w:val="bottom"/>
            <w:shd w:val="clear" w:color="auto" w:fill="EAEAE5"/>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8BCBF"/>
            </w:tcBorders>
            <w:shd w:val="clear" w:color="auto" w:fill="EAEAE5"/>
          </w:tcPr>
          <w:p>
            <w:pPr>
              <w:jc w:val="right"/>
              <w:ind w:right="137"/>
              <w:spacing w:after="0"/>
              <w:rPr>
                <w:sz w:val="20"/>
                <w:szCs w:val="20"/>
                <w:color w:val="auto"/>
              </w:rPr>
            </w:pPr>
            <w:r>
              <w:rPr>
                <w:rFonts w:ascii="Arial" w:cs="Arial" w:eastAsia="Arial" w:hAnsi="Arial"/>
                <w:sz w:val="18"/>
                <w:szCs w:val="18"/>
                <w:color w:val="auto"/>
              </w:rPr>
              <w:t>2,000,000</w:t>
            </w:r>
          </w:p>
        </w:tc>
        <w:tc>
          <w:tcPr>
            <w:tcW w:w="420" w:type="dxa"/>
            <w:vAlign w:val="bottom"/>
            <w:shd w:val="clear" w:color="auto" w:fill="EAEAE5"/>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8BCBF"/>
            </w:tcBorders>
            <w:shd w:val="clear" w:color="auto" w:fill="EAEAE5"/>
          </w:tcPr>
          <w:p>
            <w:pPr>
              <w:jc w:val="right"/>
              <w:ind w:right="257"/>
              <w:spacing w:after="0"/>
              <w:rPr>
                <w:sz w:val="20"/>
                <w:szCs w:val="20"/>
                <w:color w:val="auto"/>
              </w:rPr>
            </w:pPr>
            <w:r>
              <w:rPr>
                <w:rFonts w:ascii="Arial" w:cs="Arial" w:eastAsia="Arial" w:hAnsi="Arial"/>
                <w:sz w:val="18"/>
                <w:szCs w:val="18"/>
                <w:color w:val="auto"/>
              </w:rPr>
              <w:t>2,000,000</w:t>
            </w:r>
          </w:p>
        </w:tc>
        <w:tc>
          <w:tcPr>
            <w:tcW w:w="1480" w:type="dxa"/>
            <w:vAlign w:val="bottom"/>
            <w:tcBorders>
              <w:right w:val="single" w:sz="8" w:color="A8BCBF"/>
            </w:tcBorders>
            <w:shd w:val="clear" w:color="auto" w:fill="EAEAE5"/>
          </w:tcPr>
          <w:p>
            <w:pPr>
              <w:jc w:val="center"/>
              <w:spacing w:after="0"/>
              <w:rPr>
                <w:sz w:val="20"/>
                <w:szCs w:val="20"/>
                <w:color w:val="auto"/>
              </w:rPr>
            </w:pPr>
            <w:r>
              <w:rPr>
                <w:rFonts w:ascii="Arial" w:cs="Arial" w:eastAsia="Arial" w:hAnsi="Arial"/>
                <w:sz w:val="18"/>
                <w:szCs w:val="18"/>
                <w:color w:val="auto"/>
              </w:rPr>
              <w:t>$ 538,462</w:t>
            </w:r>
          </w:p>
        </w:tc>
        <w:tc>
          <w:tcPr>
            <w:tcW w:w="400" w:type="dxa"/>
            <w:vAlign w:val="bottom"/>
            <w:shd w:val="clear" w:color="auto" w:fill="EAEAE5"/>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EAE5"/>
          </w:tcPr>
          <w:p>
            <w:pPr>
              <w:jc w:val="right"/>
              <w:ind w:right="259"/>
              <w:spacing w:after="0"/>
              <w:rPr>
                <w:sz w:val="20"/>
                <w:szCs w:val="20"/>
                <w:color w:val="auto"/>
              </w:rPr>
            </w:pPr>
            <w:r>
              <w:rPr>
                <w:rFonts w:ascii="Arial" w:cs="Arial" w:eastAsia="Arial" w:hAnsi="Arial"/>
                <w:sz w:val="18"/>
                <w:szCs w:val="18"/>
                <w:color w:val="auto"/>
              </w:rPr>
              <w:t>2,000,000</w:t>
            </w:r>
          </w:p>
        </w:tc>
      </w:tr>
      <w:tr>
        <w:trPr>
          <w:trHeight w:val="236"/>
        </w:trPr>
        <w:tc>
          <w:tcPr>
            <w:tcW w:w="4860" w:type="dxa"/>
            <w:vAlign w:val="bottom"/>
            <w:tcBorders>
              <w:right w:val="single" w:sz="8" w:color="A8BCBF"/>
            </w:tcBorders>
            <w:gridSpan w:val="2"/>
          </w:tcPr>
          <w:p>
            <w:pPr>
              <w:ind w:left="60"/>
              <w:spacing w:after="0"/>
              <w:rPr>
                <w:sz w:val="20"/>
                <w:szCs w:val="20"/>
                <w:color w:val="auto"/>
              </w:rPr>
            </w:pPr>
            <w:r>
              <w:rPr>
                <w:rFonts w:ascii="Arial" w:cs="Arial" w:eastAsia="Arial" w:hAnsi="Arial"/>
                <w:sz w:val="18"/>
                <w:szCs w:val="18"/>
                <w:color w:val="auto"/>
              </w:rPr>
              <w:t>Craig S. Billings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8BCBF"/>
            </w:tcBorders>
          </w:tcPr>
          <w:p>
            <w:pPr>
              <w:jc w:val="right"/>
              <w:ind w:right="137"/>
              <w:spacing w:after="0"/>
              <w:rPr>
                <w:sz w:val="20"/>
                <w:szCs w:val="20"/>
                <w:color w:val="auto"/>
              </w:rPr>
            </w:pPr>
            <w:r>
              <w:rPr>
                <w:rFonts w:ascii="Arial" w:cs="Arial" w:eastAsia="Arial" w:hAnsi="Arial"/>
                <w:sz w:val="18"/>
                <w:szCs w:val="18"/>
                <w:color w:val="auto"/>
              </w:rPr>
              <w:t>1,200,000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8BCBF"/>
            </w:tcBorders>
          </w:tcPr>
          <w:p>
            <w:pPr>
              <w:jc w:val="right"/>
              <w:ind w:right="257"/>
              <w:spacing w:after="0"/>
              <w:rPr>
                <w:sz w:val="20"/>
                <w:szCs w:val="20"/>
                <w:color w:val="auto"/>
              </w:rPr>
            </w:pPr>
            <w:r>
              <w:rPr>
                <w:rFonts w:ascii="Arial" w:cs="Arial" w:eastAsia="Arial" w:hAnsi="Arial"/>
                <w:sz w:val="18"/>
                <w:szCs w:val="18"/>
                <w:color w:val="auto"/>
              </w:rPr>
              <w:t>1,200,000</w:t>
            </w:r>
          </w:p>
        </w:tc>
        <w:tc>
          <w:tcPr>
            <w:tcW w:w="1480" w:type="dxa"/>
            <w:vAlign w:val="bottom"/>
            <w:tcBorders>
              <w:right w:val="single" w:sz="8" w:color="A8BCBF"/>
            </w:tcBorders>
          </w:tcPr>
          <w:p>
            <w:pPr>
              <w:jc w:val="center"/>
              <w:spacing w:after="0"/>
              <w:rPr>
                <w:sz w:val="20"/>
                <w:szCs w:val="20"/>
                <w:color w:val="auto"/>
              </w:rPr>
            </w:pPr>
            <w:r>
              <w:rPr>
                <w:rFonts w:ascii="Arial" w:cs="Arial" w:eastAsia="Arial" w:hAnsi="Arial"/>
                <w:sz w:val="18"/>
                <w:szCs w:val="18"/>
                <w:color w:val="auto"/>
              </w:rPr>
              <w:t>$ 784,615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259"/>
              <w:spacing w:after="0"/>
              <w:rPr>
                <w:sz w:val="20"/>
                <w:szCs w:val="20"/>
                <w:color w:val="auto"/>
              </w:rPr>
            </w:pPr>
            <w:r>
              <w:rPr>
                <w:rFonts w:ascii="Arial" w:cs="Arial" w:eastAsia="Arial" w:hAnsi="Arial"/>
                <w:sz w:val="18"/>
                <w:szCs w:val="18"/>
                <w:color w:val="auto"/>
              </w:rPr>
              <w:t>1,200,000</w:t>
            </w:r>
          </w:p>
        </w:tc>
      </w:tr>
      <w:tr>
        <w:trPr>
          <w:trHeight w:val="250"/>
        </w:trPr>
        <w:tc>
          <w:tcPr>
            <w:tcW w:w="4860" w:type="dxa"/>
            <w:vAlign w:val="bottom"/>
            <w:tcBorders>
              <w:right w:val="single" w:sz="8" w:color="A8BCBF"/>
            </w:tcBorders>
            <w:gridSpan w:val="2"/>
            <w:shd w:val="clear" w:color="auto" w:fill="EAEAE5"/>
          </w:tcPr>
          <w:p>
            <w:pPr>
              <w:ind w:left="60"/>
              <w:spacing w:after="0"/>
              <w:rPr>
                <w:sz w:val="20"/>
                <w:szCs w:val="20"/>
                <w:color w:val="auto"/>
              </w:rPr>
            </w:pPr>
            <w:r>
              <w:rPr>
                <w:rFonts w:ascii="Arial" w:cs="Arial" w:eastAsia="Arial" w:hAnsi="Arial"/>
                <w:sz w:val="18"/>
                <w:szCs w:val="18"/>
                <w:color w:val="auto"/>
              </w:rPr>
              <w:t>Ellen F. Whittemore</w:t>
            </w:r>
          </w:p>
        </w:tc>
        <w:tc>
          <w:tcPr>
            <w:tcW w:w="300" w:type="dxa"/>
            <w:vAlign w:val="bottom"/>
            <w:shd w:val="clear" w:color="auto" w:fill="EAEAE5"/>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8BCBF"/>
            </w:tcBorders>
            <w:shd w:val="clear" w:color="auto" w:fill="EAEAE5"/>
          </w:tcPr>
          <w:p>
            <w:pPr>
              <w:jc w:val="right"/>
              <w:ind w:right="137"/>
              <w:spacing w:after="0"/>
              <w:rPr>
                <w:sz w:val="20"/>
                <w:szCs w:val="20"/>
                <w:color w:val="auto"/>
              </w:rPr>
            </w:pPr>
            <w:r>
              <w:rPr>
                <w:rFonts w:ascii="Arial" w:cs="Arial" w:eastAsia="Arial" w:hAnsi="Arial"/>
                <w:sz w:val="18"/>
                <w:szCs w:val="18"/>
                <w:color w:val="auto"/>
              </w:rPr>
              <w:t>700,000</w:t>
            </w:r>
          </w:p>
        </w:tc>
        <w:tc>
          <w:tcPr>
            <w:tcW w:w="420" w:type="dxa"/>
            <w:vAlign w:val="bottom"/>
            <w:shd w:val="clear" w:color="auto" w:fill="EAEAE5"/>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8BCBF"/>
            </w:tcBorders>
            <w:shd w:val="clear" w:color="auto" w:fill="EAEAE5"/>
          </w:tcPr>
          <w:p>
            <w:pPr>
              <w:jc w:val="right"/>
              <w:ind w:right="257"/>
              <w:spacing w:after="0"/>
              <w:rPr>
                <w:sz w:val="20"/>
                <w:szCs w:val="20"/>
                <w:color w:val="auto"/>
              </w:rPr>
            </w:pPr>
            <w:r>
              <w:rPr>
                <w:rFonts w:ascii="Arial" w:cs="Arial" w:eastAsia="Arial" w:hAnsi="Arial"/>
                <w:sz w:val="18"/>
                <w:szCs w:val="18"/>
                <w:color w:val="auto"/>
              </w:rPr>
              <w:t>700,000</w:t>
            </w:r>
          </w:p>
        </w:tc>
        <w:tc>
          <w:tcPr>
            <w:tcW w:w="1480" w:type="dxa"/>
            <w:vAlign w:val="bottom"/>
            <w:tcBorders>
              <w:right w:val="single" w:sz="8" w:color="A8BCBF"/>
            </w:tcBorders>
            <w:shd w:val="clear" w:color="auto" w:fill="EAEAE5"/>
          </w:tcPr>
          <w:p>
            <w:pPr>
              <w:jc w:val="center"/>
              <w:spacing w:after="0"/>
              <w:rPr>
                <w:sz w:val="20"/>
                <w:szCs w:val="20"/>
                <w:color w:val="auto"/>
              </w:rPr>
            </w:pPr>
            <w:r>
              <w:rPr>
                <w:rFonts w:ascii="Arial" w:cs="Arial" w:eastAsia="Arial" w:hAnsi="Arial"/>
                <w:sz w:val="18"/>
                <w:szCs w:val="18"/>
                <w:color w:val="auto"/>
              </w:rPr>
              <w:t>$ 538,462</w:t>
            </w:r>
          </w:p>
        </w:tc>
        <w:tc>
          <w:tcPr>
            <w:tcW w:w="400" w:type="dxa"/>
            <w:vAlign w:val="bottom"/>
            <w:shd w:val="clear" w:color="auto" w:fill="EAEAE5"/>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EAEAE5"/>
          </w:tcPr>
          <w:p>
            <w:pPr>
              <w:jc w:val="right"/>
              <w:ind w:right="259"/>
              <w:spacing w:after="0"/>
              <w:rPr>
                <w:sz w:val="20"/>
                <w:szCs w:val="20"/>
                <w:color w:val="auto"/>
              </w:rPr>
            </w:pPr>
            <w:r>
              <w:rPr>
                <w:rFonts w:ascii="Arial" w:cs="Arial" w:eastAsia="Arial" w:hAnsi="Arial"/>
                <w:sz w:val="18"/>
                <w:szCs w:val="18"/>
                <w:color w:val="auto"/>
              </w:rPr>
              <w:t>700,000</w:t>
            </w:r>
          </w:p>
        </w:tc>
      </w:tr>
      <w:tr>
        <w:trPr>
          <w:trHeight w:val="54"/>
        </w:trPr>
        <w:tc>
          <w:tcPr>
            <w:tcW w:w="1220" w:type="dxa"/>
            <w:vAlign w:val="bottom"/>
            <w:tcBorders>
              <w:bottom w:val="single" w:sz="8" w:color="auto"/>
            </w:tcBorders>
          </w:tcPr>
          <w:p>
            <w:pPr>
              <w:spacing w:after="0"/>
              <w:rPr>
                <w:sz w:val="4"/>
                <w:szCs w:val="4"/>
                <w:color w:val="auto"/>
              </w:rPr>
            </w:pPr>
          </w:p>
        </w:tc>
        <w:tc>
          <w:tcPr>
            <w:tcW w:w="36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40" w:type="dxa"/>
            <w:vAlign w:val="bottom"/>
          </w:tcPr>
          <w:p>
            <w:pPr>
              <w:spacing w:after="0"/>
              <w:rPr>
                <w:sz w:val="4"/>
                <w:szCs w:val="4"/>
                <w:color w:val="auto"/>
              </w:rPr>
            </w:pPr>
          </w:p>
        </w:tc>
      </w:tr>
    </w:tbl>
    <w:p>
      <w:pPr>
        <w:spacing w:after="0" w:line="35" w:lineRule="exact"/>
        <w:rPr>
          <w:sz w:val="20"/>
          <w:szCs w:val="20"/>
          <w:color w:val="auto"/>
        </w:rPr>
      </w:pPr>
    </w:p>
    <w:p>
      <w:pPr>
        <w:ind w:left="280" w:hanging="164"/>
        <w:spacing w:after="0"/>
        <w:tabs>
          <w:tab w:leader="none" w:pos="280" w:val="left"/>
        </w:tabs>
        <w:numPr>
          <w:ilvl w:val="0"/>
          <w:numId w:val="62"/>
        </w:numPr>
        <w:rPr>
          <w:rFonts w:ascii="Arial" w:cs="Arial" w:eastAsia="Arial" w:hAnsi="Arial"/>
          <w:sz w:val="11"/>
          <w:szCs w:val="11"/>
          <w:color w:val="auto"/>
        </w:rPr>
      </w:pPr>
      <w:r>
        <w:rPr>
          <w:rFonts w:ascii="Arial" w:cs="Arial" w:eastAsia="Arial" w:hAnsi="Arial"/>
          <w:sz w:val="13"/>
          <w:szCs w:val="13"/>
          <w:color w:val="auto"/>
        </w:rPr>
        <w:t>Reflects base salary per each respective NEO’s employment contract.</w:t>
      </w:r>
    </w:p>
    <w:p>
      <w:pPr>
        <w:spacing w:after="0" w:line="93" w:lineRule="exact"/>
        <w:rPr>
          <w:rFonts w:ascii="Arial" w:cs="Arial" w:eastAsia="Arial" w:hAnsi="Arial"/>
          <w:sz w:val="11"/>
          <w:szCs w:val="11"/>
          <w:color w:val="auto"/>
        </w:rPr>
      </w:pPr>
    </w:p>
    <w:p>
      <w:pPr>
        <w:ind w:left="120" w:right="160" w:hanging="4"/>
        <w:spacing w:after="0" w:line="230" w:lineRule="auto"/>
        <w:tabs>
          <w:tab w:leader="none" w:pos="286" w:val="left"/>
        </w:tabs>
        <w:numPr>
          <w:ilvl w:val="0"/>
          <w:numId w:val="62"/>
        </w:numPr>
        <w:rPr>
          <w:rFonts w:ascii="Arial" w:cs="Arial" w:eastAsia="Arial" w:hAnsi="Arial"/>
          <w:sz w:val="11"/>
          <w:szCs w:val="11"/>
          <w:color w:val="auto"/>
        </w:rPr>
      </w:pPr>
      <w:r>
        <w:rPr>
          <w:rFonts w:ascii="Arial" w:cs="Arial" w:eastAsia="Arial" w:hAnsi="Arial"/>
          <w:sz w:val="13"/>
          <w:szCs w:val="13"/>
          <w:color w:val="auto"/>
        </w:rPr>
        <w:t>Reflects the actual cash received by each respective NEO for calendar year 2020 as adjusted for an exchange of base salary for a stock compensation grant that vested on December 31, 2020 as previously discussed.</w:t>
      </w:r>
    </w:p>
    <w:p>
      <w:pPr>
        <w:spacing w:after="0" w:line="48" w:lineRule="exact"/>
        <w:rPr>
          <w:sz w:val="20"/>
          <w:szCs w:val="20"/>
          <w:color w:val="auto"/>
        </w:rPr>
      </w:pPr>
    </w:p>
    <w:p>
      <w:pPr>
        <w:ind w:left="800" w:hanging="684"/>
        <w:spacing w:after="0"/>
        <w:tabs>
          <w:tab w:leader="none" w:pos="800" w:val="left"/>
        </w:tabs>
        <w:numPr>
          <w:ilvl w:val="0"/>
          <w:numId w:val="63"/>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color w:val="604F2B"/>
        </w:rPr>
        <w:t xml:space="preserve">Annual Incentives: </w:t>
      </w:r>
      <w:r>
        <w:rPr>
          <w:rFonts w:ascii="Arial" w:cs="Arial" w:eastAsia="Arial" w:hAnsi="Arial"/>
          <w:sz w:val="18"/>
          <w:szCs w:val="18"/>
          <w:color w:val="000000"/>
        </w:rPr>
        <w:t>In response to the pandemic, the Compensation Committee limited the annual incentive opportunity to 40% of</w:t>
      </w:r>
      <w:r>
        <w:rPr>
          <w:rFonts w:ascii="Arial" w:cs="Arial" w:eastAsia="Arial" w:hAnsi="Arial"/>
          <w:sz w:val="18"/>
          <w:szCs w:val="18"/>
          <w:b w:val="1"/>
          <w:bCs w:val="1"/>
          <w:color w:val="604F2B"/>
        </w:rPr>
        <w:t xml:space="preserve"> </w:t>
      </w:r>
      <w:r>
        <w:rPr>
          <w:rFonts w:ascii="Arial" w:cs="Arial" w:eastAsia="Arial" w:hAnsi="Arial"/>
          <w:sz w:val="18"/>
          <w:szCs w:val="18"/>
          <w:color w:val="000000"/>
        </w:rPr>
        <w:t>contractual target awards. For the 2020 annual incentive awards granted under our Omnibus Plan, the Compensation Committee applied two performance goals, each related to the second half of the year given that the Company was able to begin opening certain properties at that time and due to the uncertainty surrounding COVID-19 during the first half of the year.</w:t>
      </w:r>
    </w:p>
    <w:p>
      <w:pPr>
        <w:spacing w:after="0" w:line="201" w:lineRule="exact"/>
        <w:rPr>
          <w:sz w:val="20"/>
          <w:szCs w:val="20"/>
          <w:color w:val="auto"/>
        </w:rPr>
      </w:pPr>
    </w:p>
    <w:p>
      <w:pPr>
        <w:ind w:left="1000" w:right="20" w:hanging="876"/>
        <w:spacing w:after="0" w:line="271" w:lineRule="auto"/>
        <w:tabs>
          <w:tab w:leader="none" w:pos="980" w:val="left"/>
        </w:tabs>
        <w:rPr>
          <w:sz w:val="20"/>
          <w:szCs w:val="20"/>
          <w:color w:val="auto"/>
        </w:rPr>
      </w:pPr>
      <w:r>
        <w:rPr>
          <w:rFonts w:ascii="Arial" w:cs="Arial" w:eastAsia="Arial" w:hAnsi="Arial"/>
          <w:sz w:val="18"/>
          <w:szCs w:val="18"/>
          <w:b w:val="1"/>
          <w:bCs w:val="1"/>
          <w:color w:val="604F2B"/>
        </w:rPr>
        <w:t>Goal 1 –</w:t>
        <w:tab/>
        <w:t xml:space="preserve">2020 Adjusted Property EBITDA in North America (weighted 50%): </w:t>
      </w:r>
      <w:r>
        <w:rPr>
          <w:rFonts w:ascii="Arial" w:cs="Arial" w:eastAsia="Arial" w:hAnsi="Arial"/>
          <w:sz w:val="18"/>
          <w:szCs w:val="18"/>
          <w:color w:val="000000"/>
        </w:rPr>
        <w:t>For the second half of 2020, Adjusted Property EBITDA</w:t>
      </w:r>
      <w:r>
        <w:rPr>
          <w:rFonts w:ascii="Arial" w:cs="Arial" w:eastAsia="Arial" w:hAnsi="Arial"/>
          <w:sz w:val="18"/>
          <w:szCs w:val="18"/>
          <w:b w:val="1"/>
          <w:bCs w:val="1"/>
          <w:color w:val="604F2B"/>
        </w:rPr>
        <w:t xml:space="preserve"> </w:t>
      </w:r>
      <w:r>
        <w:rPr>
          <w:rFonts w:ascii="Arial" w:cs="Arial" w:eastAsia="Arial" w:hAnsi="Arial"/>
          <w:sz w:val="18"/>
          <w:szCs w:val="18"/>
          <w:color w:val="000000"/>
        </w:rPr>
        <w:t>was used as a proxy for operating cash flow during a period of intense focus on liquidity.</w:t>
      </w:r>
    </w:p>
    <w:p>
      <w:pPr>
        <w:spacing w:after="0" w:line="176" w:lineRule="exact"/>
        <w:rPr>
          <w:sz w:val="20"/>
          <w:szCs w:val="20"/>
          <w:color w:val="auto"/>
        </w:rPr>
      </w:pPr>
    </w:p>
    <w:p>
      <w:pPr>
        <w:ind w:left="1000" w:right="20"/>
        <w:spacing w:after="0" w:line="238" w:lineRule="auto"/>
        <w:rPr>
          <w:sz w:val="20"/>
          <w:szCs w:val="20"/>
          <w:color w:val="auto"/>
        </w:rPr>
      </w:pPr>
      <w:r>
        <w:rPr>
          <w:rFonts w:ascii="Arial" w:cs="Arial" w:eastAsia="Arial" w:hAnsi="Arial"/>
          <w:sz w:val="18"/>
          <w:szCs w:val="18"/>
          <w:color w:val="auto"/>
        </w:rPr>
        <w:t>The Committee, based on the effect of the COVID-19 pandemic on the operating conditions in Las Vegas and Boston and the uncertainty of operating conditions as the properties reopened, set a threshold performance level of at most a loss of $7 million, a target level of break-even, and maximum performance level of $60 million, in order to encourage minimization of cash flow losses.</w:t>
      </w:r>
    </w:p>
    <w:p>
      <w:pPr>
        <w:spacing w:after="0" w:line="205" w:lineRule="exact"/>
        <w:rPr>
          <w:sz w:val="20"/>
          <w:szCs w:val="20"/>
          <w:color w:val="auto"/>
        </w:rPr>
      </w:pPr>
    </w:p>
    <w:p>
      <w:pPr>
        <w:ind w:left="1000" w:right="440"/>
        <w:spacing w:after="0" w:line="246" w:lineRule="auto"/>
        <w:rPr>
          <w:sz w:val="20"/>
          <w:szCs w:val="20"/>
          <w:color w:val="auto"/>
        </w:rPr>
      </w:pPr>
      <w:r>
        <w:rPr>
          <w:rFonts w:ascii="Arial" w:cs="Arial" w:eastAsia="Arial" w:hAnsi="Arial"/>
          <w:sz w:val="18"/>
          <w:szCs w:val="18"/>
          <w:color w:val="auto"/>
        </w:rPr>
        <w:t>No incentive payout would be earned with respect to this metric if the Company did not achieve the threshold performance level.</w:t>
      </w:r>
    </w:p>
    <w:p>
      <w:pPr>
        <w:spacing w:after="0" w:line="175" w:lineRule="exact"/>
        <w:rPr>
          <w:sz w:val="20"/>
          <w:szCs w:val="20"/>
          <w:color w:val="auto"/>
        </w:rPr>
      </w:pPr>
    </w:p>
    <w:p>
      <w:pPr>
        <w:ind w:left="1000" w:right="220" w:hanging="876"/>
        <w:spacing w:after="0" w:line="253" w:lineRule="auto"/>
        <w:tabs>
          <w:tab w:leader="none" w:pos="980" w:val="left"/>
        </w:tabs>
        <w:rPr>
          <w:sz w:val="20"/>
          <w:szCs w:val="20"/>
          <w:color w:val="auto"/>
        </w:rPr>
      </w:pPr>
      <w:r>
        <w:rPr>
          <w:rFonts w:ascii="Arial" w:cs="Arial" w:eastAsia="Arial" w:hAnsi="Arial"/>
          <w:sz w:val="18"/>
          <w:szCs w:val="18"/>
          <w:b w:val="1"/>
          <w:bCs w:val="1"/>
          <w:color w:val="604F2B"/>
        </w:rPr>
        <w:t>Goal 2 –</w:t>
        <w:tab/>
        <w:t xml:space="preserve">Macau Market Share (weighted 50%): </w:t>
      </w:r>
      <w:r>
        <w:rPr>
          <w:rFonts w:ascii="Arial" w:cs="Arial" w:eastAsia="Arial" w:hAnsi="Arial"/>
          <w:sz w:val="18"/>
          <w:szCs w:val="18"/>
          <w:color w:val="000000"/>
        </w:rPr>
        <w:t>As our Macau properties reopened, visitation volumes remained suppressed due to</w:t>
      </w:r>
      <w:r>
        <w:rPr>
          <w:rFonts w:ascii="Arial" w:cs="Arial" w:eastAsia="Arial" w:hAnsi="Arial"/>
          <w:sz w:val="18"/>
          <w:szCs w:val="18"/>
          <w:b w:val="1"/>
          <w:bCs w:val="1"/>
          <w:color w:val="604F2B"/>
        </w:rPr>
        <w:t xml:space="preserve"> </w:t>
      </w:r>
      <w:r>
        <w:rPr>
          <w:rFonts w:ascii="Arial" w:cs="Arial" w:eastAsia="Arial" w:hAnsi="Arial"/>
          <w:sz w:val="18"/>
          <w:szCs w:val="18"/>
          <w:color w:val="000000"/>
        </w:rPr>
        <w:t>travel restrictions. The Compensation Committee established market share goals to evaluate performance in challenging and unusual conditions.</w:t>
      </w:r>
    </w:p>
    <w:p>
      <w:pPr>
        <w:spacing w:after="0" w:line="191" w:lineRule="exact"/>
        <w:rPr>
          <w:sz w:val="20"/>
          <w:szCs w:val="20"/>
          <w:color w:val="auto"/>
        </w:rPr>
      </w:pPr>
    </w:p>
    <w:p>
      <w:pPr>
        <w:ind w:left="1000" w:right="280"/>
        <w:spacing w:after="0" w:line="246" w:lineRule="auto"/>
        <w:rPr>
          <w:sz w:val="20"/>
          <w:szCs w:val="20"/>
          <w:color w:val="auto"/>
        </w:rPr>
      </w:pPr>
      <w:r>
        <w:rPr>
          <w:rFonts w:ascii="Arial" w:cs="Arial" w:eastAsia="Arial" w:hAnsi="Arial"/>
          <w:sz w:val="18"/>
          <w:szCs w:val="18"/>
          <w:color w:val="auto"/>
        </w:rPr>
        <w:t>The Committee set a threshold performance level of 10% market share, a target level of 12% market share, and a maximum performance level of 16% market share.</w:t>
      </w:r>
    </w:p>
    <w:p>
      <w:pPr>
        <w:spacing w:after="0" w:line="19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incentive payout would be earned in respect of this metric if the Company did not achieve the threshold performance level.</w:t>
      </w:r>
    </w:p>
    <w:p>
      <w:pPr>
        <w:spacing w:after="0" w:line="185"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These awards were subject to (i) the limitations set forth in the Omnibus Plan, including the cash and stock grant limits and requirement of continued employment through the end of the calendar year performance period, and (ii) the Compensation Committee’s right, in its discretion, to reduce actual bonus amounts paid, taking into account other performance considerations, including corporate, property level and individual performance, as well as general macroeconomic conditions.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43</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31"/>
          <w:szCs w:val="31"/>
          <w:color w:val="604F2B"/>
        </w:rPr>
        <w:t>2020 Annual incentive payout: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second half of 2020, Actual Adjusted Property EBITDA for our Las Vegas Operations and Encore Boston Harbor was $83.9 million</w:t>
      </w:r>
    </w:p>
    <w:p>
      <w:pPr>
        <w:ind w:left="120" w:right="180"/>
        <w:spacing w:after="0" w:line="238" w:lineRule="auto"/>
        <w:rPr>
          <w:sz w:val="20"/>
          <w:szCs w:val="20"/>
          <w:color w:val="auto"/>
        </w:rPr>
      </w:pPr>
      <w:r>
        <w:rPr>
          <w:rFonts w:ascii="Arial" w:cs="Arial" w:eastAsia="Arial" w:hAnsi="Arial"/>
          <w:sz w:val="18"/>
          <w:szCs w:val="18"/>
          <w:color w:val="auto"/>
        </w:rPr>
        <w:t>– above the maximum performance level. For the second half 2020, the Company’s market share in Macau was above the Threshold level, but below the maximum performance level. Based on the 2020 results, in January 2021, the Compensation Committee determined the actual award payouts as set forth below, with the award being split equally in cash and stock and the target level set at 40% of contractual target levels: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Borders>
              <w:right w:val="single" w:sz="8" w:color="A8BCBF"/>
            </w:tcBorders>
          </w:tcPr>
          <w:p>
            <w:pPr>
              <w:spacing w:after="0"/>
              <w:rPr>
                <w:sz w:val="16"/>
                <w:szCs w:val="16"/>
                <w:color w:val="auto"/>
              </w:rPr>
            </w:pPr>
          </w:p>
        </w:tc>
        <w:tc>
          <w:tcPr>
            <w:tcW w:w="460" w:type="dxa"/>
            <w:vAlign w:val="bottom"/>
          </w:tcPr>
          <w:p>
            <w:pPr>
              <w:spacing w:after="0"/>
              <w:rPr>
                <w:sz w:val="16"/>
                <w:szCs w:val="16"/>
                <w:color w:val="auto"/>
              </w:rPr>
            </w:pPr>
          </w:p>
        </w:tc>
        <w:tc>
          <w:tcPr>
            <w:tcW w:w="2900" w:type="dxa"/>
            <w:vAlign w:val="bottom"/>
            <w:gridSpan w:val="4"/>
          </w:tcPr>
          <w:p>
            <w:pPr>
              <w:jc w:val="right"/>
              <w:ind w:right="1110"/>
              <w:spacing w:after="0"/>
              <w:rPr>
                <w:sz w:val="20"/>
                <w:szCs w:val="20"/>
                <w:color w:val="auto"/>
              </w:rPr>
            </w:pPr>
            <w:r>
              <w:rPr>
                <w:rFonts w:ascii="Arial" w:cs="Arial" w:eastAsia="Arial" w:hAnsi="Arial"/>
                <w:sz w:val="13"/>
                <w:szCs w:val="13"/>
                <w:b w:val="1"/>
                <w:bCs w:val="1"/>
                <w:color w:val="604F2B"/>
              </w:rPr>
              <w:t>ACTUAL AWARD</w:t>
            </w:r>
          </w:p>
        </w:tc>
        <w:tc>
          <w:tcPr>
            <w:tcW w:w="0" w:type="dxa"/>
            <w:vAlign w:val="bottom"/>
          </w:tcPr>
          <w:p>
            <w:pPr>
              <w:spacing w:after="0"/>
              <w:rPr>
                <w:sz w:val="1"/>
                <w:szCs w:val="1"/>
                <w:color w:val="auto"/>
              </w:rPr>
            </w:pPr>
          </w:p>
        </w:tc>
      </w:tr>
      <w:tr>
        <w:trPr>
          <w:trHeight w:val="82"/>
        </w:trPr>
        <w:tc>
          <w:tcPr>
            <w:tcW w:w="3740" w:type="dxa"/>
            <w:vAlign w:val="bottom"/>
            <w:vMerge w:val="restart"/>
          </w:tcPr>
          <w:p>
            <w:pPr>
              <w:ind w:left="60"/>
              <w:spacing w:after="0"/>
              <w:rPr>
                <w:sz w:val="20"/>
                <w:szCs w:val="20"/>
                <w:color w:val="auto"/>
              </w:rPr>
            </w:pPr>
            <w:r>
              <w:rPr>
                <w:rFonts w:ascii="Arial" w:cs="Arial" w:eastAsia="Arial" w:hAnsi="Arial"/>
                <w:sz w:val="13"/>
                <w:szCs w:val="13"/>
                <w:b w:val="1"/>
                <w:bCs w:val="1"/>
                <w:color w:val="604F2B"/>
              </w:rPr>
              <w:t>NAMED EXECUTIVE OFFICER</w:t>
            </w:r>
          </w:p>
        </w:tc>
        <w:tc>
          <w:tcPr>
            <w:tcW w:w="20" w:type="dxa"/>
            <w:vAlign w:val="bottom"/>
          </w:tcPr>
          <w:p>
            <w:pPr>
              <w:spacing w:after="0"/>
              <w:rPr>
                <w:sz w:val="7"/>
                <w:szCs w:val="7"/>
                <w:color w:val="auto"/>
              </w:rPr>
            </w:pPr>
          </w:p>
        </w:tc>
        <w:tc>
          <w:tcPr>
            <w:tcW w:w="1480" w:type="dxa"/>
            <w:vAlign w:val="bottom"/>
            <w:vMerge w:val="restart"/>
          </w:tcPr>
          <w:p>
            <w:pPr>
              <w:jc w:val="center"/>
              <w:ind w:left="37"/>
              <w:spacing w:after="0"/>
              <w:rPr>
                <w:sz w:val="20"/>
                <w:szCs w:val="20"/>
                <w:color w:val="auto"/>
              </w:rPr>
            </w:pPr>
            <w:r>
              <w:rPr>
                <w:rFonts w:ascii="Arial" w:cs="Arial" w:eastAsia="Arial" w:hAnsi="Arial"/>
                <w:sz w:val="13"/>
                <w:szCs w:val="13"/>
                <w:b w:val="1"/>
                <w:bCs w:val="1"/>
                <w:color w:val="604F2B"/>
                <w:w w:val="98"/>
              </w:rPr>
              <w:t>THRESHOLD</w:t>
            </w:r>
            <w:r>
              <w:rPr>
                <w:rFonts w:ascii="Arial" w:cs="Arial" w:eastAsia="Arial" w:hAnsi="Arial"/>
                <w:sz w:val="10"/>
                <w:szCs w:val="10"/>
                <w:b w:val="1"/>
                <w:bCs w:val="1"/>
                <w:color w:val="604F2B"/>
                <w:w w:val="98"/>
              </w:rPr>
              <w:t>(1)</w:t>
            </w:r>
          </w:p>
        </w:tc>
        <w:tc>
          <w:tcPr>
            <w:tcW w:w="20" w:type="dxa"/>
            <w:vAlign w:val="bottom"/>
          </w:tcPr>
          <w:p>
            <w:pPr>
              <w:spacing w:after="0"/>
              <w:rPr>
                <w:sz w:val="7"/>
                <w:szCs w:val="7"/>
                <w:color w:val="auto"/>
              </w:rPr>
            </w:pPr>
          </w:p>
        </w:tc>
        <w:tc>
          <w:tcPr>
            <w:tcW w:w="1120" w:type="dxa"/>
            <w:vAlign w:val="bottom"/>
            <w:vMerge w:val="restart"/>
          </w:tcPr>
          <w:p>
            <w:pPr>
              <w:ind w:left="340"/>
              <w:spacing w:after="0"/>
              <w:rPr>
                <w:sz w:val="20"/>
                <w:szCs w:val="20"/>
                <w:color w:val="auto"/>
              </w:rPr>
            </w:pPr>
            <w:r>
              <w:rPr>
                <w:rFonts w:ascii="Arial" w:cs="Arial" w:eastAsia="Arial" w:hAnsi="Arial"/>
                <w:sz w:val="13"/>
                <w:szCs w:val="13"/>
                <w:b w:val="1"/>
                <w:bCs w:val="1"/>
                <w:color w:val="604F2B"/>
              </w:rPr>
              <w:t>TARGET</w:t>
            </w:r>
            <w:r>
              <w:rPr>
                <w:rFonts w:ascii="Arial" w:cs="Arial" w:eastAsia="Arial" w:hAnsi="Arial"/>
                <w:sz w:val="10"/>
                <w:szCs w:val="10"/>
                <w:b w:val="1"/>
                <w:bCs w:val="1"/>
                <w:color w:val="604F2B"/>
              </w:rPr>
              <w:t>(2)</w:t>
            </w:r>
          </w:p>
        </w:tc>
        <w:tc>
          <w:tcPr>
            <w:tcW w:w="20" w:type="dxa"/>
            <w:vAlign w:val="bottom"/>
          </w:tcPr>
          <w:p>
            <w:pPr>
              <w:spacing w:after="0"/>
              <w:rPr>
                <w:sz w:val="7"/>
                <w:szCs w:val="7"/>
                <w:color w:val="auto"/>
              </w:rPr>
            </w:pPr>
          </w:p>
        </w:tc>
        <w:tc>
          <w:tcPr>
            <w:tcW w:w="1260" w:type="dxa"/>
            <w:vAlign w:val="bottom"/>
            <w:tcBorders>
              <w:right w:val="single" w:sz="8" w:color="A8BCBF"/>
            </w:tcBorders>
            <w:vMerge w:val="restart"/>
          </w:tcPr>
          <w:p>
            <w:pPr>
              <w:ind w:left="340"/>
              <w:spacing w:after="0"/>
              <w:rPr>
                <w:sz w:val="20"/>
                <w:szCs w:val="20"/>
                <w:color w:val="auto"/>
              </w:rPr>
            </w:pPr>
            <w:r>
              <w:rPr>
                <w:rFonts w:ascii="Arial" w:cs="Arial" w:eastAsia="Arial" w:hAnsi="Arial"/>
                <w:sz w:val="13"/>
                <w:szCs w:val="13"/>
                <w:b w:val="1"/>
                <w:bCs w:val="1"/>
                <w:color w:val="604F2B"/>
              </w:rPr>
              <w:t>MAXIMUM</w:t>
            </w:r>
            <w:r>
              <w:rPr>
                <w:rFonts w:ascii="Arial" w:cs="Arial" w:eastAsia="Arial" w:hAnsi="Arial"/>
                <w:sz w:val="10"/>
                <w:szCs w:val="10"/>
                <w:b w:val="1"/>
                <w:bCs w:val="1"/>
                <w:color w:val="604F2B"/>
              </w:rPr>
              <w:t>(3)</w:t>
            </w:r>
          </w:p>
        </w:tc>
        <w:tc>
          <w:tcPr>
            <w:tcW w:w="460" w:type="dxa"/>
            <w:vAlign w:val="bottom"/>
          </w:tcPr>
          <w:p>
            <w:pPr>
              <w:spacing w:after="0"/>
              <w:rPr>
                <w:sz w:val="7"/>
                <w:szCs w:val="7"/>
                <w:color w:val="auto"/>
              </w:rPr>
            </w:pPr>
          </w:p>
        </w:tc>
        <w:tc>
          <w:tcPr>
            <w:tcW w:w="1200" w:type="dxa"/>
            <w:vAlign w:val="bottom"/>
            <w:vMerge w:val="restart"/>
          </w:tcPr>
          <w:p>
            <w:pPr>
              <w:jc w:val="right"/>
              <w:ind w:right="681"/>
              <w:spacing w:after="0"/>
              <w:rPr>
                <w:sz w:val="20"/>
                <w:szCs w:val="20"/>
                <w:color w:val="auto"/>
              </w:rPr>
            </w:pPr>
            <w:r>
              <w:rPr>
                <w:rFonts w:ascii="Arial" w:cs="Arial" w:eastAsia="Arial" w:hAnsi="Arial"/>
                <w:sz w:val="13"/>
                <w:szCs w:val="13"/>
                <w:b w:val="1"/>
                <w:bCs w:val="1"/>
                <w:color w:val="604F2B"/>
              </w:rPr>
              <w:t>CASH</w:t>
            </w:r>
          </w:p>
        </w:tc>
        <w:tc>
          <w:tcPr>
            <w:tcW w:w="20" w:type="dxa"/>
            <w:vAlign w:val="bottom"/>
          </w:tcPr>
          <w:p>
            <w:pPr>
              <w:spacing w:after="0"/>
              <w:rPr>
                <w:sz w:val="7"/>
                <w:szCs w:val="7"/>
                <w:color w:val="auto"/>
              </w:rPr>
            </w:pPr>
          </w:p>
        </w:tc>
        <w:tc>
          <w:tcPr>
            <w:tcW w:w="1680" w:type="dxa"/>
            <w:vAlign w:val="bottom"/>
            <w:gridSpan w:val="2"/>
            <w:vMerge w:val="restart"/>
          </w:tcPr>
          <w:p>
            <w:pPr>
              <w:jc w:val="right"/>
              <w:ind w:right="550"/>
              <w:spacing w:after="0"/>
              <w:rPr>
                <w:sz w:val="20"/>
                <w:szCs w:val="20"/>
                <w:color w:val="auto"/>
              </w:rPr>
            </w:pPr>
            <w:r>
              <w:rPr>
                <w:rFonts w:ascii="Arial" w:cs="Arial" w:eastAsia="Arial" w:hAnsi="Arial"/>
                <w:sz w:val="13"/>
                <w:szCs w:val="13"/>
                <w:b w:val="1"/>
                <w:bCs w:val="1"/>
                <w:color w:val="604F2B"/>
              </w:rPr>
              <w:t>EQUITY</w:t>
            </w:r>
            <w:r>
              <w:rPr>
                <w:rFonts w:ascii="Arial" w:cs="Arial" w:eastAsia="Arial" w:hAnsi="Arial"/>
                <w:sz w:val="10"/>
                <w:szCs w:val="10"/>
                <w:b w:val="1"/>
                <w:bCs w:val="1"/>
                <w:color w:val="604F2B"/>
              </w:rPr>
              <w:t>(4)</w:t>
            </w:r>
          </w:p>
        </w:tc>
        <w:tc>
          <w:tcPr>
            <w:tcW w:w="0" w:type="dxa"/>
            <w:vAlign w:val="bottom"/>
          </w:tcPr>
          <w:p>
            <w:pPr>
              <w:spacing w:after="0"/>
              <w:rPr>
                <w:sz w:val="1"/>
                <w:szCs w:val="1"/>
                <w:color w:val="auto"/>
              </w:rPr>
            </w:pPr>
          </w:p>
        </w:tc>
      </w:tr>
      <w:tr>
        <w:trPr>
          <w:trHeight w:val="173"/>
        </w:trPr>
        <w:tc>
          <w:tcPr>
            <w:tcW w:w="3740" w:type="dxa"/>
            <w:vAlign w:val="bottom"/>
            <w:vMerge w:val="continue"/>
          </w:tcPr>
          <w:p>
            <w:pPr>
              <w:spacing w:after="0"/>
              <w:rPr>
                <w:sz w:val="15"/>
                <w:szCs w:val="15"/>
                <w:color w:val="auto"/>
              </w:rPr>
            </w:pPr>
          </w:p>
        </w:tc>
        <w:tc>
          <w:tcPr>
            <w:tcW w:w="20" w:type="dxa"/>
            <w:vAlign w:val="bottom"/>
            <w:shd w:val="clear" w:color="auto" w:fill="A8BCBF"/>
          </w:tcPr>
          <w:p>
            <w:pPr>
              <w:spacing w:after="0"/>
              <w:rPr>
                <w:sz w:val="15"/>
                <w:szCs w:val="15"/>
                <w:color w:val="auto"/>
              </w:rPr>
            </w:pPr>
          </w:p>
        </w:tc>
        <w:tc>
          <w:tcPr>
            <w:tcW w:w="1480" w:type="dxa"/>
            <w:vAlign w:val="bottom"/>
            <w:vMerge w:val="continue"/>
          </w:tcPr>
          <w:p>
            <w:pPr>
              <w:spacing w:after="0"/>
              <w:rPr>
                <w:sz w:val="15"/>
                <w:szCs w:val="15"/>
                <w:color w:val="auto"/>
              </w:rPr>
            </w:pPr>
          </w:p>
        </w:tc>
        <w:tc>
          <w:tcPr>
            <w:tcW w:w="20" w:type="dxa"/>
            <w:vAlign w:val="bottom"/>
            <w:shd w:val="clear" w:color="auto" w:fill="A8BCBF"/>
          </w:tcPr>
          <w:p>
            <w:pPr>
              <w:spacing w:after="0"/>
              <w:rPr>
                <w:sz w:val="15"/>
                <w:szCs w:val="15"/>
                <w:color w:val="auto"/>
              </w:rPr>
            </w:pPr>
          </w:p>
        </w:tc>
        <w:tc>
          <w:tcPr>
            <w:tcW w:w="1120" w:type="dxa"/>
            <w:vAlign w:val="bottom"/>
            <w:vMerge w:val="continue"/>
          </w:tcPr>
          <w:p>
            <w:pPr>
              <w:spacing w:after="0"/>
              <w:rPr>
                <w:sz w:val="15"/>
                <w:szCs w:val="15"/>
                <w:color w:val="auto"/>
              </w:rPr>
            </w:pPr>
          </w:p>
        </w:tc>
        <w:tc>
          <w:tcPr>
            <w:tcW w:w="20" w:type="dxa"/>
            <w:vAlign w:val="bottom"/>
            <w:shd w:val="clear" w:color="auto" w:fill="A8BCBF"/>
          </w:tcPr>
          <w:p>
            <w:pPr>
              <w:spacing w:after="0"/>
              <w:rPr>
                <w:sz w:val="15"/>
                <w:szCs w:val="15"/>
                <w:color w:val="auto"/>
              </w:rPr>
            </w:pPr>
          </w:p>
        </w:tc>
        <w:tc>
          <w:tcPr>
            <w:tcW w:w="1260" w:type="dxa"/>
            <w:vAlign w:val="bottom"/>
            <w:tcBorders>
              <w:right w:val="single" w:sz="8" w:color="A8BCBF"/>
            </w:tcBorders>
            <w:vMerge w:val="continue"/>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20" w:type="dxa"/>
            <w:vAlign w:val="bottom"/>
            <w:shd w:val="clear" w:color="auto" w:fill="A8BCBF"/>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3740" w:type="dxa"/>
            <w:vAlign w:val="bottom"/>
          </w:tcPr>
          <w:p>
            <w:pPr>
              <w:spacing w:after="0"/>
              <w:rPr>
                <w:sz w:val="8"/>
                <w:szCs w:val="8"/>
                <w:color w:val="auto"/>
              </w:rPr>
            </w:pPr>
          </w:p>
        </w:tc>
        <w:tc>
          <w:tcPr>
            <w:tcW w:w="20" w:type="dxa"/>
            <w:vAlign w:val="bottom"/>
            <w:shd w:val="clear" w:color="auto" w:fill="A8BCBF"/>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shd w:val="clear" w:color="auto" w:fill="A8BCBF"/>
          </w:tcPr>
          <w:p>
            <w:pPr>
              <w:spacing w:after="0"/>
              <w:rPr>
                <w:sz w:val="8"/>
                <w:szCs w:val="8"/>
                <w:color w:val="auto"/>
              </w:rPr>
            </w:pPr>
          </w:p>
        </w:tc>
        <w:tc>
          <w:tcPr>
            <w:tcW w:w="1120" w:type="dxa"/>
            <w:vAlign w:val="bottom"/>
          </w:tcPr>
          <w:p>
            <w:pPr>
              <w:spacing w:after="0"/>
              <w:rPr>
                <w:sz w:val="8"/>
                <w:szCs w:val="8"/>
                <w:color w:val="auto"/>
              </w:rPr>
            </w:pPr>
          </w:p>
        </w:tc>
        <w:tc>
          <w:tcPr>
            <w:tcW w:w="20" w:type="dxa"/>
            <w:vAlign w:val="bottom"/>
            <w:shd w:val="clear" w:color="auto" w:fill="A8BCBF"/>
          </w:tcPr>
          <w:p>
            <w:pPr>
              <w:spacing w:after="0"/>
              <w:rPr>
                <w:sz w:val="8"/>
                <w:szCs w:val="8"/>
                <w:color w:val="auto"/>
              </w:rPr>
            </w:pPr>
          </w:p>
        </w:tc>
        <w:tc>
          <w:tcPr>
            <w:tcW w:w="1260" w:type="dxa"/>
            <w:vAlign w:val="bottom"/>
            <w:tcBorders>
              <w:right w:val="single" w:sz="8" w:color="A8BCBF"/>
            </w:tcBorders>
          </w:tcPr>
          <w:p>
            <w:pPr>
              <w:spacing w:after="0"/>
              <w:rPr>
                <w:sz w:val="8"/>
                <w:szCs w:val="8"/>
                <w:color w:val="auto"/>
              </w:rPr>
            </w:pPr>
          </w:p>
        </w:tc>
        <w:tc>
          <w:tcPr>
            <w:tcW w:w="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shd w:val="clear" w:color="auto" w:fill="A8BCBF"/>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740" w:type="dxa"/>
            <w:vAlign w:val="bottom"/>
            <w:shd w:val="clear" w:color="auto" w:fill="EAEAE5"/>
          </w:tcPr>
          <w:p>
            <w:pPr>
              <w:ind w:left="60"/>
              <w:spacing w:after="0"/>
              <w:rPr>
                <w:sz w:val="20"/>
                <w:szCs w:val="20"/>
                <w:color w:val="auto"/>
              </w:rPr>
            </w:pPr>
            <w:r>
              <w:rPr>
                <w:rFonts w:ascii="Arial" w:cs="Arial" w:eastAsia="Arial" w:hAnsi="Arial"/>
                <w:sz w:val="18"/>
                <w:szCs w:val="18"/>
                <w:color w:val="auto"/>
              </w:rPr>
              <w:t>Matt Maddox</w:t>
            </w:r>
          </w:p>
        </w:tc>
        <w:tc>
          <w:tcPr>
            <w:tcW w:w="20" w:type="dxa"/>
            <w:vAlign w:val="bottom"/>
            <w:shd w:val="clear" w:color="auto" w:fill="A8BCBF"/>
          </w:tcPr>
          <w:p>
            <w:pPr>
              <w:spacing w:after="0"/>
              <w:rPr>
                <w:sz w:val="19"/>
                <w:szCs w:val="19"/>
                <w:color w:val="auto"/>
              </w:rPr>
            </w:pPr>
          </w:p>
        </w:tc>
        <w:tc>
          <w:tcPr>
            <w:tcW w:w="1480" w:type="dxa"/>
            <w:vAlign w:val="bottom"/>
            <w:shd w:val="clear" w:color="auto" w:fill="EAEAE5"/>
          </w:tcPr>
          <w:p>
            <w:pPr>
              <w:jc w:val="center"/>
              <w:ind w:left="37"/>
              <w:spacing w:after="0"/>
              <w:rPr>
                <w:sz w:val="20"/>
                <w:szCs w:val="20"/>
                <w:color w:val="auto"/>
              </w:rPr>
            </w:pPr>
            <w:r>
              <w:rPr>
                <w:rFonts w:ascii="Arial" w:cs="Arial" w:eastAsia="Arial" w:hAnsi="Arial"/>
                <w:sz w:val="18"/>
                <w:szCs w:val="18"/>
                <w:color w:val="auto"/>
                <w:w w:val="99"/>
              </w:rPr>
              <w:t>80%</w:t>
            </w:r>
          </w:p>
        </w:tc>
        <w:tc>
          <w:tcPr>
            <w:tcW w:w="20" w:type="dxa"/>
            <w:vAlign w:val="bottom"/>
            <w:shd w:val="clear" w:color="auto" w:fill="A8BCBF"/>
          </w:tcPr>
          <w:p>
            <w:pPr>
              <w:spacing w:after="0"/>
              <w:rPr>
                <w:sz w:val="19"/>
                <w:szCs w:val="19"/>
                <w:color w:val="auto"/>
              </w:rPr>
            </w:pPr>
          </w:p>
        </w:tc>
        <w:tc>
          <w:tcPr>
            <w:tcW w:w="1120" w:type="dxa"/>
            <w:vAlign w:val="bottom"/>
            <w:shd w:val="clear" w:color="auto" w:fill="EAEAE5"/>
          </w:tcPr>
          <w:p>
            <w:pPr>
              <w:jc w:val="center"/>
              <w:ind w:left="57"/>
              <w:spacing w:after="0"/>
              <w:rPr>
                <w:sz w:val="20"/>
                <w:szCs w:val="20"/>
                <w:color w:val="auto"/>
              </w:rPr>
            </w:pPr>
            <w:r>
              <w:rPr>
                <w:rFonts w:ascii="Arial" w:cs="Arial" w:eastAsia="Arial" w:hAnsi="Arial"/>
                <w:sz w:val="18"/>
                <w:szCs w:val="18"/>
                <w:color w:val="auto"/>
                <w:w w:val="99"/>
              </w:rPr>
              <w:t>100%</w:t>
            </w:r>
          </w:p>
        </w:tc>
        <w:tc>
          <w:tcPr>
            <w:tcW w:w="20" w:type="dxa"/>
            <w:vAlign w:val="bottom"/>
            <w:shd w:val="clear" w:color="auto" w:fill="A8BCBF"/>
          </w:tcPr>
          <w:p>
            <w:pPr>
              <w:spacing w:after="0"/>
              <w:rPr>
                <w:sz w:val="19"/>
                <w:szCs w:val="19"/>
                <w:color w:val="auto"/>
              </w:rPr>
            </w:pPr>
          </w:p>
        </w:tc>
        <w:tc>
          <w:tcPr>
            <w:tcW w:w="1260" w:type="dxa"/>
            <w:vAlign w:val="bottom"/>
            <w:tcBorders>
              <w:right w:val="single" w:sz="8" w:color="A8BCBF"/>
            </w:tcBorders>
            <w:shd w:val="clear" w:color="auto" w:fill="EAEAE5"/>
          </w:tcPr>
          <w:p>
            <w:pPr>
              <w:jc w:val="center"/>
              <w:ind w:left="37"/>
              <w:spacing w:after="0"/>
              <w:rPr>
                <w:sz w:val="20"/>
                <w:szCs w:val="20"/>
                <w:color w:val="auto"/>
              </w:rPr>
            </w:pPr>
            <w:r>
              <w:rPr>
                <w:rFonts w:ascii="Arial" w:cs="Arial" w:eastAsia="Arial" w:hAnsi="Arial"/>
                <w:sz w:val="18"/>
                <w:szCs w:val="18"/>
                <w:color w:val="auto"/>
                <w:w w:val="99"/>
              </w:rPr>
              <w:t>120%</w:t>
            </w:r>
          </w:p>
        </w:tc>
        <w:tc>
          <w:tcPr>
            <w:tcW w:w="460" w:type="dxa"/>
            <w:vAlign w:val="bottom"/>
            <w:shd w:val="clear" w:color="auto" w:fill="EAEAE5"/>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EAE5"/>
          </w:tcPr>
          <w:p>
            <w:pPr>
              <w:jc w:val="right"/>
              <w:ind w:right="321"/>
              <w:spacing w:after="0"/>
              <w:rPr>
                <w:sz w:val="20"/>
                <w:szCs w:val="20"/>
                <w:color w:val="auto"/>
              </w:rPr>
            </w:pPr>
            <w:r>
              <w:rPr>
                <w:rFonts w:ascii="Arial" w:cs="Arial" w:eastAsia="Arial" w:hAnsi="Arial"/>
                <w:sz w:val="18"/>
                <w:szCs w:val="18"/>
                <w:color w:val="auto"/>
                <w:w w:val="97"/>
              </w:rPr>
              <w:t>1,100,000</w:t>
            </w:r>
          </w:p>
        </w:tc>
        <w:tc>
          <w:tcPr>
            <w:tcW w:w="20" w:type="dxa"/>
            <w:vAlign w:val="bottom"/>
            <w:shd w:val="clear" w:color="auto" w:fill="A8BCBF"/>
          </w:tcPr>
          <w:p>
            <w:pPr>
              <w:spacing w:after="0"/>
              <w:rPr>
                <w:sz w:val="19"/>
                <w:szCs w:val="19"/>
                <w:color w:val="auto"/>
              </w:rPr>
            </w:pPr>
          </w:p>
        </w:tc>
        <w:tc>
          <w:tcPr>
            <w:tcW w:w="460" w:type="dxa"/>
            <w:vAlign w:val="bottom"/>
            <w:shd w:val="clear" w:color="auto" w:fill="EAEAE5"/>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EAE5"/>
          </w:tcPr>
          <w:p>
            <w:pPr>
              <w:jc w:val="right"/>
              <w:ind w:right="330"/>
              <w:spacing w:after="0"/>
              <w:rPr>
                <w:sz w:val="20"/>
                <w:szCs w:val="20"/>
                <w:color w:val="auto"/>
              </w:rPr>
            </w:pPr>
            <w:r>
              <w:rPr>
                <w:rFonts w:ascii="Arial" w:cs="Arial" w:eastAsia="Arial" w:hAnsi="Arial"/>
                <w:sz w:val="18"/>
                <w:szCs w:val="18"/>
                <w:color w:val="auto"/>
                <w:w w:val="97"/>
              </w:rPr>
              <w:t>1,100,000</w:t>
            </w:r>
          </w:p>
        </w:tc>
        <w:tc>
          <w:tcPr>
            <w:tcW w:w="0" w:type="dxa"/>
            <w:vAlign w:val="bottom"/>
          </w:tcPr>
          <w:p>
            <w:pPr>
              <w:spacing w:after="0"/>
              <w:rPr>
                <w:sz w:val="1"/>
                <w:szCs w:val="1"/>
                <w:color w:val="auto"/>
              </w:rPr>
            </w:pPr>
          </w:p>
        </w:tc>
      </w:tr>
      <w:tr>
        <w:trPr>
          <w:trHeight w:val="230"/>
        </w:trPr>
        <w:tc>
          <w:tcPr>
            <w:tcW w:w="3740" w:type="dxa"/>
            <w:vAlign w:val="bottom"/>
          </w:tcPr>
          <w:p>
            <w:pPr>
              <w:ind w:left="60"/>
              <w:spacing w:after="0"/>
              <w:rPr>
                <w:sz w:val="20"/>
                <w:szCs w:val="20"/>
                <w:color w:val="auto"/>
              </w:rPr>
            </w:pPr>
            <w:r>
              <w:rPr>
                <w:rFonts w:ascii="Arial" w:cs="Arial" w:eastAsia="Arial" w:hAnsi="Arial"/>
                <w:sz w:val="18"/>
                <w:szCs w:val="18"/>
                <w:color w:val="auto"/>
              </w:rPr>
              <w:t>Craig S. Billings</w:t>
            </w:r>
          </w:p>
        </w:tc>
        <w:tc>
          <w:tcPr>
            <w:tcW w:w="20" w:type="dxa"/>
            <w:vAlign w:val="bottom"/>
            <w:shd w:val="clear" w:color="auto" w:fill="A8BCBF"/>
          </w:tcPr>
          <w:p>
            <w:pPr>
              <w:spacing w:after="0"/>
              <w:rPr>
                <w:sz w:val="19"/>
                <w:szCs w:val="19"/>
                <w:color w:val="auto"/>
              </w:rPr>
            </w:pPr>
          </w:p>
        </w:tc>
        <w:tc>
          <w:tcPr>
            <w:tcW w:w="1480" w:type="dxa"/>
            <w:vAlign w:val="bottom"/>
          </w:tcPr>
          <w:p>
            <w:pPr>
              <w:jc w:val="center"/>
              <w:ind w:left="37"/>
              <w:spacing w:after="0"/>
              <w:rPr>
                <w:sz w:val="20"/>
                <w:szCs w:val="20"/>
                <w:color w:val="auto"/>
              </w:rPr>
            </w:pPr>
            <w:r>
              <w:rPr>
                <w:rFonts w:ascii="Arial" w:cs="Arial" w:eastAsia="Arial" w:hAnsi="Arial"/>
                <w:sz w:val="18"/>
                <w:szCs w:val="18"/>
                <w:color w:val="auto"/>
                <w:w w:val="99"/>
              </w:rPr>
              <w:t>64%</w:t>
            </w:r>
          </w:p>
        </w:tc>
        <w:tc>
          <w:tcPr>
            <w:tcW w:w="20" w:type="dxa"/>
            <w:vAlign w:val="bottom"/>
            <w:shd w:val="clear" w:color="auto" w:fill="A8BCBF"/>
          </w:tcPr>
          <w:p>
            <w:pPr>
              <w:spacing w:after="0"/>
              <w:rPr>
                <w:sz w:val="19"/>
                <w:szCs w:val="19"/>
                <w:color w:val="auto"/>
              </w:rPr>
            </w:pPr>
          </w:p>
        </w:tc>
        <w:tc>
          <w:tcPr>
            <w:tcW w:w="1120" w:type="dxa"/>
            <w:vAlign w:val="bottom"/>
          </w:tcPr>
          <w:p>
            <w:pPr>
              <w:jc w:val="center"/>
              <w:ind w:left="57"/>
              <w:spacing w:after="0"/>
              <w:rPr>
                <w:sz w:val="20"/>
                <w:szCs w:val="20"/>
                <w:color w:val="auto"/>
              </w:rPr>
            </w:pPr>
            <w:r>
              <w:rPr>
                <w:rFonts w:ascii="Arial" w:cs="Arial" w:eastAsia="Arial" w:hAnsi="Arial"/>
                <w:sz w:val="18"/>
                <w:szCs w:val="18"/>
                <w:color w:val="auto"/>
              </w:rPr>
              <w:t>80%</w:t>
            </w:r>
          </w:p>
        </w:tc>
        <w:tc>
          <w:tcPr>
            <w:tcW w:w="20" w:type="dxa"/>
            <w:vAlign w:val="bottom"/>
            <w:shd w:val="clear" w:color="auto" w:fill="A8BCBF"/>
          </w:tcPr>
          <w:p>
            <w:pPr>
              <w:spacing w:after="0"/>
              <w:rPr>
                <w:sz w:val="19"/>
                <w:szCs w:val="19"/>
                <w:color w:val="auto"/>
              </w:rPr>
            </w:pPr>
          </w:p>
        </w:tc>
        <w:tc>
          <w:tcPr>
            <w:tcW w:w="1260" w:type="dxa"/>
            <w:vAlign w:val="bottom"/>
            <w:tcBorders>
              <w:right w:val="single" w:sz="8" w:color="A8BCBF"/>
            </w:tcBorders>
          </w:tcPr>
          <w:p>
            <w:pPr>
              <w:jc w:val="center"/>
              <w:ind w:left="57"/>
              <w:spacing w:after="0"/>
              <w:rPr>
                <w:sz w:val="20"/>
                <w:szCs w:val="20"/>
                <w:color w:val="auto"/>
              </w:rPr>
            </w:pPr>
            <w:r>
              <w:rPr>
                <w:rFonts w:ascii="Arial" w:cs="Arial" w:eastAsia="Arial" w:hAnsi="Arial"/>
                <w:sz w:val="18"/>
                <w:szCs w:val="18"/>
                <w:color w:val="auto"/>
                <w:w w:val="99"/>
              </w:rPr>
              <w:t>96%</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1"/>
              <w:spacing w:after="0"/>
              <w:rPr>
                <w:sz w:val="20"/>
                <w:szCs w:val="20"/>
                <w:color w:val="auto"/>
              </w:rPr>
            </w:pPr>
            <w:r>
              <w:rPr>
                <w:rFonts w:ascii="Arial" w:cs="Arial" w:eastAsia="Arial" w:hAnsi="Arial"/>
                <w:sz w:val="18"/>
                <w:szCs w:val="18"/>
                <w:color w:val="auto"/>
              </w:rPr>
              <w:t>528,000</w:t>
            </w:r>
          </w:p>
        </w:tc>
        <w:tc>
          <w:tcPr>
            <w:tcW w:w="20" w:type="dxa"/>
            <w:vAlign w:val="bottom"/>
            <w:shd w:val="clear" w:color="auto" w:fill="A8BCBF"/>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0"/>
              <w:spacing w:after="0"/>
              <w:rPr>
                <w:sz w:val="20"/>
                <w:szCs w:val="20"/>
                <w:color w:val="auto"/>
              </w:rPr>
            </w:pPr>
            <w:r>
              <w:rPr>
                <w:rFonts w:ascii="Arial" w:cs="Arial" w:eastAsia="Arial" w:hAnsi="Arial"/>
                <w:sz w:val="18"/>
                <w:szCs w:val="18"/>
                <w:color w:val="auto"/>
              </w:rPr>
              <w:t>528,000</w:t>
            </w:r>
          </w:p>
        </w:tc>
        <w:tc>
          <w:tcPr>
            <w:tcW w:w="0" w:type="dxa"/>
            <w:vAlign w:val="bottom"/>
          </w:tcPr>
          <w:p>
            <w:pPr>
              <w:spacing w:after="0"/>
              <w:rPr>
                <w:sz w:val="1"/>
                <w:szCs w:val="1"/>
                <w:color w:val="auto"/>
              </w:rPr>
            </w:pPr>
          </w:p>
        </w:tc>
      </w:tr>
      <w:tr>
        <w:trPr>
          <w:trHeight w:val="229"/>
        </w:trPr>
        <w:tc>
          <w:tcPr>
            <w:tcW w:w="3740" w:type="dxa"/>
            <w:vAlign w:val="bottom"/>
            <w:shd w:val="clear" w:color="auto" w:fill="EAEAE5"/>
          </w:tcPr>
          <w:p>
            <w:pPr>
              <w:ind w:left="60"/>
              <w:spacing w:after="0"/>
              <w:rPr>
                <w:sz w:val="20"/>
                <w:szCs w:val="20"/>
                <w:color w:val="auto"/>
              </w:rPr>
            </w:pPr>
            <w:r>
              <w:rPr>
                <w:rFonts w:ascii="Arial" w:cs="Arial" w:eastAsia="Arial" w:hAnsi="Arial"/>
                <w:sz w:val="18"/>
                <w:szCs w:val="18"/>
                <w:color w:val="auto"/>
              </w:rPr>
              <w:t>Ellen F. Whittemore</w:t>
            </w:r>
          </w:p>
        </w:tc>
        <w:tc>
          <w:tcPr>
            <w:tcW w:w="20" w:type="dxa"/>
            <w:vAlign w:val="bottom"/>
            <w:shd w:val="clear" w:color="auto" w:fill="A8BCBF"/>
          </w:tcPr>
          <w:p>
            <w:pPr>
              <w:spacing w:after="0"/>
              <w:rPr>
                <w:sz w:val="19"/>
                <w:szCs w:val="19"/>
                <w:color w:val="auto"/>
              </w:rPr>
            </w:pPr>
          </w:p>
        </w:tc>
        <w:tc>
          <w:tcPr>
            <w:tcW w:w="1480" w:type="dxa"/>
            <w:vAlign w:val="bottom"/>
            <w:shd w:val="clear" w:color="auto" w:fill="EAEAE5"/>
          </w:tcPr>
          <w:p>
            <w:pPr>
              <w:jc w:val="center"/>
              <w:ind w:left="37"/>
              <w:spacing w:after="0"/>
              <w:rPr>
                <w:sz w:val="20"/>
                <w:szCs w:val="20"/>
                <w:color w:val="auto"/>
              </w:rPr>
            </w:pPr>
            <w:r>
              <w:rPr>
                <w:rFonts w:ascii="Arial" w:cs="Arial" w:eastAsia="Arial" w:hAnsi="Arial"/>
                <w:sz w:val="18"/>
                <w:szCs w:val="18"/>
                <w:color w:val="auto"/>
                <w:w w:val="99"/>
              </w:rPr>
              <w:t>64%</w:t>
            </w:r>
          </w:p>
        </w:tc>
        <w:tc>
          <w:tcPr>
            <w:tcW w:w="20" w:type="dxa"/>
            <w:vAlign w:val="bottom"/>
            <w:shd w:val="clear" w:color="auto" w:fill="A8BCBF"/>
          </w:tcPr>
          <w:p>
            <w:pPr>
              <w:spacing w:after="0"/>
              <w:rPr>
                <w:sz w:val="19"/>
                <w:szCs w:val="19"/>
                <w:color w:val="auto"/>
              </w:rPr>
            </w:pPr>
          </w:p>
        </w:tc>
        <w:tc>
          <w:tcPr>
            <w:tcW w:w="1120" w:type="dxa"/>
            <w:vAlign w:val="bottom"/>
            <w:shd w:val="clear" w:color="auto" w:fill="EAEAE5"/>
          </w:tcPr>
          <w:p>
            <w:pPr>
              <w:jc w:val="center"/>
              <w:ind w:left="57"/>
              <w:spacing w:after="0"/>
              <w:rPr>
                <w:sz w:val="20"/>
                <w:szCs w:val="20"/>
                <w:color w:val="auto"/>
              </w:rPr>
            </w:pPr>
            <w:r>
              <w:rPr>
                <w:rFonts w:ascii="Arial" w:cs="Arial" w:eastAsia="Arial" w:hAnsi="Arial"/>
                <w:sz w:val="18"/>
                <w:szCs w:val="18"/>
                <w:color w:val="auto"/>
              </w:rPr>
              <w:t>80%</w:t>
            </w:r>
          </w:p>
        </w:tc>
        <w:tc>
          <w:tcPr>
            <w:tcW w:w="20" w:type="dxa"/>
            <w:vAlign w:val="bottom"/>
            <w:shd w:val="clear" w:color="auto" w:fill="A8BCBF"/>
          </w:tcPr>
          <w:p>
            <w:pPr>
              <w:spacing w:after="0"/>
              <w:rPr>
                <w:sz w:val="19"/>
                <w:szCs w:val="19"/>
                <w:color w:val="auto"/>
              </w:rPr>
            </w:pPr>
          </w:p>
        </w:tc>
        <w:tc>
          <w:tcPr>
            <w:tcW w:w="1260" w:type="dxa"/>
            <w:vAlign w:val="bottom"/>
            <w:tcBorders>
              <w:right w:val="single" w:sz="8" w:color="A8BCBF"/>
            </w:tcBorders>
            <w:shd w:val="clear" w:color="auto" w:fill="EAEAE5"/>
          </w:tcPr>
          <w:p>
            <w:pPr>
              <w:jc w:val="center"/>
              <w:ind w:left="57"/>
              <w:spacing w:after="0"/>
              <w:rPr>
                <w:sz w:val="20"/>
                <w:szCs w:val="20"/>
                <w:color w:val="auto"/>
              </w:rPr>
            </w:pPr>
            <w:r>
              <w:rPr>
                <w:rFonts w:ascii="Arial" w:cs="Arial" w:eastAsia="Arial" w:hAnsi="Arial"/>
                <w:sz w:val="18"/>
                <w:szCs w:val="18"/>
                <w:color w:val="auto"/>
                <w:w w:val="99"/>
              </w:rPr>
              <w:t>96%</w:t>
            </w:r>
          </w:p>
        </w:tc>
        <w:tc>
          <w:tcPr>
            <w:tcW w:w="460" w:type="dxa"/>
            <w:vAlign w:val="bottom"/>
            <w:shd w:val="clear" w:color="auto" w:fill="EAEAE5"/>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EAEAE5"/>
          </w:tcPr>
          <w:p>
            <w:pPr>
              <w:jc w:val="right"/>
              <w:ind w:right="321"/>
              <w:spacing w:after="0"/>
              <w:rPr>
                <w:sz w:val="20"/>
                <w:szCs w:val="20"/>
                <w:color w:val="auto"/>
              </w:rPr>
            </w:pPr>
            <w:r>
              <w:rPr>
                <w:rFonts w:ascii="Arial" w:cs="Arial" w:eastAsia="Arial" w:hAnsi="Arial"/>
                <w:sz w:val="18"/>
                <w:szCs w:val="18"/>
                <w:color w:val="auto"/>
              </w:rPr>
              <w:t>308,000</w:t>
            </w:r>
          </w:p>
        </w:tc>
        <w:tc>
          <w:tcPr>
            <w:tcW w:w="20" w:type="dxa"/>
            <w:vAlign w:val="bottom"/>
            <w:shd w:val="clear" w:color="auto" w:fill="A8BCBF"/>
          </w:tcPr>
          <w:p>
            <w:pPr>
              <w:spacing w:after="0"/>
              <w:rPr>
                <w:sz w:val="19"/>
                <w:szCs w:val="19"/>
                <w:color w:val="auto"/>
              </w:rPr>
            </w:pPr>
          </w:p>
        </w:tc>
        <w:tc>
          <w:tcPr>
            <w:tcW w:w="460" w:type="dxa"/>
            <w:vAlign w:val="bottom"/>
            <w:shd w:val="clear" w:color="auto" w:fill="EAEAE5"/>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EAEAE5"/>
          </w:tcPr>
          <w:p>
            <w:pPr>
              <w:jc w:val="right"/>
              <w:ind w:right="330"/>
              <w:spacing w:after="0"/>
              <w:rPr>
                <w:sz w:val="20"/>
                <w:szCs w:val="20"/>
                <w:color w:val="auto"/>
              </w:rPr>
            </w:pPr>
            <w:r>
              <w:rPr>
                <w:rFonts w:ascii="Arial" w:cs="Arial" w:eastAsia="Arial" w:hAnsi="Arial"/>
                <w:sz w:val="18"/>
                <w:szCs w:val="18"/>
                <w:color w:val="auto"/>
              </w:rPr>
              <w:t>308,000</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0" w:right="60" w:hanging="4"/>
        <w:spacing w:after="0" w:line="220" w:lineRule="auto"/>
        <w:tabs>
          <w:tab w:leader="none" w:pos="286" w:val="left"/>
        </w:tabs>
        <w:numPr>
          <w:ilvl w:val="0"/>
          <w:numId w:val="65"/>
        </w:numPr>
        <w:rPr>
          <w:rFonts w:ascii="Arial" w:cs="Arial" w:eastAsia="Arial" w:hAnsi="Arial"/>
          <w:sz w:val="11"/>
          <w:szCs w:val="11"/>
          <w:color w:val="auto"/>
        </w:rPr>
      </w:pPr>
      <w:r>
        <w:rPr>
          <w:rFonts w:ascii="Arial" w:cs="Arial" w:eastAsia="Arial" w:hAnsi="Arial"/>
          <w:sz w:val="13"/>
          <w:szCs w:val="13"/>
          <w:color w:val="auto"/>
        </w:rPr>
        <w:t>Amounts in the Threshold column reflect potential awards for achievement of second half 2020 North America Adjusted Property EBITDA between $(7.0) million to $0 and achievement of second half 2020 Macau market share between 10% and 11.99%. No awards would have been payable under if the second half North America Adjusted Property EBITDA was below $(7.0) million and second half Macau market share was below 10%. Adjusted Property EBITDA is net income before interest, income taxes, depreciation and amortization, pre-opening expenses, property charges and other, management and license fees, corporate expenses and other (including intercompany golf course and water rights leases), stock-based compensation, loss on extinguishment of debt, change in derivatives value, change in Redemption Note fair value, and other non-operating income and expenses. See our Annual Report on Form 10-K for the year ended December 31, 2020 (Item 8, Note 20—“Segment Information” to our Consolidated Financial Statements) for the definition of “Adjusted Property EBITDA,” a reconciliation of Adjusted Property EBITDA to net income attributable to Wynn Resorts, and other information regarding this non-GAAP financial measure.</w:t>
      </w:r>
    </w:p>
    <w:p>
      <w:pPr>
        <w:spacing w:after="0" w:line="93" w:lineRule="exact"/>
        <w:rPr>
          <w:rFonts w:ascii="Arial" w:cs="Arial" w:eastAsia="Arial" w:hAnsi="Arial"/>
          <w:sz w:val="11"/>
          <w:szCs w:val="11"/>
          <w:color w:val="auto"/>
        </w:rPr>
      </w:pPr>
    </w:p>
    <w:p>
      <w:pPr>
        <w:ind w:left="120" w:right="80" w:hanging="4"/>
        <w:spacing w:after="0" w:line="230" w:lineRule="auto"/>
        <w:tabs>
          <w:tab w:leader="none" w:pos="286" w:val="left"/>
        </w:tabs>
        <w:numPr>
          <w:ilvl w:val="0"/>
          <w:numId w:val="65"/>
        </w:numPr>
        <w:rPr>
          <w:rFonts w:ascii="Arial" w:cs="Arial" w:eastAsia="Arial" w:hAnsi="Arial"/>
          <w:sz w:val="11"/>
          <w:szCs w:val="11"/>
          <w:color w:val="auto"/>
        </w:rPr>
      </w:pPr>
      <w:r>
        <w:rPr>
          <w:rFonts w:ascii="Arial" w:cs="Arial" w:eastAsia="Arial" w:hAnsi="Arial"/>
          <w:sz w:val="13"/>
          <w:szCs w:val="13"/>
          <w:color w:val="auto"/>
        </w:rPr>
        <w:t>Amounts in the Target column reflect potential awards for achievement of second half 2020 North America Adjusted Property EBITDA between $0 through $60 million and achievement of second half 2020 Macau market share between 12% and 15.99%.</w:t>
      </w:r>
    </w:p>
    <w:p>
      <w:pPr>
        <w:spacing w:after="0" w:line="91" w:lineRule="exact"/>
        <w:rPr>
          <w:rFonts w:ascii="Arial" w:cs="Arial" w:eastAsia="Arial" w:hAnsi="Arial"/>
          <w:sz w:val="11"/>
          <w:szCs w:val="11"/>
          <w:color w:val="auto"/>
        </w:rPr>
      </w:pPr>
    </w:p>
    <w:p>
      <w:pPr>
        <w:ind w:left="120" w:right="100" w:hanging="4"/>
        <w:spacing w:after="0" w:line="230" w:lineRule="auto"/>
        <w:tabs>
          <w:tab w:leader="none" w:pos="286" w:val="left"/>
        </w:tabs>
        <w:numPr>
          <w:ilvl w:val="0"/>
          <w:numId w:val="65"/>
        </w:numPr>
        <w:rPr>
          <w:rFonts w:ascii="Arial" w:cs="Arial" w:eastAsia="Arial" w:hAnsi="Arial"/>
          <w:sz w:val="11"/>
          <w:szCs w:val="11"/>
          <w:color w:val="auto"/>
        </w:rPr>
      </w:pPr>
      <w:r>
        <w:rPr>
          <w:rFonts w:ascii="Arial" w:cs="Arial" w:eastAsia="Arial" w:hAnsi="Arial"/>
          <w:sz w:val="13"/>
          <w:szCs w:val="13"/>
          <w:color w:val="auto"/>
        </w:rPr>
        <w:t>Amounts in the Maximum column reflect potential awards for achievement of second half 2020 North America Adjusted Property EBITDA above $60 million and achievement of second half 2020 Macau market share above 16%.</w:t>
      </w:r>
    </w:p>
    <w:p>
      <w:pPr>
        <w:spacing w:after="0" w:line="91" w:lineRule="exact"/>
        <w:rPr>
          <w:rFonts w:ascii="Arial" w:cs="Arial" w:eastAsia="Arial" w:hAnsi="Arial"/>
          <w:sz w:val="11"/>
          <w:szCs w:val="11"/>
          <w:color w:val="auto"/>
        </w:rPr>
      </w:pPr>
    </w:p>
    <w:p>
      <w:pPr>
        <w:ind w:left="280" w:hanging="164"/>
        <w:spacing w:after="0"/>
        <w:tabs>
          <w:tab w:leader="none" w:pos="280" w:val="left"/>
        </w:tabs>
        <w:numPr>
          <w:ilvl w:val="0"/>
          <w:numId w:val="65"/>
        </w:numPr>
        <w:rPr>
          <w:rFonts w:ascii="Arial" w:cs="Arial" w:eastAsia="Arial" w:hAnsi="Arial"/>
          <w:sz w:val="11"/>
          <w:szCs w:val="11"/>
          <w:color w:val="auto"/>
        </w:rPr>
      </w:pPr>
      <w:r>
        <w:rPr>
          <w:rFonts w:ascii="Arial" w:cs="Arial" w:eastAsia="Arial" w:hAnsi="Arial"/>
          <w:sz w:val="13"/>
          <w:szCs w:val="13"/>
          <w:color w:val="auto"/>
        </w:rPr>
        <w:t>The amounts set forth in this column reflect the aggregate grant date fair value of stock awards granted. These stock awards are fully vested.</w:t>
      </w:r>
    </w:p>
    <w:p>
      <w:pPr>
        <w:spacing w:after="0" w:line="158" w:lineRule="exact"/>
        <w:rPr>
          <w:sz w:val="20"/>
          <w:szCs w:val="20"/>
          <w:color w:val="auto"/>
        </w:rPr>
      </w:pPr>
    </w:p>
    <w:p>
      <w:pPr>
        <w:ind w:left="120" w:right="240"/>
        <w:spacing w:after="0" w:line="253" w:lineRule="auto"/>
        <w:rPr>
          <w:sz w:val="20"/>
          <w:szCs w:val="20"/>
          <w:color w:val="auto"/>
        </w:rPr>
      </w:pPr>
      <w:r>
        <w:rPr>
          <w:rFonts w:ascii="Arial" w:cs="Arial" w:eastAsia="Arial" w:hAnsi="Arial"/>
          <w:sz w:val="18"/>
          <w:szCs w:val="18"/>
          <w:b w:val="1"/>
          <w:bCs w:val="1"/>
          <w:color w:val="604F2B"/>
        </w:rPr>
        <w:t xml:space="preserve">Long-Term Incentives: </w:t>
      </w:r>
      <w:r>
        <w:rPr>
          <w:rFonts w:ascii="Arial" w:cs="Arial" w:eastAsia="Arial" w:hAnsi="Arial"/>
          <w:sz w:val="18"/>
          <w:szCs w:val="18"/>
          <w:color w:val="000000"/>
        </w:rPr>
        <w:t>In the past, the Company made periodic—not annual—equity grants to executives, including our NEOs. Those</w:t>
      </w:r>
      <w:r>
        <w:rPr>
          <w:rFonts w:ascii="Arial" w:cs="Arial" w:eastAsia="Arial" w:hAnsi="Arial"/>
          <w:sz w:val="18"/>
          <w:szCs w:val="18"/>
          <w:b w:val="1"/>
          <w:bCs w:val="1"/>
          <w:color w:val="604F2B"/>
        </w:rPr>
        <w:t xml:space="preserve"> </w:t>
      </w:r>
      <w:r>
        <w:rPr>
          <w:rFonts w:ascii="Arial" w:cs="Arial" w:eastAsia="Arial" w:hAnsi="Arial"/>
          <w:sz w:val="18"/>
          <w:szCs w:val="18"/>
          <w:color w:val="000000"/>
        </w:rPr>
        <w:t>periodic grants were typically made with long-term vesting dates of up to ten years and such awards were not subject to performance conditions.</w:t>
      </w:r>
    </w:p>
    <w:p>
      <w:pPr>
        <w:spacing w:after="0" w:line="150" w:lineRule="exact"/>
        <w:rPr>
          <w:sz w:val="20"/>
          <w:szCs w:val="20"/>
          <w:color w:val="auto"/>
        </w:rPr>
      </w:pPr>
    </w:p>
    <w:p>
      <w:pPr>
        <w:ind w:left="120" w:right="240"/>
        <w:spacing w:after="0" w:line="238" w:lineRule="auto"/>
        <w:rPr>
          <w:sz w:val="20"/>
          <w:szCs w:val="20"/>
          <w:color w:val="auto"/>
        </w:rPr>
      </w:pPr>
      <w:r>
        <w:rPr>
          <w:rFonts w:ascii="Arial" w:cs="Arial" w:eastAsia="Arial" w:hAnsi="Arial"/>
          <w:sz w:val="18"/>
          <w:szCs w:val="18"/>
          <w:color w:val="auto"/>
        </w:rPr>
        <w:t>Beginning in 2018, the Compensation Committee moved from periodic grants to annual grants with three-year cliff vesting and implemented a policy of subjecting a portion (currently no less than 50%) of grants made to NEOs to performance conditions in order to ensure a superior focus on operational excellence as well as better align executives’ interests with those of long-term shareholders. The Compensation Committee maintained this approach in 2020.</w:t>
      </w:r>
    </w:p>
    <w:p>
      <w:pPr>
        <w:spacing w:after="0" w:line="164" w:lineRule="exact"/>
        <w:rPr>
          <w:sz w:val="20"/>
          <w:szCs w:val="20"/>
          <w:color w:val="auto"/>
        </w:rPr>
      </w:pPr>
    </w:p>
    <w:p>
      <w:pPr>
        <w:ind w:left="120" w:right="440"/>
        <w:spacing w:after="0" w:line="274" w:lineRule="auto"/>
        <w:rPr>
          <w:sz w:val="20"/>
          <w:szCs w:val="20"/>
          <w:color w:val="auto"/>
        </w:rPr>
      </w:pPr>
      <w:r>
        <w:rPr>
          <w:rFonts w:ascii="Arial" w:cs="Arial" w:eastAsia="Arial" w:hAnsi="Arial"/>
          <w:sz w:val="17"/>
          <w:szCs w:val="17"/>
          <w:color w:val="auto"/>
        </w:rPr>
        <w:t>In January 2020, before the onset of COVID 19, management proposed, and the Compensation Committee approved, the use of “fair share” metrics for performance conditions. The four fair share metrics selected by the Company are generally calculated as follows:</w:t>
      </w:r>
    </w:p>
    <w:p>
      <w:pPr>
        <w:spacing w:after="0" w:line="175" w:lineRule="exact"/>
        <w:rPr>
          <w:sz w:val="20"/>
          <w:szCs w:val="20"/>
          <w:color w:val="auto"/>
        </w:rPr>
      </w:pPr>
    </w:p>
    <w:p>
      <w:pPr>
        <w:ind w:left="1320" w:right="160" w:hanging="435"/>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Las Vegas, the Company’s share of total revenue relative to selected peers divided by the Company’s share of hotel rooms among such peers and the Company’s share of Adjusted Property EBITDA relative to those selected peers divided by the Company’s share of hotel rooms among such peers; and</w:t>
      </w:r>
    </w:p>
    <w:p>
      <w:pPr>
        <w:spacing w:after="0" w:line="202" w:lineRule="exact"/>
        <w:rPr>
          <w:rFonts w:ascii="Arial" w:cs="Arial" w:eastAsia="Arial" w:hAnsi="Arial"/>
          <w:sz w:val="18"/>
          <w:szCs w:val="18"/>
          <w:color w:val="auto"/>
        </w:rPr>
      </w:pPr>
    </w:p>
    <w:p>
      <w:pPr>
        <w:ind w:left="1320" w:right="180" w:hanging="435"/>
        <w:spacing w:after="0"/>
        <w:tabs>
          <w:tab w:leader="none" w:pos="13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Macau, the Company’s share of gaming revenue relative to selected peers divided by the Company’s share of gaming tables among such peers and the Company’s share of Adjusted Property EBITDA relative to those selected peers divided by the Company’s share of gaming tables among such peers.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decision to select these metrics was based on careful consideration of the following factors:</w:t>
      </w:r>
    </w:p>
    <w:p>
      <w:pPr>
        <w:spacing w:after="0" w:line="212" w:lineRule="exact"/>
        <w:rPr>
          <w:sz w:val="20"/>
          <w:szCs w:val="20"/>
          <w:color w:val="auto"/>
        </w:rPr>
      </w:pPr>
    </w:p>
    <w:p>
      <w:pPr>
        <w:ind w:left="1320" w:right="100" w:hanging="435"/>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exposure to Macau provides sizeable opportunities over the mid and long-term, but can create meaningful volatility over short periods, significantly skewing short-term TSR and creating opportunities for management to benefit from outsized market growth, irrespective of their performance; and</w:t>
      </w:r>
    </w:p>
    <w:p>
      <w:pPr>
        <w:spacing w:after="0" w:line="46" w:lineRule="exact"/>
        <w:rPr>
          <w:sz w:val="20"/>
          <w:szCs w:val="20"/>
          <w:color w:val="auto"/>
        </w:rPr>
      </w:pPr>
    </w:p>
    <w:p>
      <w:pPr>
        <w:ind w:left="800" w:hanging="684"/>
        <w:spacing w:after="0"/>
        <w:tabs>
          <w:tab w:leader="none" w:pos="800" w:val="left"/>
        </w:tabs>
        <w:numPr>
          <w:ilvl w:val="0"/>
          <w:numId w:val="68"/>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1320" w:right="160" w:hanging="435"/>
        <w:spacing w:after="0" w:line="238" w:lineRule="auto"/>
        <w:tabs>
          <w:tab w:leader="none" w:pos="13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Company’s strategy is to attract and retain premium consumers in each market in which the Company operates. We believe the results of this strategy provide outsized operating results, relative to peers, and create meaningful shareholder returns over the long-term. Consistently achieving such premium fair share requires diligent and consistent investment in facilities and people across the business cycle.</w:t>
      </w:r>
    </w:p>
    <w:p>
      <w:pPr>
        <w:spacing w:after="0" w:line="156"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b w:val="1"/>
          <w:bCs w:val="1"/>
          <w:color w:val="604F2B"/>
        </w:rPr>
        <w:t xml:space="preserve">2020 Equity Grants: </w:t>
      </w:r>
      <w:r>
        <w:rPr>
          <w:rFonts w:ascii="Arial" w:cs="Arial" w:eastAsia="Arial" w:hAnsi="Arial"/>
          <w:sz w:val="18"/>
          <w:szCs w:val="18"/>
          <w:color w:val="000000"/>
        </w:rPr>
        <w:t>On January 14, 2020, Mr. Maddox received a grant of 39,994 shares of restricted stock. Except as otherwise</w:t>
      </w:r>
      <w:r>
        <w:rPr>
          <w:rFonts w:ascii="Arial" w:cs="Arial" w:eastAsia="Arial" w:hAnsi="Arial"/>
          <w:sz w:val="18"/>
          <w:szCs w:val="18"/>
          <w:b w:val="1"/>
          <w:bCs w:val="1"/>
          <w:color w:val="604F2B"/>
        </w:rPr>
        <w:t xml:space="preserve"> </w:t>
      </w:r>
      <w:r>
        <w:rPr>
          <w:rFonts w:ascii="Arial" w:cs="Arial" w:eastAsia="Arial" w:hAnsi="Arial"/>
          <w:sz w:val="18"/>
          <w:szCs w:val="18"/>
          <w:color w:val="000000"/>
        </w:rPr>
        <w:t>described in the section titled “Potential Payments or Upon Termination or Change in Control”, Mr. Maddox’s award vests as follows: 50% of the shares is based on achievement of pre-established financial performance goals during the three-year period ended December 31, 2022, and if met, will vest on March 1, 2023, and vesting of the remaining 50% is conditioned on continued service through January 14, 2023.</w:t>
      </w:r>
    </w:p>
    <w:p>
      <w:pPr>
        <w:spacing w:after="0" w:line="158"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On December 17, 2019, the Company announced that Mr. Maddox and the Company had agreed to extend his employment contract through December 16, 2022. In connection with this extension, Mr. Maddox amended and restated employment contract provided for the grant of a target of 100,000 shares (45,000 threshold, 180,000 maximum), based entirely on the attainment of numerous performance conditions, including the extension of the Company’s Macau gaming concession, attaining certain Discretionary Free Cash Flow targets, attaining certain performance metrics at Encore Boston Harbor, attaining Great Places to Work certification at Wynn Las Vegas, and advancement of the Company’s business development efforts in Japan. Certain accelerated vesting provisions may apply if the reporting person’s employment with the Company is terminated prior to December 16, 2022. The terms of the grant were approved by the Compensation Committee and the award was made effective on February 26, 2020. In light of the pandemic, and in an effort to provide equity incentives to management broadly throughout the Company, on August 18, 2020, Mr. Maddox requested, and the Compensation Committee agreed, to cancel 140,000 shares of the February 2020 performance share grant.</w:t>
      </w:r>
    </w:p>
    <w:p>
      <w:pPr>
        <w:spacing w:after="0" w:line="165" w:lineRule="exact"/>
        <w:rPr>
          <w:sz w:val="20"/>
          <w:szCs w:val="20"/>
          <w:color w:val="auto"/>
        </w:rPr>
      </w:pPr>
    </w:p>
    <w:p>
      <w:pPr>
        <w:jc w:val="both"/>
        <w:ind w:left="120" w:right="240"/>
        <w:spacing w:after="0"/>
        <w:rPr>
          <w:sz w:val="20"/>
          <w:szCs w:val="20"/>
          <w:color w:val="auto"/>
        </w:rPr>
      </w:pPr>
      <w:r>
        <w:rPr>
          <w:rFonts w:ascii="Arial" w:cs="Arial" w:eastAsia="Arial" w:hAnsi="Arial"/>
          <w:sz w:val="18"/>
          <w:szCs w:val="18"/>
          <w:color w:val="auto"/>
        </w:rPr>
        <w:t>On March 23, 2020, Mr. Maddox elected to receive of his remaining base salary compensation for 2020 in the form of a restricted stock award in lieu of cash, whereby he was granted 32,071 shares of restricted stock that was conditioned on his continued employment and vested on December 31, 2020.</w:t>
      </w:r>
    </w:p>
    <w:p>
      <w:pPr>
        <w:spacing w:after="0" w:line="176" w:lineRule="exact"/>
        <w:rPr>
          <w:sz w:val="20"/>
          <w:szCs w:val="20"/>
          <w:color w:val="auto"/>
        </w:rPr>
      </w:pPr>
    </w:p>
    <w:p>
      <w:pPr>
        <w:ind w:left="120" w:right="240"/>
        <w:spacing w:after="0"/>
        <w:rPr>
          <w:sz w:val="20"/>
          <w:szCs w:val="20"/>
          <w:color w:val="auto"/>
        </w:rPr>
      </w:pPr>
      <w:r>
        <w:rPr>
          <w:rFonts w:ascii="Arial" w:cs="Arial" w:eastAsia="Arial" w:hAnsi="Arial"/>
          <w:sz w:val="18"/>
          <w:szCs w:val="18"/>
          <w:color w:val="auto"/>
        </w:rPr>
        <w:t>On August 18, 2020, along with over 250 other key U.S. employees across the Company, in recognition of the Company’s efforts to respond to the pandemic, Mr. Maddox received a grant of 24,501 shares of restricted stock that vests on August 18, 2021, subject to his continued employment through such vesting date.</w:t>
      </w:r>
    </w:p>
    <w:p>
      <w:pPr>
        <w:spacing w:after="0" w:line="162" w:lineRule="exact"/>
        <w:rPr>
          <w:sz w:val="20"/>
          <w:szCs w:val="20"/>
          <w:color w:val="auto"/>
        </w:rPr>
      </w:pPr>
    </w:p>
    <w:p>
      <w:pPr>
        <w:ind w:left="120" w:right="480"/>
        <w:spacing w:after="0" w:line="246" w:lineRule="auto"/>
        <w:rPr>
          <w:sz w:val="20"/>
          <w:szCs w:val="20"/>
          <w:color w:val="auto"/>
        </w:rPr>
      </w:pPr>
      <w:r>
        <w:rPr>
          <w:rFonts w:ascii="Arial" w:cs="Arial" w:eastAsia="Arial" w:hAnsi="Arial"/>
          <w:sz w:val="18"/>
          <w:szCs w:val="18"/>
          <w:color w:val="auto"/>
        </w:rPr>
        <w:t>On December 11, 2020, Mr. Maddox was granted 3,868 options to acquire Wynn Interactive stock that vest ratably each year for four years ending on December 11, 2024.</w:t>
      </w:r>
    </w:p>
    <w:p>
      <w:pPr>
        <w:spacing w:after="0" w:line="156"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On January 11, 2021, Mr. Maddox received a grant of 55,542 shares of restricted stock. Except as otherwise described in the section titled “Potential Payments or Upon Termination or Change in Control”, such restricted stock award is subject to both time- and performance-based vesting conditions, whereby 50% of the award vests on March 1, 2024 based on achievement of pre-established financial performance goals during the three-year period ending December 31, 2023, and the remaining 50% of the award time vests ratably over three-years on each anniversary of the grant date, subject to Mr. Maddox’s continued employment through such vesting date.</w:t>
      </w:r>
    </w:p>
    <w:p>
      <w:pPr>
        <w:spacing w:after="0" w:line="175" w:lineRule="exact"/>
        <w:rPr>
          <w:sz w:val="20"/>
          <w:szCs w:val="20"/>
          <w:color w:val="auto"/>
        </w:rPr>
      </w:pPr>
    </w:p>
    <w:p>
      <w:pPr>
        <w:ind w:left="120" w:right="200"/>
        <w:spacing w:after="0" w:line="234" w:lineRule="auto"/>
        <w:rPr>
          <w:sz w:val="20"/>
          <w:szCs w:val="20"/>
          <w:color w:val="auto"/>
        </w:rPr>
      </w:pPr>
      <w:r>
        <w:rPr>
          <w:rFonts w:ascii="Arial" w:cs="Arial" w:eastAsia="Arial" w:hAnsi="Arial"/>
          <w:sz w:val="18"/>
          <w:szCs w:val="18"/>
          <w:color w:val="auto"/>
        </w:rPr>
        <w:t>On January 14, 2020, Mr. Billings received a grant of 7,332 shares of restricted stock. Except as otherwise described in the section titled “Potential Payments or Upon Termination or Change in Control”, such restricted stock award vests 100% on March 1, 2023 based on achievement of pre-established financial performance goals during the three-year period ended December 31, 2022, subject to</w:t>
      </w:r>
    </w:p>
    <w:p>
      <w:pPr>
        <w:spacing w:after="0" w:line="2" w:lineRule="exact"/>
        <w:rPr>
          <w:sz w:val="20"/>
          <w:szCs w:val="20"/>
          <w:color w:val="auto"/>
        </w:rPr>
      </w:pPr>
    </w:p>
    <w:p>
      <w:pPr>
        <w:ind w:left="120" w:right="520"/>
        <w:spacing w:after="0" w:line="246" w:lineRule="auto"/>
        <w:rPr>
          <w:sz w:val="20"/>
          <w:szCs w:val="20"/>
          <w:color w:val="auto"/>
        </w:rPr>
      </w:pPr>
      <w:r>
        <w:rPr>
          <w:rFonts w:ascii="Arial" w:cs="Arial" w:eastAsia="Arial" w:hAnsi="Arial"/>
          <w:sz w:val="18"/>
          <w:szCs w:val="18"/>
          <w:color w:val="auto"/>
        </w:rPr>
        <w:t>Mr. Billings’ continued employment. On February 26, 2020, Mr. Billings received a grant of 7,332 shares of restricted stock that vests solely upon the achievement of an extension of the Company’s Macau gaming concession and continued employment.</w:t>
      </w:r>
    </w:p>
    <w:p>
      <w:pPr>
        <w:spacing w:after="0" w:line="156" w:lineRule="exact"/>
        <w:rPr>
          <w:sz w:val="20"/>
          <w:szCs w:val="20"/>
          <w:color w:val="auto"/>
        </w:rPr>
      </w:pPr>
    </w:p>
    <w:p>
      <w:pPr>
        <w:ind w:left="120" w:right="440"/>
        <w:spacing w:after="0"/>
        <w:rPr>
          <w:sz w:val="20"/>
          <w:szCs w:val="20"/>
          <w:color w:val="auto"/>
        </w:rPr>
      </w:pPr>
      <w:r>
        <w:rPr>
          <w:rFonts w:ascii="Arial" w:cs="Arial" w:eastAsia="Arial" w:hAnsi="Arial"/>
          <w:sz w:val="18"/>
          <w:szCs w:val="18"/>
          <w:color w:val="auto"/>
        </w:rPr>
        <w:t>On March 23, 2020, Mr. Billings elected to receive 50% of his remaining base salary compensation for 2020 in the form of a restricted stock award in lieu of cash, whereby he was granted 9,621 shares of restricted stock that was conditioned on Mr. Billings’ continued employment and vested on December 31, 2020.</w:t>
      </w:r>
    </w:p>
    <w:p>
      <w:pPr>
        <w:spacing w:after="0" w:line="162" w:lineRule="exact"/>
        <w:rPr>
          <w:sz w:val="20"/>
          <w:szCs w:val="20"/>
          <w:color w:val="auto"/>
        </w:rPr>
      </w:pPr>
    </w:p>
    <w:p>
      <w:pPr>
        <w:ind w:left="120" w:right="340"/>
        <w:spacing w:after="0" w:line="234" w:lineRule="auto"/>
        <w:rPr>
          <w:sz w:val="20"/>
          <w:szCs w:val="20"/>
          <w:color w:val="auto"/>
        </w:rPr>
      </w:pPr>
      <w:r>
        <w:rPr>
          <w:rFonts w:ascii="Arial" w:cs="Arial" w:eastAsia="Arial" w:hAnsi="Arial"/>
          <w:sz w:val="18"/>
          <w:szCs w:val="18"/>
          <w:color w:val="auto"/>
        </w:rPr>
        <w:t>On August 18, 2020, along with over 250 other key U.S. employees across the Company during 2020, in recognition of the Company’s efforts to respond to the pandemic, Mr. Billings received a grant of 13,476 shares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restricted stock that vests on August 18, 2021, subject to his continued employment through such date.</w:t>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45</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93"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On December 11, 2020, Mr. Billings was granted 9,256 options to acquire Wynn Interactive stock that vests 25% each year for the four-year period ending on December 11, 2024.</w:t>
      </w:r>
    </w:p>
    <w:p>
      <w:pPr>
        <w:spacing w:after="0" w:line="170"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On January 11, 2021, Mr. Billings received a grant of 20,366 shares of restricted stock. Except as otherwise described in the section titled “Potential Payments or Upon Termination or Change in Control”, such restricted stock award is subject to both time- and performance-based vesting conditions, whereby 50% of the award vests on March 31, 2024 based on achievement of pre-established financial performance goals during the three-year period ending December 31, 2023, and the remaining 50% of the award vests ratably over three-years on each anniversary of the grant date, subject to Mr. Billings’ continued employment through such date.</w:t>
      </w:r>
    </w:p>
    <w:p>
      <w:pPr>
        <w:spacing w:after="0" w:line="162"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On January 14, 2020, Ms. Whittemore received a grant of 7,166 shares of restricted stock. Except as otherwise described in the section titled “Potential Payments or Upon Termination or Change in Control”, such restricted stock award is subject to both time- and performance-based vesting conditions, whereby 50% of the award vests on March 1, 2023 based on achievement of pre-established financial performance goals during the three-year period ending December 31, 2022, and the remaining 50% of the award vests on January 14, 2023, subject to Ms. Whittemore’s continued employment through such vesting date.</w:t>
      </w:r>
    </w:p>
    <w:p>
      <w:pPr>
        <w:spacing w:after="0" w:line="162" w:lineRule="exact"/>
        <w:rPr>
          <w:sz w:val="20"/>
          <w:szCs w:val="20"/>
          <w:color w:val="auto"/>
        </w:rPr>
      </w:pPr>
    </w:p>
    <w:p>
      <w:pPr>
        <w:jc w:val="both"/>
        <w:ind w:left="120"/>
        <w:spacing w:after="0"/>
        <w:rPr>
          <w:sz w:val="20"/>
          <w:szCs w:val="20"/>
          <w:color w:val="auto"/>
        </w:rPr>
      </w:pPr>
      <w:r>
        <w:rPr>
          <w:rFonts w:ascii="Arial" w:cs="Arial" w:eastAsia="Arial" w:hAnsi="Arial"/>
          <w:sz w:val="18"/>
          <w:szCs w:val="18"/>
          <w:color w:val="auto"/>
        </w:rPr>
        <w:t>On March 23, 2020, Ms. Whittemore elected to receive 35% of her remaining base salary compensation for 2020 in the form of a restricted stock award in lieu of cash, whereby she was granted 3,929 shares of restricted stock that was conditioned on her continued employment and vested on December 31, 2020.</w:t>
      </w:r>
    </w:p>
    <w:p>
      <w:pPr>
        <w:spacing w:after="0" w:line="176" w:lineRule="exact"/>
        <w:rPr>
          <w:sz w:val="20"/>
          <w:szCs w:val="20"/>
          <w:color w:val="auto"/>
        </w:rPr>
      </w:pPr>
    </w:p>
    <w:p>
      <w:pPr>
        <w:ind w:left="120" w:right="200"/>
        <w:spacing w:after="0"/>
        <w:rPr>
          <w:sz w:val="20"/>
          <w:szCs w:val="20"/>
          <w:color w:val="auto"/>
        </w:rPr>
      </w:pPr>
      <w:r>
        <w:rPr>
          <w:rFonts w:ascii="Arial" w:cs="Arial" w:eastAsia="Arial" w:hAnsi="Arial"/>
          <w:sz w:val="18"/>
          <w:szCs w:val="18"/>
          <w:color w:val="auto"/>
        </w:rPr>
        <w:t>On August 18, 2020, along with over 250 other key U.S. employees across the Company, in recognition of the Company’s efforts to respond to the COVID-19 Pandemic, Ms. Whittemore received a grant of 6,585 shares of restricted stock that vests on August 18, 2021, subject to Ms. Whittemore’s continued employment through such vesting date.</w:t>
      </w:r>
    </w:p>
    <w:p>
      <w:pPr>
        <w:spacing w:after="0" w:line="162" w:lineRule="exact"/>
        <w:rPr>
          <w:sz w:val="20"/>
          <w:szCs w:val="20"/>
          <w:color w:val="auto"/>
        </w:rPr>
      </w:pPr>
    </w:p>
    <w:p>
      <w:pPr>
        <w:ind w:left="120" w:right="100"/>
        <w:spacing w:after="0" w:line="246" w:lineRule="auto"/>
        <w:rPr>
          <w:sz w:val="20"/>
          <w:szCs w:val="20"/>
          <w:color w:val="auto"/>
        </w:rPr>
      </w:pPr>
      <w:r>
        <w:rPr>
          <w:rFonts w:ascii="Arial" w:cs="Arial" w:eastAsia="Arial" w:hAnsi="Arial"/>
          <w:sz w:val="18"/>
          <w:szCs w:val="18"/>
          <w:color w:val="auto"/>
        </w:rPr>
        <w:t>On December 11, 2020, Ms. Whittemore was granted 1,382 options to acquire Wynn Interactive stock that vests ratably each year for the four-year period ending on December 11, 2024.</w:t>
      </w:r>
    </w:p>
    <w:p>
      <w:pPr>
        <w:spacing w:after="0" w:line="156"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On January 11, 2021, Ms. Whittemore received a grant of 9,952 shares of restricted stock. Except as otherwise described in the section titled “Potential Payments or Upon Termination or Change in Control”, Ms. Whittemore’s award is subject to both time-and performance-based vesting conditions, whereby 50% of the award vests on March 1, 2024 based on achievement of pre-established financial performance goals during the three-year period ending December 31, 2023, and the remaining 50% of the award vests ratably over three-years on each anniversary of the grant date, subject to Ms. Whittemore’s continued employment through such vesting date.</w:t>
      </w:r>
    </w:p>
    <w:p>
      <w:pPr>
        <w:spacing w:after="0" w:line="153"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b w:val="1"/>
          <w:bCs w:val="1"/>
          <w:color w:val="604F2B"/>
        </w:rPr>
        <w:t xml:space="preserve">Executive Benefits: </w:t>
      </w:r>
      <w:r>
        <w:rPr>
          <w:rFonts w:ascii="Arial" w:cs="Arial" w:eastAsia="Arial" w:hAnsi="Arial"/>
          <w:sz w:val="18"/>
          <w:szCs w:val="18"/>
          <w:color w:val="000000"/>
        </w:rPr>
        <w:t>We provide our NEOs with benefits that we believe are reasonable, competitive and consistent with our overall</w:t>
      </w:r>
      <w:r>
        <w:rPr>
          <w:rFonts w:ascii="Arial" w:cs="Arial" w:eastAsia="Arial" w:hAnsi="Arial"/>
          <w:sz w:val="18"/>
          <w:szCs w:val="18"/>
          <w:b w:val="1"/>
          <w:bCs w:val="1"/>
          <w:color w:val="604F2B"/>
        </w:rPr>
        <w:t xml:space="preserve"> </w:t>
      </w:r>
      <w:r>
        <w:rPr>
          <w:rFonts w:ascii="Arial" w:cs="Arial" w:eastAsia="Arial" w:hAnsi="Arial"/>
          <w:sz w:val="18"/>
          <w:szCs w:val="18"/>
          <w:color w:val="000000"/>
        </w:rPr>
        <w:t>executive compensation program. Our primary executive benefits are certain health insurance coverage, life insurance premiums, discounts and complimentary privileges with respect to the Company’s resorts, which are described in the footnotes to the “Summary Compensation Table.” For 2020, we paid nonresident state income taxes imposed on our executives who were required by us to travel on Company business and perform services in states other than their states of employment. This primarily arose as a result of travel to and work in Massachusetts in connection with our Encore Boston Harbor resort. Our reimbursement covers the incremental cost of the nonresident taxes and puts the executives in the same economic position as though they had worked in their normal places of business. The Company does not gross-up or pay any state income taxes that the employees incur on account of work in their normal work locations. In addition, certain executives, including Named Executive Officers, have access to the Company’s aircraft pursuant to time-sharing agreements described in “Certain Relationships and Related Transactions—Aircraft Arrangements.”</w:t>
      </w:r>
    </w:p>
    <w:p>
      <w:pPr>
        <w:spacing w:after="0" w:line="139" w:lineRule="exact"/>
        <w:rPr>
          <w:sz w:val="20"/>
          <w:szCs w:val="20"/>
          <w:color w:val="auto"/>
        </w:rPr>
      </w:pPr>
    </w:p>
    <w:p>
      <w:pPr>
        <w:ind w:left="120" w:right="520"/>
        <w:spacing w:after="0" w:line="244" w:lineRule="auto"/>
        <w:rPr>
          <w:sz w:val="20"/>
          <w:szCs w:val="20"/>
          <w:color w:val="auto"/>
        </w:rPr>
      </w:pPr>
      <w:r>
        <w:rPr>
          <w:rFonts w:ascii="Arial" w:cs="Arial" w:eastAsia="Arial" w:hAnsi="Arial"/>
          <w:sz w:val="18"/>
          <w:szCs w:val="18"/>
          <w:b w:val="1"/>
          <w:bCs w:val="1"/>
          <w:color w:val="604F2B"/>
        </w:rPr>
        <w:t xml:space="preserve">Peer Group Benchmarking: </w:t>
      </w:r>
      <w:r>
        <w:rPr>
          <w:rFonts w:ascii="Arial" w:cs="Arial" w:eastAsia="Arial" w:hAnsi="Arial"/>
          <w:sz w:val="18"/>
          <w:szCs w:val="18"/>
          <w:color w:val="000000"/>
        </w:rPr>
        <w:t>The Compensation Committee believes that it is appropriate to offer competitive total compensation</w:t>
      </w:r>
      <w:r>
        <w:rPr>
          <w:rFonts w:ascii="Arial" w:cs="Arial" w:eastAsia="Arial" w:hAnsi="Arial"/>
          <w:sz w:val="18"/>
          <w:szCs w:val="18"/>
          <w:b w:val="1"/>
          <w:bCs w:val="1"/>
          <w:color w:val="604F2B"/>
        </w:rPr>
        <w:t xml:space="preserve"> </w:t>
      </w:r>
      <w:r>
        <w:rPr>
          <w:rFonts w:ascii="Arial" w:cs="Arial" w:eastAsia="Arial" w:hAnsi="Arial"/>
          <w:sz w:val="18"/>
          <w:szCs w:val="18"/>
          <w:color w:val="000000"/>
        </w:rPr>
        <w:t>packages to senior executive officers in order to attract and retain top executive talent. The compensation peer group allows the Compensation Committee to monitor the compensation practices of our primary competitors for executive talent. The Compensation Committee targets the 50th percentile for the Company’s senior executive officers’ total compensation to ensure that executives are appropriately compensated as we operate in a highly competitive industry.</w:t>
      </w:r>
    </w:p>
    <w:p>
      <w:pPr>
        <w:spacing w:after="0" w:line="42" w:lineRule="exact"/>
        <w:rPr>
          <w:sz w:val="20"/>
          <w:szCs w:val="20"/>
          <w:color w:val="auto"/>
        </w:rPr>
      </w:pPr>
    </w:p>
    <w:p>
      <w:pPr>
        <w:ind w:left="800" w:hanging="684"/>
        <w:spacing w:after="0"/>
        <w:tabs>
          <w:tab w:leader="none" w:pos="800" w:val="left"/>
        </w:tabs>
        <w:numPr>
          <w:ilvl w:val="0"/>
          <w:numId w:val="70"/>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In 2020, as part of our regular review of our compensation programs, the Compensation Committee considered peer group data from gaming and other related industries that the Compensation Committee believes reflect the competitive market for executive talent similar to that required by the Company. Our peer group was last updated in 2019.</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31"/>
          <w:szCs w:val="31"/>
          <w:color w:val="604F2B"/>
        </w:rPr>
        <w:t>Wynn Resorts 2020 executive compensation peer group</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13"/>
        </w:trPr>
        <w:tc>
          <w:tcPr>
            <w:tcW w:w="3760" w:type="dxa"/>
            <w:vAlign w:val="bottom"/>
            <w:tcBorders>
              <w:right w:val="single" w:sz="8" w:color="A8BCBF"/>
            </w:tcBorders>
          </w:tcPr>
          <w:p>
            <w:pPr>
              <w:ind w:left="60"/>
              <w:spacing w:after="0"/>
              <w:rPr>
                <w:sz w:val="20"/>
                <w:szCs w:val="20"/>
                <w:color w:val="auto"/>
              </w:rPr>
            </w:pPr>
            <w:r>
              <w:rPr>
                <w:rFonts w:ascii="Arial" w:cs="Arial" w:eastAsia="Arial" w:hAnsi="Arial"/>
                <w:sz w:val="13"/>
                <w:szCs w:val="13"/>
                <w:b w:val="1"/>
                <w:bCs w:val="1"/>
                <w:color w:val="604F2B"/>
              </w:rPr>
              <w:t>GAMING &amp; RESORTS</w:t>
            </w:r>
          </w:p>
        </w:tc>
        <w:tc>
          <w:tcPr>
            <w:tcW w:w="3860" w:type="dxa"/>
            <w:vAlign w:val="bottom"/>
            <w:tcBorders>
              <w:right w:val="single" w:sz="8" w:color="A8BCBF"/>
            </w:tcBorders>
          </w:tcPr>
          <w:p>
            <w:pPr>
              <w:ind w:left="960"/>
              <w:spacing w:after="0"/>
              <w:rPr>
                <w:sz w:val="20"/>
                <w:szCs w:val="20"/>
                <w:color w:val="auto"/>
              </w:rPr>
            </w:pPr>
            <w:r>
              <w:rPr>
                <w:rFonts w:ascii="Arial" w:cs="Arial" w:eastAsia="Arial" w:hAnsi="Arial"/>
                <w:sz w:val="13"/>
                <w:szCs w:val="13"/>
                <w:b w:val="1"/>
                <w:bCs w:val="1"/>
                <w:color w:val="604F2B"/>
              </w:rPr>
              <w:t>TRAVEL, HOSPITALITY &amp; RESORTS</w:t>
            </w:r>
          </w:p>
        </w:tc>
        <w:tc>
          <w:tcPr>
            <w:tcW w:w="3400" w:type="dxa"/>
            <w:vAlign w:val="bottom"/>
          </w:tcPr>
          <w:p>
            <w:pPr>
              <w:ind w:left="1220"/>
              <w:spacing w:after="0"/>
              <w:rPr>
                <w:sz w:val="20"/>
                <w:szCs w:val="20"/>
                <w:color w:val="auto"/>
              </w:rPr>
            </w:pPr>
            <w:r>
              <w:rPr>
                <w:rFonts w:ascii="Arial" w:cs="Arial" w:eastAsia="Arial" w:hAnsi="Arial"/>
                <w:sz w:val="13"/>
                <w:szCs w:val="13"/>
                <w:b w:val="1"/>
                <w:bCs w:val="1"/>
                <w:color w:val="604F2B"/>
              </w:rPr>
              <w:t>LIFESTYLE PRODUCTS</w:t>
            </w:r>
          </w:p>
        </w:tc>
      </w:tr>
      <w:tr>
        <w:trPr>
          <w:trHeight w:val="57"/>
        </w:trPr>
        <w:tc>
          <w:tcPr>
            <w:tcW w:w="3760" w:type="dxa"/>
            <w:vAlign w:val="bottom"/>
            <w:tcBorders>
              <w:right w:val="single" w:sz="8" w:color="A8BCBF"/>
            </w:tcBorders>
          </w:tcPr>
          <w:p>
            <w:pPr>
              <w:spacing w:after="0"/>
              <w:rPr>
                <w:sz w:val="4"/>
                <w:szCs w:val="4"/>
                <w:color w:val="auto"/>
              </w:rPr>
            </w:pPr>
          </w:p>
        </w:tc>
        <w:tc>
          <w:tcPr>
            <w:tcW w:w="3860" w:type="dxa"/>
            <w:vAlign w:val="bottom"/>
            <w:tcBorders>
              <w:right w:val="single" w:sz="8" w:color="A8BCBF"/>
            </w:tcBorders>
          </w:tcPr>
          <w:p>
            <w:pPr>
              <w:spacing w:after="0"/>
              <w:rPr>
                <w:sz w:val="4"/>
                <w:szCs w:val="4"/>
                <w:color w:val="auto"/>
              </w:rPr>
            </w:pPr>
          </w:p>
        </w:tc>
        <w:tc>
          <w:tcPr>
            <w:tcW w:w="3400" w:type="dxa"/>
            <w:vAlign w:val="bottom"/>
          </w:tcPr>
          <w:p>
            <w:pPr>
              <w:spacing w:after="0"/>
              <w:rPr>
                <w:sz w:val="4"/>
                <w:szCs w:val="4"/>
                <w:color w:val="auto"/>
              </w:rPr>
            </w:pPr>
          </w:p>
        </w:tc>
      </w:tr>
      <w:tr>
        <w:trPr>
          <w:trHeight w:val="223"/>
        </w:trPr>
        <w:tc>
          <w:tcPr>
            <w:tcW w:w="3760" w:type="dxa"/>
            <w:vAlign w:val="bottom"/>
            <w:tcBorders>
              <w:bottom w:val="single" w:sz="8" w:color="EAEAE5"/>
              <w:right w:val="single" w:sz="8" w:color="A8BCBF"/>
            </w:tcBorders>
            <w:shd w:val="clear" w:color="auto" w:fill="EAEAE5"/>
          </w:tcPr>
          <w:p>
            <w:pPr>
              <w:ind w:left="60"/>
              <w:spacing w:after="0"/>
              <w:rPr>
                <w:sz w:val="20"/>
                <w:szCs w:val="20"/>
                <w:color w:val="auto"/>
              </w:rPr>
            </w:pPr>
            <w:r>
              <w:rPr>
                <w:rFonts w:ascii="Arial" w:cs="Arial" w:eastAsia="Arial" w:hAnsi="Arial"/>
                <w:sz w:val="15"/>
                <w:szCs w:val="15"/>
                <w:color w:val="auto"/>
              </w:rPr>
              <w:t>Caesars Entertainment Corporation</w:t>
            </w:r>
          </w:p>
        </w:tc>
        <w:tc>
          <w:tcPr>
            <w:tcW w:w="3860" w:type="dxa"/>
            <w:vAlign w:val="bottom"/>
            <w:tcBorders>
              <w:bottom w:val="single" w:sz="8" w:color="EAEAE5"/>
              <w:right w:val="single" w:sz="8" w:color="A8BCBF"/>
            </w:tcBorders>
            <w:shd w:val="clear" w:color="auto" w:fill="EAEAE5"/>
          </w:tcPr>
          <w:p>
            <w:pPr>
              <w:ind w:left="220"/>
              <w:spacing w:after="0"/>
              <w:rPr>
                <w:sz w:val="20"/>
                <w:szCs w:val="20"/>
                <w:color w:val="auto"/>
              </w:rPr>
            </w:pPr>
            <w:r>
              <w:rPr>
                <w:rFonts w:ascii="Arial" w:cs="Arial" w:eastAsia="Arial" w:hAnsi="Arial"/>
                <w:sz w:val="15"/>
                <w:szCs w:val="15"/>
                <w:color w:val="auto"/>
              </w:rPr>
              <w:t>Hilton Worldwide Holdings Inc.</w:t>
            </w:r>
          </w:p>
        </w:tc>
        <w:tc>
          <w:tcPr>
            <w:tcW w:w="3400" w:type="dxa"/>
            <w:vAlign w:val="bottom"/>
            <w:tcBorders>
              <w:bottom w:val="single" w:sz="8" w:color="EAEAE5"/>
            </w:tcBorders>
            <w:shd w:val="clear" w:color="auto" w:fill="EAEAE5"/>
          </w:tcPr>
          <w:p>
            <w:pPr>
              <w:ind w:left="440"/>
              <w:spacing w:after="0"/>
              <w:rPr>
                <w:sz w:val="20"/>
                <w:szCs w:val="20"/>
                <w:color w:val="auto"/>
              </w:rPr>
            </w:pPr>
            <w:r>
              <w:rPr>
                <w:rFonts w:ascii="Arial" w:cs="Arial" w:eastAsia="Arial" w:hAnsi="Arial"/>
                <w:sz w:val="15"/>
                <w:szCs w:val="15"/>
                <w:color w:val="auto"/>
              </w:rPr>
              <w:t>Capri Holdings Limited</w:t>
            </w:r>
          </w:p>
        </w:tc>
      </w:tr>
      <w:tr>
        <w:trPr>
          <w:trHeight w:val="222"/>
        </w:trPr>
        <w:tc>
          <w:tcPr>
            <w:tcW w:w="3760" w:type="dxa"/>
            <w:vAlign w:val="bottom"/>
            <w:tcBorders>
              <w:right w:val="single" w:sz="8" w:color="A8BCBF"/>
            </w:tcBorders>
          </w:tcPr>
          <w:p>
            <w:pPr>
              <w:ind w:left="60"/>
              <w:spacing w:after="0"/>
              <w:rPr>
                <w:sz w:val="20"/>
                <w:szCs w:val="20"/>
                <w:color w:val="auto"/>
              </w:rPr>
            </w:pPr>
            <w:r>
              <w:rPr>
                <w:rFonts w:ascii="Arial" w:cs="Arial" w:eastAsia="Arial" w:hAnsi="Arial"/>
                <w:sz w:val="15"/>
                <w:szCs w:val="15"/>
                <w:color w:val="auto"/>
              </w:rPr>
              <w:t>Las Vegas Sands Corp.</w:t>
            </w:r>
          </w:p>
        </w:tc>
        <w:tc>
          <w:tcPr>
            <w:tcW w:w="3860" w:type="dxa"/>
            <w:vAlign w:val="bottom"/>
            <w:tcBorders>
              <w:right w:val="single" w:sz="8" w:color="A8BCBF"/>
            </w:tcBorders>
          </w:tcPr>
          <w:p>
            <w:pPr>
              <w:ind w:left="220"/>
              <w:spacing w:after="0"/>
              <w:rPr>
                <w:sz w:val="20"/>
                <w:szCs w:val="20"/>
                <w:color w:val="auto"/>
              </w:rPr>
            </w:pPr>
            <w:r>
              <w:rPr>
                <w:rFonts w:ascii="Arial" w:cs="Arial" w:eastAsia="Arial" w:hAnsi="Arial"/>
                <w:sz w:val="15"/>
                <w:szCs w:val="15"/>
                <w:color w:val="auto"/>
              </w:rPr>
              <w:t>Hyatt Hotels Corporation</w:t>
            </w:r>
          </w:p>
        </w:tc>
        <w:tc>
          <w:tcPr>
            <w:tcW w:w="3400" w:type="dxa"/>
            <w:vAlign w:val="bottom"/>
          </w:tcPr>
          <w:p>
            <w:pPr>
              <w:ind w:left="440"/>
              <w:spacing w:after="0"/>
              <w:rPr>
                <w:sz w:val="20"/>
                <w:szCs w:val="20"/>
                <w:color w:val="auto"/>
              </w:rPr>
            </w:pPr>
            <w:r>
              <w:rPr>
                <w:rFonts w:ascii="Arial" w:cs="Arial" w:eastAsia="Arial" w:hAnsi="Arial"/>
                <w:sz w:val="15"/>
                <w:szCs w:val="15"/>
                <w:color w:val="auto"/>
              </w:rPr>
              <w:t>PVH Corp.</w:t>
            </w:r>
          </w:p>
        </w:tc>
      </w:tr>
      <w:tr>
        <w:trPr>
          <w:trHeight w:val="22"/>
        </w:trPr>
        <w:tc>
          <w:tcPr>
            <w:tcW w:w="3760" w:type="dxa"/>
            <w:vAlign w:val="bottom"/>
            <w:tcBorders>
              <w:right w:val="single" w:sz="8" w:color="A8BCBF"/>
            </w:tcBorders>
          </w:tcPr>
          <w:p>
            <w:pPr>
              <w:spacing w:after="0" w:line="20" w:lineRule="exact"/>
              <w:rPr>
                <w:sz w:val="1"/>
                <w:szCs w:val="1"/>
                <w:color w:val="auto"/>
              </w:rPr>
            </w:pPr>
          </w:p>
        </w:tc>
        <w:tc>
          <w:tcPr>
            <w:tcW w:w="3860" w:type="dxa"/>
            <w:vAlign w:val="bottom"/>
            <w:tcBorders>
              <w:right w:val="single" w:sz="8" w:color="A8BCBF"/>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23"/>
        </w:trPr>
        <w:tc>
          <w:tcPr>
            <w:tcW w:w="3760" w:type="dxa"/>
            <w:vAlign w:val="bottom"/>
            <w:tcBorders>
              <w:bottom w:val="single" w:sz="8" w:color="EAEAE5"/>
              <w:right w:val="single" w:sz="8" w:color="A8BCBF"/>
            </w:tcBorders>
            <w:shd w:val="clear" w:color="auto" w:fill="EAEAE5"/>
          </w:tcPr>
          <w:p>
            <w:pPr>
              <w:ind w:left="60"/>
              <w:spacing w:after="0"/>
              <w:rPr>
                <w:sz w:val="20"/>
                <w:szCs w:val="20"/>
                <w:color w:val="auto"/>
              </w:rPr>
            </w:pPr>
            <w:r>
              <w:rPr>
                <w:rFonts w:ascii="Arial" w:cs="Arial" w:eastAsia="Arial" w:hAnsi="Arial"/>
                <w:sz w:val="15"/>
                <w:szCs w:val="15"/>
                <w:color w:val="auto"/>
              </w:rPr>
              <w:t>MGM Resorts International</w:t>
            </w:r>
          </w:p>
        </w:tc>
        <w:tc>
          <w:tcPr>
            <w:tcW w:w="3860" w:type="dxa"/>
            <w:vAlign w:val="bottom"/>
            <w:tcBorders>
              <w:bottom w:val="single" w:sz="8" w:color="EAEAE5"/>
              <w:right w:val="single" w:sz="8" w:color="A8BCBF"/>
            </w:tcBorders>
            <w:shd w:val="clear" w:color="auto" w:fill="EAEAE5"/>
          </w:tcPr>
          <w:p>
            <w:pPr>
              <w:ind w:left="220"/>
              <w:spacing w:after="0"/>
              <w:rPr>
                <w:sz w:val="20"/>
                <w:szCs w:val="20"/>
                <w:color w:val="auto"/>
              </w:rPr>
            </w:pPr>
            <w:r>
              <w:rPr>
                <w:rFonts w:ascii="Arial" w:cs="Arial" w:eastAsia="Arial" w:hAnsi="Arial"/>
                <w:sz w:val="15"/>
                <w:szCs w:val="15"/>
                <w:color w:val="auto"/>
              </w:rPr>
              <w:t>Marriott International, Inc.</w:t>
            </w:r>
          </w:p>
        </w:tc>
        <w:tc>
          <w:tcPr>
            <w:tcW w:w="3400" w:type="dxa"/>
            <w:vAlign w:val="bottom"/>
            <w:tcBorders>
              <w:bottom w:val="single" w:sz="8" w:color="EAEAE5"/>
            </w:tcBorders>
            <w:shd w:val="clear" w:color="auto" w:fill="EAEAE5"/>
          </w:tcPr>
          <w:p>
            <w:pPr>
              <w:ind w:left="440"/>
              <w:spacing w:after="0"/>
              <w:rPr>
                <w:sz w:val="20"/>
                <w:szCs w:val="20"/>
                <w:color w:val="auto"/>
              </w:rPr>
            </w:pPr>
            <w:r>
              <w:rPr>
                <w:rFonts w:ascii="Arial" w:cs="Arial" w:eastAsia="Arial" w:hAnsi="Arial"/>
                <w:sz w:val="15"/>
                <w:szCs w:val="15"/>
                <w:color w:val="auto"/>
              </w:rPr>
              <w:t>Ralph Lauren Corporation</w:t>
            </w:r>
          </w:p>
        </w:tc>
      </w:tr>
      <w:tr>
        <w:trPr>
          <w:trHeight w:val="222"/>
        </w:trPr>
        <w:tc>
          <w:tcPr>
            <w:tcW w:w="3760" w:type="dxa"/>
            <w:vAlign w:val="bottom"/>
            <w:tcBorders>
              <w:right w:val="single" w:sz="8" w:color="A8BCBF"/>
            </w:tcBorders>
          </w:tcPr>
          <w:p>
            <w:pPr>
              <w:ind w:left="60"/>
              <w:spacing w:after="0"/>
              <w:rPr>
                <w:sz w:val="20"/>
                <w:szCs w:val="20"/>
                <w:color w:val="auto"/>
              </w:rPr>
            </w:pPr>
            <w:r>
              <w:rPr>
                <w:rFonts w:ascii="Arial" w:cs="Arial" w:eastAsia="Arial" w:hAnsi="Arial"/>
                <w:sz w:val="15"/>
                <w:szCs w:val="15"/>
                <w:color w:val="auto"/>
              </w:rPr>
              <w:t>Penn National Gaming, Inc.</w:t>
            </w:r>
          </w:p>
        </w:tc>
        <w:tc>
          <w:tcPr>
            <w:tcW w:w="3860" w:type="dxa"/>
            <w:vAlign w:val="bottom"/>
            <w:tcBorders>
              <w:right w:val="single" w:sz="8" w:color="A8BCBF"/>
            </w:tcBorders>
          </w:tcPr>
          <w:p>
            <w:pPr>
              <w:ind w:left="220"/>
              <w:spacing w:after="0"/>
              <w:rPr>
                <w:sz w:val="20"/>
                <w:szCs w:val="20"/>
                <w:color w:val="auto"/>
              </w:rPr>
            </w:pPr>
            <w:r>
              <w:rPr>
                <w:rFonts w:ascii="Arial" w:cs="Arial" w:eastAsia="Arial" w:hAnsi="Arial"/>
                <w:sz w:val="15"/>
                <w:szCs w:val="15"/>
                <w:color w:val="auto"/>
              </w:rPr>
              <w:t>Norwegian Cruise Line Holdings Ltd</w:t>
            </w:r>
          </w:p>
        </w:tc>
        <w:tc>
          <w:tcPr>
            <w:tcW w:w="3400" w:type="dxa"/>
            <w:vAlign w:val="bottom"/>
          </w:tcPr>
          <w:p>
            <w:pPr>
              <w:ind w:left="440"/>
              <w:spacing w:after="0"/>
              <w:rPr>
                <w:sz w:val="20"/>
                <w:szCs w:val="20"/>
                <w:color w:val="auto"/>
              </w:rPr>
            </w:pPr>
            <w:r>
              <w:rPr>
                <w:rFonts w:ascii="Arial" w:cs="Arial" w:eastAsia="Arial" w:hAnsi="Arial"/>
                <w:sz w:val="15"/>
                <w:szCs w:val="15"/>
                <w:color w:val="auto"/>
              </w:rPr>
              <w:t>Tapestry, Inc.</w:t>
            </w:r>
          </w:p>
        </w:tc>
      </w:tr>
      <w:tr>
        <w:trPr>
          <w:trHeight w:val="22"/>
        </w:trPr>
        <w:tc>
          <w:tcPr>
            <w:tcW w:w="3760" w:type="dxa"/>
            <w:vAlign w:val="bottom"/>
            <w:tcBorders>
              <w:right w:val="single" w:sz="8" w:color="A8BCBF"/>
            </w:tcBorders>
          </w:tcPr>
          <w:p>
            <w:pPr>
              <w:spacing w:after="0" w:line="20" w:lineRule="exact"/>
              <w:rPr>
                <w:sz w:val="1"/>
                <w:szCs w:val="1"/>
                <w:color w:val="auto"/>
              </w:rPr>
            </w:pPr>
          </w:p>
        </w:tc>
        <w:tc>
          <w:tcPr>
            <w:tcW w:w="3860" w:type="dxa"/>
            <w:vAlign w:val="bottom"/>
            <w:tcBorders>
              <w:right w:val="single" w:sz="8" w:color="A8BCBF"/>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23"/>
        </w:trPr>
        <w:tc>
          <w:tcPr>
            <w:tcW w:w="3760" w:type="dxa"/>
            <w:vAlign w:val="bottom"/>
            <w:tcBorders>
              <w:bottom w:val="single" w:sz="8" w:color="EAEAE5"/>
              <w:right w:val="single" w:sz="8" w:color="A8BCBF"/>
            </w:tcBorders>
            <w:shd w:val="clear" w:color="auto" w:fill="EAEAE5"/>
          </w:tcPr>
          <w:p>
            <w:pPr>
              <w:spacing w:after="0"/>
              <w:rPr>
                <w:sz w:val="19"/>
                <w:szCs w:val="19"/>
                <w:color w:val="auto"/>
              </w:rPr>
            </w:pPr>
          </w:p>
        </w:tc>
        <w:tc>
          <w:tcPr>
            <w:tcW w:w="3860" w:type="dxa"/>
            <w:vAlign w:val="bottom"/>
            <w:tcBorders>
              <w:bottom w:val="single" w:sz="8" w:color="EAEAE5"/>
              <w:right w:val="single" w:sz="8" w:color="A8BCBF"/>
            </w:tcBorders>
            <w:shd w:val="clear" w:color="auto" w:fill="EAEAE5"/>
          </w:tcPr>
          <w:p>
            <w:pPr>
              <w:ind w:left="220"/>
              <w:spacing w:after="0"/>
              <w:rPr>
                <w:sz w:val="20"/>
                <w:szCs w:val="20"/>
                <w:color w:val="auto"/>
              </w:rPr>
            </w:pPr>
            <w:r>
              <w:rPr>
                <w:rFonts w:ascii="Arial" w:cs="Arial" w:eastAsia="Arial" w:hAnsi="Arial"/>
                <w:sz w:val="15"/>
                <w:szCs w:val="15"/>
                <w:color w:val="auto"/>
              </w:rPr>
              <w:t>Royal Caribbean Cruises Ltd</w:t>
            </w:r>
          </w:p>
        </w:tc>
        <w:tc>
          <w:tcPr>
            <w:tcW w:w="3400" w:type="dxa"/>
            <w:vAlign w:val="bottom"/>
            <w:tcBorders>
              <w:bottom w:val="single" w:sz="8" w:color="EAEAE5"/>
            </w:tcBorders>
            <w:shd w:val="clear" w:color="auto" w:fill="EAEAE5"/>
          </w:tcPr>
          <w:p>
            <w:pPr>
              <w:ind w:left="440"/>
              <w:spacing w:after="0"/>
              <w:rPr>
                <w:sz w:val="20"/>
                <w:szCs w:val="20"/>
                <w:color w:val="auto"/>
              </w:rPr>
            </w:pPr>
            <w:r>
              <w:rPr>
                <w:rFonts w:ascii="Arial" w:cs="Arial" w:eastAsia="Arial" w:hAnsi="Arial"/>
                <w:sz w:val="15"/>
                <w:szCs w:val="15"/>
                <w:color w:val="auto"/>
              </w:rPr>
              <w:t>The Estée Lauder Companies Inc.</w:t>
            </w:r>
          </w:p>
        </w:tc>
      </w:tr>
      <w:tr>
        <w:trPr>
          <w:trHeight w:val="221"/>
        </w:trPr>
        <w:tc>
          <w:tcPr>
            <w:tcW w:w="3760" w:type="dxa"/>
            <w:vAlign w:val="bottom"/>
            <w:tcBorders>
              <w:right w:val="single" w:sz="8" w:color="A8BCBF"/>
            </w:tcBorders>
          </w:tcPr>
          <w:p>
            <w:pPr>
              <w:spacing w:after="0"/>
              <w:rPr>
                <w:sz w:val="19"/>
                <w:szCs w:val="19"/>
                <w:color w:val="auto"/>
              </w:rPr>
            </w:pPr>
          </w:p>
        </w:tc>
        <w:tc>
          <w:tcPr>
            <w:tcW w:w="3860" w:type="dxa"/>
            <w:vAlign w:val="bottom"/>
            <w:tcBorders>
              <w:right w:val="single" w:sz="8" w:color="A8BCBF"/>
            </w:tcBorders>
          </w:tcPr>
          <w:p>
            <w:pPr>
              <w:ind w:left="220"/>
              <w:spacing w:after="0"/>
              <w:rPr>
                <w:sz w:val="20"/>
                <w:szCs w:val="20"/>
                <w:color w:val="auto"/>
              </w:rPr>
            </w:pPr>
            <w:r>
              <w:rPr>
                <w:rFonts w:ascii="Arial" w:cs="Arial" w:eastAsia="Arial" w:hAnsi="Arial"/>
                <w:sz w:val="15"/>
                <w:szCs w:val="15"/>
                <w:color w:val="auto"/>
              </w:rPr>
              <w:t>Wyndham Hotels &amp; Resorts, Inc.</w:t>
            </w:r>
          </w:p>
        </w:tc>
        <w:tc>
          <w:tcPr>
            <w:tcW w:w="3400" w:type="dxa"/>
            <w:vAlign w:val="bottom"/>
          </w:tcPr>
          <w:p>
            <w:pPr>
              <w:ind w:left="440"/>
              <w:spacing w:after="0"/>
              <w:rPr>
                <w:sz w:val="20"/>
                <w:szCs w:val="20"/>
                <w:color w:val="auto"/>
              </w:rPr>
            </w:pPr>
            <w:r>
              <w:rPr>
                <w:rFonts w:ascii="Arial" w:cs="Arial" w:eastAsia="Arial" w:hAnsi="Arial"/>
                <w:sz w:val="15"/>
                <w:szCs w:val="15"/>
                <w:color w:val="auto"/>
              </w:rPr>
              <w:t>Tiffany &amp; Co.</w:t>
            </w:r>
          </w:p>
        </w:tc>
      </w:tr>
      <w:tr>
        <w:trPr>
          <w:trHeight w:val="22"/>
        </w:trPr>
        <w:tc>
          <w:tcPr>
            <w:tcW w:w="3760" w:type="dxa"/>
            <w:vAlign w:val="bottom"/>
            <w:tcBorders>
              <w:right w:val="single" w:sz="8" w:color="A8BCBF"/>
            </w:tcBorders>
          </w:tcPr>
          <w:p>
            <w:pPr>
              <w:spacing w:after="0" w:line="20" w:lineRule="exact"/>
              <w:rPr>
                <w:sz w:val="1"/>
                <w:szCs w:val="1"/>
                <w:color w:val="auto"/>
              </w:rPr>
            </w:pPr>
          </w:p>
        </w:tc>
        <w:tc>
          <w:tcPr>
            <w:tcW w:w="3860" w:type="dxa"/>
            <w:vAlign w:val="bottom"/>
            <w:tcBorders>
              <w:right w:val="single" w:sz="8" w:color="A8BCBF"/>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22"/>
        </w:trPr>
        <w:tc>
          <w:tcPr>
            <w:tcW w:w="3760" w:type="dxa"/>
            <w:vAlign w:val="bottom"/>
            <w:tcBorders>
              <w:right w:val="single" w:sz="8" w:color="A8BCBF"/>
            </w:tcBorders>
            <w:shd w:val="clear" w:color="auto" w:fill="EAEAE5"/>
          </w:tcPr>
          <w:p>
            <w:pPr>
              <w:spacing w:after="0"/>
              <w:rPr>
                <w:sz w:val="19"/>
                <w:szCs w:val="19"/>
                <w:color w:val="auto"/>
              </w:rPr>
            </w:pPr>
          </w:p>
        </w:tc>
        <w:tc>
          <w:tcPr>
            <w:tcW w:w="3860" w:type="dxa"/>
            <w:vAlign w:val="bottom"/>
            <w:tcBorders>
              <w:right w:val="single" w:sz="8" w:color="A8BCBF"/>
            </w:tcBorders>
            <w:shd w:val="clear" w:color="auto" w:fill="EAEAE5"/>
          </w:tcPr>
          <w:p>
            <w:pPr>
              <w:spacing w:after="0"/>
              <w:rPr>
                <w:sz w:val="19"/>
                <w:szCs w:val="19"/>
                <w:color w:val="auto"/>
              </w:rPr>
            </w:pPr>
          </w:p>
        </w:tc>
        <w:tc>
          <w:tcPr>
            <w:tcW w:w="3400" w:type="dxa"/>
            <w:vAlign w:val="bottom"/>
            <w:shd w:val="clear" w:color="auto" w:fill="EAEAE5"/>
          </w:tcPr>
          <w:p>
            <w:pPr>
              <w:ind w:left="440"/>
              <w:spacing w:after="0"/>
              <w:rPr>
                <w:sz w:val="20"/>
                <w:szCs w:val="20"/>
                <w:color w:val="auto"/>
              </w:rPr>
            </w:pPr>
            <w:r>
              <w:rPr>
                <w:rFonts w:ascii="Arial" w:cs="Arial" w:eastAsia="Arial" w:hAnsi="Arial"/>
                <w:sz w:val="15"/>
                <w:szCs w:val="15"/>
                <w:color w:val="auto"/>
              </w:rPr>
              <w:t>V.F. Corporation</w:t>
            </w:r>
          </w:p>
        </w:tc>
      </w:tr>
      <w:tr>
        <w:trPr>
          <w:trHeight w:val="22"/>
        </w:trPr>
        <w:tc>
          <w:tcPr>
            <w:tcW w:w="3760" w:type="dxa"/>
            <w:vAlign w:val="bottom"/>
            <w:tcBorders>
              <w:right w:val="single" w:sz="8" w:color="A8BCBF"/>
            </w:tcBorders>
            <w:shd w:val="clear" w:color="auto" w:fill="EAEAE5"/>
          </w:tcPr>
          <w:p>
            <w:pPr>
              <w:spacing w:after="0" w:line="20" w:lineRule="exact"/>
              <w:rPr>
                <w:sz w:val="1"/>
                <w:szCs w:val="1"/>
                <w:color w:val="auto"/>
              </w:rPr>
            </w:pPr>
          </w:p>
        </w:tc>
        <w:tc>
          <w:tcPr>
            <w:tcW w:w="3860" w:type="dxa"/>
            <w:vAlign w:val="bottom"/>
            <w:tcBorders>
              <w:right w:val="single" w:sz="8" w:color="A8BCBF"/>
            </w:tcBorders>
            <w:shd w:val="clear" w:color="auto" w:fill="EAEAE5"/>
          </w:tcPr>
          <w:p>
            <w:pPr>
              <w:spacing w:after="0" w:line="20" w:lineRule="exact"/>
              <w:rPr>
                <w:sz w:val="1"/>
                <w:szCs w:val="1"/>
                <w:color w:val="auto"/>
              </w:rPr>
            </w:pPr>
          </w:p>
        </w:tc>
        <w:tc>
          <w:tcPr>
            <w:tcW w:w="3400" w:type="dxa"/>
            <w:vAlign w:val="bottom"/>
            <w:shd w:val="clear" w:color="auto" w:fill="EAEAE5"/>
          </w:tcPr>
          <w:p>
            <w:pPr>
              <w:spacing w:after="0" w:line="20" w:lineRule="exact"/>
              <w:rPr>
                <w:sz w:val="1"/>
                <w:szCs w:val="1"/>
                <w:color w:val="auto"/>
              </w:rPr>
            </w:pPr>
          </w:p>
        </w:tc>
      </w:tr>
    </w:tbl>
    <w:p>
      <w:pPr>
        <w:spacing w:after="0" w:line="188"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The 17 companies in the peer group generally had revenue, market capitalization and total enterprise value (as of December 31, 2020) in a relevant range around those of the Company as set forth below.</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297"/>
        </w:trPr>
        <w:tc>
          <w:tcPr>
            <w:tcW w:w="2980" w:type="dxa"/>
            <w:vAlign w:val="bottom"/>
            <w:tcBorders>
              <w:right w:val="single" w:sz="8" w:color="A8BCBF"/>
            </w:tcBorders>
          </w:tcPr>
          <w:p>
            <w:pPr>
              <w:spacing w:after="0"/>
              <w:rPr>
                <w:sz w:val="24"/>
                <w:szCs w:val="24"/>
                <w:color w:val="auto"/>
              </w:rPr>
            </w:pPr>
          </w:p>
        </w:tc>
        <w:tc>
          <w:tcPr>
            <w:tcW w:w="2380" w:type="dxa"/>
            <w:vAlign w:val="bottom"/>
            <w:tcBorders>
              <w:right w:val="single" w:sz="8" w:color="9E9E9E"/>
            </w:tcBorders>
          </w:tcPr>
          <w:p>
            <w:pPr>
              <w:jc w:val="center"/>
              <w:ind w:left="315"/>
              <w:spacing w:after="0"/>
              <w:rPr>
                <w:sz w:val="20"/>
                <w:szCs w:val="20"/>
                <w:color w:val="auto"/>
              </w:rPr>
            </w:pPr>
            <w:r>
              <w:rPr>
                <w:rFonts w:ascii="Arial" w:cs="Arial" w:eastAsia="Arial" w:hAnsi="Arial"/>
                <w:sz w:val="14"/>
                <w:szCs w:val="14"/>
                <w:b w:val="1"/>
                <w:bCs w:val="1"/>
                <w:color w:val="604F2B"/>
              </w:rPr>
              <w:t>WYNN RESORTS</w:t>
            </w:r>
          </w:p>
        </w:tc>
        <w:tc>
          <w:tcPr>
            <w:tcW w:w="1700" w:type="dxa"/>
            <w:vAlign w:val="bottom"/>
          </w:tcPr>
          <w:p>
            <w:pPr>
              <w:spacing w:after="0"/>
              <w:rPr>
                <w:sz w:val="24"/>
                <w:szCs w:val="24"/>
                <w:color w:val="auto"/>
              </w:rPr>
            </w:pPr>
          </w:p>
        </w:tc>
        <w:tc>
          <w:tcPr>
            <w:tcW w:w="3960" w:type="dxa"/>
            <w:vAlign w:val="bottom"/>
          </w:tcPr>
          <w:p>
            <w:pPr>
              <w:ind w:left="440"/>
              <w:spacing w:after="0"/>
              <w:rPr>
                <w:sz w:val="20"/>
                <w:szCs w:val="20"/>
                <w:color w:val="auto"/>
              </w:rPr>
            </w:pPr>
            <w:r>
              <w:rPr>
                <w:rFonts w:ascii="Arial" w:cs="Arial" w:eastAsia="Arial" w:hAnsi="Arial"/>
                <w:sz w:val="14"/>
                <w:szCs w:val="14"/>
                <w:b w:val="1"/>
                <w:bCs w:val="1"/>
                <w:color w:val="604F2B"/>
              </w:rPr>
              <w:t>PEER GROUP</w:t>
            </w:r>
          </w:p>
        </w:tc>
      </w:tr>
      <w:tr>
        <w:trPr>
          <w:trHeight w:val="243"/>
        </w:trPr>
        <w:tc>
          <w:tcPr>
            <w:tcW w:w="2980" w:type="dxa"/>
            <w:vAlign w:val="bottom"/>
            <w:tcBorders>
              <w:right w:val="single" w:sz="8" w:color="A8BCBF"/>
            </w:tcBorders>
            <w:shd w:val="clear" w:color="auto" w:fill="EAEAE5"/>
          </w:tcPr>
          <w:p>
            <w:pPr>
              <w:ind w:left="60"/>
              <w:spacing w:after="0"/>
              <w:rPr>
                <w:sz w:val="20"/>
                <w:szCs w:val="20"/>
                <w:color w:val="auto"/>
              </w:rPr>
            </w:pPr>
            <w:r>
              <w:rPr>
                <w:rFonts w:ascii="Arial" w:cs="Arial" w:eastAsia="Arial" w:hAnsi="Arial"/>
                <w:sz w:val="18"/>
                <w:szCs w:val="18"/>
                <w:color w:val="auto"/>
              </w:rPr>
              <w:t>Revenue</w:t>
            </w:r>
          </w:p>
        </w:tc>
        <w:tc>
          <w:tcPr>
            <w:tcW w:w="2380" w:type="dxa"/>
            <w:vAlign w:val="bottom"/>
            <w:tcBorders>
              <w:right w:val="single" w:sz="8" w:color="A8BCBF"/>
            </w:tcBorders>
            <w:shd w:val="clear" w:color="auto" w:fill="EAEAE5"/>
          </w:tcPr>
          <w:p>
            <w:pPr>
              <w:jc w:val="center"/>
              <w:ind w:left="315"/>
              <w:spacing w:after="0"/>
              <w:rPr>
                <w:sz w:val="20"/>
                <w:szCs w:val="20"/>
                <w:color w:val="auto"/>
              </w:rPr>
            </w:pPr>
            <w:r>
              <w:rPr>
                <w:rFonts w:ascii="Arial" w:cs="Arial" w:eastAsia="Arial" w:hAnsi="Arial"/>
                <w:sz w:val="18"/>
                <w:szCs w:val="18"/>
                <w:color w:val="auto"/>
                <w:w w:val="99"/>
              </w:rPr>
              <w:t>$2.1 billion</w:t>
            </w:r>
          </w:p>
        </w:tc>
        <w:tc>
          <w:tcPr>
            <w:tcW w:w="1700" w:type="dxa"/>
            <w:vAlign w:val="bottom"/>
            <w:tcBorders>
              <w:right w:val="single" w:sz="8" w:color="A8BCBF"/>
            </w:tcBorders>
            <w:shd w:val="clear" w:color="auto" w:fill="EAEAE5"/>
          </w:tcPr>
          <w:p>
            <w:pPr>
              <w:ind w:left="640"/>
              <w:spacing w:after="0"/>
              <w:rPr>
                <w:sz w:val="20"/>
                <w:szCs w:val="20"/>
                <w:color w:val="auto"/>
              </w:rPr>
            </w:pPr>
            <w:r>
              <w:rPr>
                <w:rFonts w:ascii="Arial" w:cs="Arial" w:eastAsia="Arial" w:hAnsi="Arial"/>
                <w:sz w:val="18"/>
                <w:szCs w:val="18"/>
                <w:color w:val="auto"/>
              </w:rPr>
              <w:t>Range:</w:t>
            </w:r>
          </w:p>
        </w:tc>
        <w:tc>
          <w:tcPr>
            <w:tcW w:w="3960" w:type="dxa"/>
            <w:vAlign w:val="bottom"/>
            <w:shd w:val="clear" w:color="auto" w:fill="EAEAE5"/>
          </w:tcPr>
          <w:p>
            <w:pPr>
              <w:ind w:left="640"/>
              <w:spacing w:after="0"/>
              <w:rPr>
                <w:sz w:val="20"/>
                <w:szCs w:val="20"/>
                <w:color w:val="auto"/>
              </w:rPr>
            </w:pPr>
            <w:r>
              <w:rPr>
                <w:rFonts w:ascii="Arial" w:cs="Arial" w:eastAsia="Arial" w:hAnsi="Arial"/>
                <w:sz w:val="18"/>
                <w:szCs w:val="18"/>
                <w:color w:val="auto"/>
              </w:rPr>
              <w:t>$1.3 billion–$14.2 billion</w:t>
            </w:r>
          </w:p>
        </w:tc>
      </w:tr>
      <w:tr>
        <w:trPr>
          <w:trHeight w:val="236"/>
        </w:trPr>
        <w:tc>
          <w:tcPr>
            <w:tcW w:w="2980" w:type="dxa"/>
            <w:vAlign w:val="bottom"/>
            <w:tcBorders>
              <w:right w:val="single" w:sz="8" w:color="A8BCBF"/>
            </w:tcBorders>
          </w:tcPr>
          <w:p>
            <w:pPr>
              <w:spacing w:after="0"/>
              <w:rPr>
                <w:sz w:val="20"/>
                <w:szCs w:val="20"/>
                <w:color w:val="auto"/>
              </w:rPr>
            </w:pPr>
          </w:p>
        </w:tc>
        <w:tc>
          <w:tcPr>
            <w:tcW w:w="2380" w:type="dxa"/>
            <w:vAlign w:val="bottom"/>
            <w:tcBorders>
              <w:right w:val="single" w:sz="8" w:color="A8BCBF"/>
            </w:tcBorders>
          </w:tcPr>
          <w:p>
            <w:pPr>
              <w:spacing w:after="0"/>
              <w:rPr>
                <w:sz w:val="20"/>
                <w:szCs w:val="20"/>
                <w:color w:val="auto"/>
              </w:rPr>
            </w:pPr>
          </w:p>
        </w:tc>
        <w:tc>
          <w:tcPr>
            <w:tcW w:w="1700" w:type="dxa"/>
            <w:vAlign w:val="bottom"/>
            <w:tcBorders>
              <w:right w:val="single" w:sz="8" w:color="A8BCBF"/>
            </w:tcBorders>
          </w:tcPr>
          <w:p>
            <w:pPr>
              <w:ind w:left="640"/>
              <w:spacing w:after="0"/>
              <w:rPr>
                <w:sz w:val="20"/>
                <w:szCs w:val="20"/>
                <w:color w:val="auto"/>
              </w:rPr>
            </w:pPr>
            <w:r>
              <w:rPr>
                <w:rFonts w:ascii="Arial" w:cs="Arial" w:eastAsia="Arial" w:hAnsi="Arial"/>
                <w:sz w:val="18"/>
                <w:szCs w:val="18"/>
                <w:color w:val="auto"/>
              </w:rPr>
              <w:t>Median:</w:t>
            </w:r>
          </w:p>
        </w:tc>
        <w:tc>
          <w:tcPr>
            <w:tcW w:w="3960" w:type="dxa"/>
            <w:vAlign w:val="bottom"/>
          </w:tcPr>
          <w:p>
            <w:pPr>
              <w:ind w:left="640"/>
              <w:spacing w:after="0"/>
              <w:rPr>
                <w:sz w:val="20"/>
                <w:szCs w:val="20"/>
                <w:color w:val="auto"/>
              </w:rPr>
            </w:pPr>
            <w:r>
              <w:rPr>
                <w:rFonts w:ascii="Arial" w:cs="Arial" w:eastAsia="Arial" w:hAnsi="Arial"/>
                <w:sz w:val="18"/>
                <w:szCs w:val="18"/>
                <w:color w:val="auto"/>
              </w:rPr>
              <w:t>$4.3 billion</w:t>
            </w:r>
          </w:p>
        </w:tc>
      </w:tr>
      <w:tr>
        <w:trPr>
          <w:trHeight w:val="250"/>
        </w:trPr>
        <w:tc>
          <w:tcPr>
            <w:tcW w:w="2980" w:type="dxa"/>
            <w:vAlign w:val="bottom"/>
            <w:tcBorders>
              <w:right w:val="single" w:sz="8" w:color="A8BCBF"/>
            </w:tcBorders>
            <w:shd w:val="clear" w:color="auto" w:fill="EAEAE5"/>
          </w:tcPr>
          <w:p>
            <w:pPr>
              <w:ind w:left="60"/>
              <w:spacing w:after="0"/>
              <w:rPr>
                <w:sz w:val="20"/>
                <w:szCs w:val="20"/>
                <w:color w:val="auto"/>
              </w:rPr>
            </w:pPr>
            <w:r>
              <w:rPr>
                <w:rFonts w:ascii="Arial" w:cs="Arial" w:eastAsia="Arial" w:hAnsi="Arial"/>
                <w:sz w:val="18"/>
                <w:szCs w:val="18"/>
                <w:color w:val="auto"/>
              </w:rPr>
              <w:t>Market Capitalization</w:t>
            </w:r>
          </w:p>
        </w:tc>
        <w:tc>
          <w:tcPr>
            <w:tcW w:w="2380" w:type="dxa"/>
            <w:vAlign w:val="bottom"/>
            <w:tcBorders>
              <w:right w:val="single" w:sz="8" w:color="A8BCBF"/>
            </w:tcBorders>
            <w:shd w:val="clear" w:color="auto" w:fill="EAEAE5"/>
          </w:tcPr>
          <w:p>
            <w:pPr>
              <w:jc w:val="center"/>
              <w:ind w:left="335"/>
              <w:spacing w:after="0"/>
              <w:rPr>
                <w:sz w:val="20"/>
                <w:szCs w:val="20"/>
                <w:color w:val="auto"/>
              </w:rPr>
            </w:pPr>
            <w:r>
              <w:rPr>
                <w:rFonts w:ascii="Arial" w:cs="Arial" w:eastAsia="Arial" w:hAnsi="Arial"/>
                <w:sz w:val="18"/>
                <w:szCs w:val="18"/>
                <w:color w:val="auto"/>
                <w:w w:val="99"/>
              </w:rPr>
              <w:t>$12.2 billion</w:t>
            </w:r>
          </w:p>
        </w:tc>
        <w:tc>
          <w:tcPr>
            <w:tcW w:w="1700" w:type="dxa"/>
            <w:vAlign w:val="bottom"/>
            <w:tcBorders>
              <w:right w:val="single" w:sz="8" w:color="A8BCBF"/>
            </w:tcBorders>
            <w:shd w:val="clear" w:color="auto" w:fill="EAEAE5"/>
          </w:tcPr>
          <w:p>
            <w:pPr>
              <w:ind w:left="640"/>
              <w:spacing w:after="0"/>
              <w:rPr>
                <w:sz w:val="20"/>
                <w:szCs w:val="20"/>
                <w:color w:val="auto"/>
              </w:rPr>
            </w:pPr>
            <w:r>
              <w:rPr>
                <w:rFonts w:ascii="Arial" w:cs="Arial" w:eastAsia="Arial" w:hAnsi="Arial"/>
                <w:sz w:val="18"/>
                <w:szCs w:val="18"/>
                <w:color w:val="auto"/>
              </w:rPr>
              <w:t>Range:</w:t>
            </w:r>
          </w:p>
        </w:tc>
        <w:tc>
          <w:tcPr>
            <w:tcW w:w="3960" w:type="dxa"/>
            <w:vAlign w:val="bottom"/>
            <w:shd w:val="clear" w:color="auto" w:fill="EAEAE5"/>
          </w:tcPr>
          <w:p>
            <w:pPr>
              <w:ind w:left="640"/>
              <w:spacing w:after="0"/>
              <w:rPr>
                <w:sz w:val="20"/>
                <w:szCs w:val="20"/>
                <w:color w:val="auto"/>
              </w:rPr>
            </w:pPr>
            <w:r>
              <w:rPr>
                <w:rFonts w:ascii="Arial" w:cs="Arial" w:eastAsia="Arial" w:hAnsi="Arial"/>
                <w:sz w:val="18"/>
                <w:szCs w:val="18"/>
                <w:color w:val="auto"/>
              </w:rPr>
              <w:t>$5.5 billion–$96.3 billion</w:t>
            </w:r>
          </w:p>
        </w:tc>
      </w:tr>
      <w:tr>
        <w:trPr>
          <w:trHeight w:val="236"/>
        </w:trPr>
        <w:tc>
          <w:tcPr>
            <w:tcW w:w="2980" w:type="dxa"/>
            <w:vAlign w:val="bottom"/>
            <w:tcBorders>
              <w:right w:val="single" w:sz="8" w:color="A8BCBF"/>
            </w:tcBorders>
          </w:tcPr>
          <w:p>
            <w:pPr>
              <w:spacing w:after="0"/>
              <w:rPr>
                <w:sz w:val="20"/>
                <w:szCs w:val="20"/>
                <w:color w:val="auto"/>
              </w:rPr>
            </w:pPr>
          </w:p>
        </w:tc>
        <w:tc>
          <w:tcPr>
            <w:tcW w:w="2380" w:type="dxa"/>
            <w:vAlign w:val="bottom"/>
            <w:tcBorders>
              <w:right w:val="single" w:sz="8" w:color="A8BCBF"/>
            </w:tcBorders>
          </w:tcPr>
          <w:p>
            <w:pPr>
              <w:spacing w:after="0"/>
              <w:rPr>
                <w:sz w:val="20"/>
                <w:szCs w:val="20"/>
                <w:color w:val="auto"/>
              </w:rPr>
            </w:pPr>
          </w:p>
        </w:tc>
        <w:tc>
          <w:tcPr>
            <w:tcW w:w="1700" w:type="dxa"/>
            <w:vAlign w:val="bottom"/>
            <w:tcBorders>
              <w:right w:val="single" w:sz="8" w:color="A8BCBF"/>
            </w:tcBorders>
          </w:tcPr>
          <w:p>
            <w:pPr>
              <w:ind w:left="640"/>
              <w:spacing w:after="0"/>
              <w:rPr>
                <w:sz w:val="20"/>
                <w:szCs w:val="20"/>
                <w:color w:val="auto"/>
              </w:rPr>
            </w:pPr>
            <w:r>
              <w:rPr>
                <w:rFonts w:ascii="Arial" w:cs="Arial" w:eastAsia="Arial" w:hAnsi="Arial"/>
                <w:sz w:val="18"/>
                <w:szCs w:val="18"/>
                <w:color w:val="auto"/>
              </w:rPr>
              <w:t>Median:</w:t>
            </w:r>
          </w:p>
        </w:tc>
        <w:tc>
          <w:tcPr>
            <w:tcW w:w="3960" w:type="dxa"/>
            <w:vAlign w:val="bottom"/>
          </w:tcPr>
          <w:p>
            <w:pPr>
              <w:ind w:left="640"/>
              <w:spacing w:after="0"/>
              <w:rPr>
                <w:sz w:val="20"/>
                <w:szCs w:val="20"/>
                <w:color w:val="auto"/>
              </w:rPr>
            </w:pPr>
            <w:r>
              <w:rPr>
                <w:rFonts w:ascii="Arial" w:cs="Arial" w:eastAsia="Arial" w:hAnsi="Arial"/>
                <w:sz w:val="18"/>
                <w:szCs w:val="18"/>
                <w:color w:val="auto"/>
              </w:rPr>
              <w:t>$15.5 billion</w:t>
            </w:r>
          </w:p>
        </w:tc>
      </w:tr>
      <w:tr>
        <w:trPr>
          <w:trHeight w:val="250"/>
        </w:trPr>
        <w:tc>
          <w:tcPr>
            <w:tcW w:w="2980" w:type="dxa"/>
            <w:vAlign w:val="bottom"/>
            <w:tcBorders>
              <w:right w:val="single" w:sz="8" w:color="A8BCBF"/>
            </w:tcBorders>
            <w:shd w:val="clear" w:color="auto" w:fill="EAEAE5"/>
          </w:tcPr>
          <w:p>
            <w:pPr>
              <w:ind w:left="60"/>
              <w:spacing w:after="0"/>
              <w:rPr>
                <w:sz w:val="20"/>
                <w:szCs w:val="20"/>
                <w:color w:val="auto"/>
              </w:rPr>
            </w:pPr>
            <w:r>
              <w:rPr>
                <w:rFonts w:ascii="Arial" w:cs="Arial" w:eastAsia="Arial" w:hAnsi="Arial"/>
                <w:sz w:val="18"/>
                <w:szCs w:val="18"/>
                <w:color w:val="auto"/>
              </w:rPr>
              <w:t>Enterprise Value</w:t>
            </w:r>
          </w:p>
        </w:tc>
        <w:tc>
          <w:tcPr>
            <w:tcW w:w="2380" w:type="dxa"/>
            <w:vAlign w:val="bottom"/>
            <w:tcBorders>
              <w:right w:val="single" w:sz="8" w:color="A8BCBF"/>
            </w:tcBorders>
            <w:shd w:val="clear" w:color="auto" w:fill="EAEAE5"/>
          </w:tcPr>
          <w:p>
            <w:pPr>
              <w:jc w:val="center"/>
              <w:ind w:left="335"/>
              <w:spacing w:after="0"/>
              <w:rPr>
                <w:sz w:val="20"/>
                <w:szCs w:val="20"/>
                <w:color w:val="auto"/>
              </w:rPr>
            </w:pPr>
            <w:r>
              <w:rPr>
                <w:rFonts w:ascii="Arial" w:cs="Arial" w:eastAsia="Arial" w:hAnsi="Arial"/>
                <w:sz w:val="18"/>
                <w:szCs w:val="18"/>
                <w:color w:val="auto"/>
                <w:w w:val="99"/>
              </w:rPr>
              <w:t>$21.2 billion</w:t>
            </w:r>
          </w:p>
        </w:tc>
        <w:tc>
          <w:tcPr>
            <w:tcW w:w="1700" w:type="dxa"/>
            <w:vAlign w:val="bottom"/>
            <w:tcBorders>
              <w:right w:val="single" w:sz="8" w:color="A8BCBF"/>
            </w:tcBorders>
            <w:shd w:val="clear" w:color="auto" w:fill="EAEAE5"/>
          </w:tcPr>
          <w:p>
            <w:pPr>
              <w:ind w:left="640"/>
              <w:spacing w:after="0"/>
              <w:rPr>
                <w:sz w:val="20"/>
                <w:szCs w:val="20"/>
                <w:color w:val="auto"/>
              </w:rPr>
            </w:pPr>
            <w:r>
              <w:rPr>
                <w:rFonts w:ascii="Arial" w:cs="Arial" w:eastAsia="Arial" w:hAnsi="Arial"/>
                <w:sz w:val="18"/>
                <w:szCs w:val="18"/>
                <w:color w:val="auto"/>
              </w:rPr>
              <w:t>Range:</w:t>
            </w:r>
          </w:p>
        </w:tc>
        <w:tc>
          <w:tcPr>
            <w:tcW w:w="3960" w:type="dxa"/>
            <w:vAlign w:val="bottom"/>
            <w:shd w:val="clear" w:color="auto" w:fill="EAEAE5"/>
          </w:tcPr>
          <w:p>
            <w:pPr>
              <w:ind w:left="640"/>
              <w:spacing w:after="0"/>
              <w:rPr>
                <w:sz w:val="20"/>
                <w:szCs w:val="20"/>
                <w:color w:val="auto"/>
              </w:rPr>
            </w:pPr>
            <w:r>
              <w:rPr>
                <w:rFonts w:ascii="Arial" w:cs="Arial" w:eastAsia="Arial" w:hAnsi="Arial"/>
                <w:sz w:val="18"/>
                <w:szCs w:val="18"/>
                <w:color w:val="auto"/>
              </w:rPr>
              <w:t>$7.7 billion–$98.8 billion</w:t>
            </w:r>
          </w:p>
        </w:tc>
      </w:tr>
      <w:tr>
        <w:trPr>
          <w:trHeight w:val="243"/>
        </w:trPr>
        <w:tc>
          <w:tcPr>
            <w:tcW w:w="2980" w:type="dxa"/>
            <w:vAlign w:val="bottom"/>
            <w:tcBorders>
              <w:right w:val="single" w:sz="8" w:color="A8BCBF"/>
            </w:tcBorders>
          </w:tcPr>
          <w:p>
            <w:pPr>
              <w:spacing w:after="0"/>
              <w:rPr>
                <w:sz w:val="21"/>
                <w:szCs w:val="21"/>
                <w:color w:val="auto"/>
              </w:rPr>
            </w:pPr>
          </w:p>
        </w:tc>
        <w:tc>
          <w:tcPr>
            <w:tcW w:w="2380" w:type="dxa"/>
            <w:vAlign w:val="bottom"/>
            <w:tcBorders>
              <w:right w:val="single" w:sz="8" w:color="A8BCBF"/>
            </w:tcBorders>
          </w:tcPr>
          <w:p>
            <w:pPr>
              <w:spacing w:after="0"/>
              <w:rPr>
                <w:sz w:val="21"/>
                <w:szCs w:val="21"/>
                <w:color w:val="auto"/>
              </w:rPr>
            </w:pPr>
          </w:p>
        </w:tc>
        <w:tc>
          <w:tcPr>
            <w:tcW w:w="1700" w:type="dxa"/>
            <w:vAlign w:val="bottom"/>
            <w:tcBorders>
              <w:right w:val="single" w:sz="8" w:color="A8BCBF"/>
            </w:tcBorders>
          </w:tcPr>
          <w:p>
            <w:pPr>
              <w:ind w:left="640"/>
              <w:spacing w:after="0"/>
              <w:rPr>
                <w:sz w:val="20"/>
                <w:szCs w:val="20"/>
                <w:color w:val="auto"/>
              </w:rPr>
            </w:pPr>
            <w:r>
              <w:rPr>
                <w:rFonts w:ascii="Arial" w:cs="Arial" w:eastAsia="Arial" w:hAnsi="Arial"/>
                <w:sz w:val="18"/>
                <w:szCs w:val="18"/>
                <w:color w:val="auto"/>
              </w:rPr>
              <w:t>Median:</w:t>
            </w:r>
          </w:p>
        </w:tc>
        <w:tc>
          <w:tcPr>
            <w:tcW w:w="3960" w:type="dxa"/>
            <w:vAlign w:val="bottom"/>
          </w:tcPr>
          <w:p>
            <w:pPr>
              <w:ind w:left="640"/>
              <w:spacing w:after="0"/>
              <w:rPr>
                <w:sz w:val="20"/>
                <w:szCs w:val="20"/>
                <w:color w:val="auto"/>
              </w:rPr>
            </w:pPr>
            <w:r>
              <w:rPr>
                <w:rFonts w:ascii="Arial" w:cs="Arial" w:eastAsia="Arial" w:hAnsi="Arial"/>
                <w:sz w:val="18"/>
                <w:szCs w:val="18"/>
                <w:color w:val="auto"/>
              </w:rPr>
              <w:t>$22.9 billion</w:t>
            </w:r>
          </w:p>
        </w:tc>
      </w:tr>
    </w:tbl>
    <w:p>
      <w:pPr>
        <w:spacing w:after="0" w:line="64" w:lineRule="exact"/>
        <w:rPr>
          <w:sz w:val="20"/>
          <w:szCs w:val="20"/>
          <w:color w:val="auto"/>
        </w:rPr>
      </w:pPr>
    </w:p>
    <w:p>
      <w:pPr>
        <w:ind w:left="120"/>
        <w:spacing w:after="0"/>
        <w:rPr>
          <w:sz w:val="20"/>
          <w:szCs w:val="20"/>
          <w:color w:val="auto"/>
        </w:rPr>
      </w:pPr>
      <w:r>
        <w:rPr>
          <w:rFonts w:ascii="Arial" w:cs="Arial" w:eastAsia="Arial" w:hAnsi="Arial"/>
          <w:sz w:val="11"/>
          <w:szCs w:val="11"/>
          <w:color w:val="auto"/>
        </w:rPr>
        <w:t>Data source: Bloomberg.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135890</wp:posOffset>
            </wp:positionV>
            <wp:extent cx="4808855" cy="26485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0885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47</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31"/>
          <w:szCs w:val="31"/>
          <w:color w:val="604F2B"/>
        </w:rPr>
        <w:t>Non-disclosure of certain metrics and targets</w:t>
      </w:r>
    </w:p>
    <w:p>
      <w:pPr>
        <w:spacing w:after="0" w:line="22"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The Company believes in transparency and strives to disclose as much information to shareholders as possible except in situations where we believe that providing full, or even limited, disclosure would be detrimental to the interests of shareholders. We believe certain disclosure could provide our competitors with insight regarding confidential business strategies without meaningfully adding to shareholders’ understanding of the metric.</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31"/>
          <w:szCs w:val="31"/>
          <w:color w:val="604F2B"/>
        </w:rPr>
        <w:t>Other aspects of our executive compensation</w:t>
      </w:r>
    </w:p>
    <w:p>
      <w:pPr>
        <w:spacing w:after="0" w:line="22"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b w:val="1"/>
          <w:bCs w:val="1"/>
          <w:color w:val="604F2B"/>
        </w:rPr>
        <w:t xml:space="preserve">Role of the Compensation Consultant: </w:t>
      </w:r>
      <w:r>
        <w:rPr>
          <w:rFonts w:ascii="Arial" w:cs="Arial" w:eastAsia="Arial" w:hAnsi="Arial"/>
          <w:sz w:val="18"/>
          <w:szCs w:val="18"/>
          <w:color w:val="000000"/>
        </w:rPr>
        <w:t>The Compensation Committee has the authority to retain compensation consulting firms</w:t>
      </w:r>
      <w:r>
        <w:rPr>
          <w:rFonts w:ascii="Arial" w:cs="Arial" w:eastAsia="Arial" w:hAnsi="Arial"/>
          <w:sz w:val="18"/>
          <w:szCs w:val="18"/>
          <w:b w:val="1"/>
          <w:bCs w:val="1"/>
          <w:color w:val="604F2B"/>
        </w:rPr>
        <w:t xml:space="preserve"> </w:t>
      </w:r>
      <w:r>
        <w:rPr>
          <w:rFonts w:ascii="Arial" w:cs="Arial" w:eastAsia="Arial" w:hAnsi="Arial"/>
          <w:sz w:val="18"/>
          <w:szCs w:val="18"/>
          <w:color w:val="000000"/>
        </w:rPr>
        <w:t>exclusively to assist it in the evaluation of senior executive officer and employee compensation and benefit programs. In 2020, the Compensation Committee retained Radford a nationally recognized independent compensation consulting firm, to assist in performing its duties. Radford does not provide services to the Company other than the advice on director and executive compensation that it may provide the Compensation Committee when requested. In 2020, Radford, at the direction of the Compensation Committee, completed a peer group review and competitive compensation analysis, in connection with the Compensation Committee’s review of compensation levels of our NEOs. The Compensation Committee retains sole responsibility for engaging its advisors.</w:t>
      </w:r>
    </w:p>
    <w:p>
      <w:pPr>
        <w:spacing w:after="0" w:line="154" w:lineRule="exact"/>
        <w:rPr>
          <w:sz w:val="20"/>
          <w:szCs w:val="20"/>
          <w:color w:val="auto"/>
        </w:rPr>
      </w:pPr>
    </w:p>
    <w:p>
      <w:pPr>
        <w:jc w:val="both"/>
        <w:ind w:left="120" w:right="220"/>
        <w:spacing w:after="0" w:line="253" w:lineRule="auto"/>
        <w:rPr>
          <w:sz w:val="20"/>
          <w:szCs w:val="20"/>
          <w:color w:val="auto"/>
        </w:rPr>
      </w:pPr>
      <w:r>
        <w:rPr>
          <w:rFonts w:ascii="Arial" w:cs="Arial" w:eastAsia="Arial" w:hAnsi="Arial"/>
          <w:sz w:val="18"/>
          <w:szCs w:val="18"/>
          <w:b w:val="1"/>
          <w:bCs w:val="1"/>
          <w:color w:val="604F2B"/>
        </w:rPr>
        <w:t xml:space="preserve">Independence of the Compensation Consultant: </w:t>
      </w:r>
      <w:r>
        <w:rPr>
          <w:rFonts w:ascii="Arial" w:cs="Arial" w:eastAsia="Arial" w:hAnsi="Arial"/>
          <w:sz w:val="18"/>
          <w:szCs w:val="18"/>
          <w:color w:val="000000"/>
        </w:rPr>
        <w:t>The Compensation Committee has determined that Radford is independent and the</w:t>
      </w:r>
      <w:r>
        <w:rPr>
          <w:rFonts w:ascii="Arial" w:cs="Arial" w:eastAsia="Arial" w:hAnsi="Arial"/>
          <w:sz w:val="18"/>
          <w:szCs w:val="18"/>
          <w:b w:val="1"/>
          <w:bCs w:val="1"/>
          <w:color w:val="604F2B"/>
        </w:rPr>
        <w:t xml:space="preserve"> </w:t>
      </w:r>
      <w:r>
        <w:rPr>
          <w:rFonts w:ascii="Arial" w:cs="Arial" w:eastAsia="Arial" w:hAnsi="Arial"/>
          <w:sz w:val="18"/>
          <w:szCs w:val="18"/>
          <w:color w:val="000000"/>
        </w:rPr>
        <w:t>services provided by Radford currently do not and during 2020 did not raise any conflict of interests. In reaching these conclusions, the Compensation Committee considered the factors set forth in Rule 10C-1 of the Exchange Act and applicable listing standards.</w:t>
      </w:r>
    </w:p>
    <w:p>
      <w:pPr>
        <w:spacing w:after="0" w:line="128"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b w:val="1"/>
          <w:bCs w:val="1"/>
          <w:color w:val="604F2B"/>
        </w:rPr>
        <w:t xml:space="preserve">Employment Agreements: </w:t>
      </w:r>
      <w:r>
        <w:rPr>
          <w:rFonts w:ascii="Arial" w:cs="Arial" w:eastAsia="Arial" w:hAnsi="Arial"/>
          <w:sz w:val="18"/>
          <w:szCs w:val="18"/>
          <w:color w:val="000000"/>
        </w:rPr>
        <w:t>We have a longstanding practice of entering into multi-year employment agreements with our senior</w:t>
      </w:r>
      <w:r>
        <w:rPr>
          <w:rFonts w:ascii="Arial" w:cs="Arial" w:eastAsia="Arial" w:hAnsi="Arial"/>
          <w:sz w:val="18"/>
          <w:szCs w:val="18"/>
          <w:b w:val="1"/>
          <w:bCs w:val="1"/>
          <w:color w:val="604F2B"/>
        </w:rPr>
        <w:t xml:space="preserve"> </w:t>
      </w:r>
      <w:r>
        <w:rPr>
          <w:rFonts w:ascii="Arial" w:cs="Arial" w:eastAsia="Arial" w:hAnsi="Arial"/>
          <w:sz w:val="18"/>
          <w:szCs w:val="18"/>
          <w:color w:val="000000"/>
        </w:rPr>
        <w:t>executive officers and senior management. We believe that employment agreements provide greater assurance of continuity and retention of critical creative and operating talent in a highly competitive industry. Employment agreements for our NEOs are approved by the Compensation Committee in consultation with the Compensation Committee’s independent compensation advisors, as needed. The employment agreements for the NEOs currently employed by the Company specify their base salary and provide that if the executive’s employment (i) terminates without cause at the Company’s election, (ii) is terminated by the executive following the Company’s material breach of the agreement or (iii) is terminated by the executive for good reason after a change in control, the executive will receive a separation payment as described in more detail under the heading “Potential Payments Upon Termination or Change in Control.” The employment agreements and the terms of equity awards also provide that vesting of some or all of an executive’s equity awards will accelerate upon certain events. Current employment agreements do not provide for any excise tax gross ups. We believe that providing for these benefits in these situations enhances the value of the business by preserving the continuity of management during potential change in control situations and by focusing our senior executives on our long-term priorities. Additional information regarding payments under these provisions is provided under the heading “Potential Payments Upon Termination or Change in Control.”</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31"/>
          <w:szCs w:val="31"/>
          <w:color w:val="604F2B"/>
        </w:rPr>
        <w:t>Compensation committee report</w:t>
      </w:r>
    </w:p>
    <w:p>
      <w:pPr>
        <w:spacing w:after="0" w:line="22" w:lineRule="exact"/>
        <w:rPr>
          <w:sz w:val="20"/>
          <w:szCs w:val="20"/>
          <w:color w:val="auto"/>
        </w:rPr>
      </w:pPr>
    </w:p>
    <w:p>
      <w:pPr>
        <w:ind w:left="120" w:right="120"/>
        <w:spacing w:after="0"/>
        <w:rPr>
          <w:sz w:val="20"/>
          <w:szCs w:val="20"/>
          <w:color w:val="auto"/>
        </w:rPr>
      </w:pPr>
      <w:r>
        <w:rPr>
          <w:rFonts w:ascii="Arial" w:cs="Arial" w:eastAsia="Arial" w:hAnsi="Arial"/>
          <w:sz w:val="18"/>
          <w:szCs w:val="18"/>
          <w:color w:val="auto"/>
        </w:rPr>
        <w:t>We have reviewed and discussed the Compensation Discussion and Analysis required by Item 402(b) of Regulation S-K with the Company’s management. Based on such review and discussion, we have recommended to the Board that the Compensation Discussion and Analysis be included in this Proxy Statement.</w:t>
      </w:r>
    </w:p>
    <w:p>
      <w:pPr>
        <w:spacing w:after="0" w:line="140"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Compensation Committee</w:t>
      </w:r>
    </w:p>
    <w:p>
      <w:pPr>
        <w:spacing w:after="0" w:line="202"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Betsy S. Atkins, Chair</w:t>
      </w:r>
    </w:p>
    <w:p>
      <w:pPr>
        <w:ind w:left="7380"/>
        <w:spacing w:after="0" w:line="234" w:lineRule="auto"/>
        <w:rPr>
          <w:sz w:val="20"/>
          <w:szCs w:val="20"/>
          <w:color w:val="auto"/>
        </w:rPr>
      </w:pPr>
      <w:r>
        <w:rPr>
          <w:rFonts w:ascii="Arial" w:cs="Arial" w:eastAsia="Arial" w:hAnsi="Arial"/>
          <w:sz w:val="18"/>
          <w:szCs w:val="18"/>
          <w:color w:val="auto"/>
        </w:rPr>
        <w:t>Richard J. Byrne</w:t>
      </w:r>
    </w:p>
    <w:p>
      <w:pPr>
        <w:ind w:left="7380"/>
        <w:spacing w:after="0" w:line="235" w:lineRule="auto"/>
        <w:rPr>
          <w:sz w:val="20"/>
          <w:szCs w:val="20"/>
          <w:color w:val="auto"/>
        </w:rPr>
      </w:pPr>
      <w:r>
        <w:rPr>
          <w:rFonts w:ascii="Arial" w:cs="Arial" w:eastAsia="Arial" w:hAnsi="Arial"/>
          <w:sz w:val="18"/>
          <w:szCs w:val="18"/>
          <w:color w:val="auto"/>
        </w:rPr>
        <w:t>Margaret J. Myers</w:t>
      </w:r>
    </w:p>
    <w:p>
      <w:pPr>
        <w:spacing w:after="0" w:line="1"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Clark T. Randt, Jr.</w:t>
      </w:r>
    </w:p>
    <w:p>
      <w:pPr>
        <w:spacing w:after="0" w:line="55" w:lineRule="exact"/>
        <w:rPr>
          <w:sz w:val="20"/>
          <w:szCs w:val="20"/>
          <w:color w:val="auto"/>
        </w:rPr>
      </w:pPr>
    </w:p>
    <w:p>
      <w:pPr>
        <w:ind w:left="800" w:hanging="684"/>
        <w:spacing w:after="0"/>
        <w:tabs>
          <w:tab w:leader="none" w:pos="800" w:val="left"/>
        </w:tabs>
        <w:numPr>
          <w:ilvl w:val="0"/>
          <w:numId w:val="71"/>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6995160" cy="905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905256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357505</wp:posOffset>
            </wp:positionV>
            <wp:extent cx="7029450" cy="91554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04F2B"/>
        </w:rPr>
        <w:t>2020 CEO COMPENSATION</w:t>
      </w:r>
    </w:p>
    <w:p>
      <w:pPr>
        <w:spacing w:after="0" w:line="1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As disclosed in the 2020 Proxy Statement, CEO Matt Maddox and the Company agreed to extend his employment contract through Dec. 16, 2022. In connection with this extension, the amended contract provided for a restricted stock grant that contemplated the vesting of a total of 45,000 shares at threshold performance, 100,000 shares at target performance, and 180,000 shares at maximum performance, based entirely on the attainment of numerous strategic performance conditions, including, among others, the extension of the Company’s Macau gaming concession, attaining certain performance metrics at Encore Boston Harbor, attaining Great Places to Work certification at Wynn Las Vegas, and advancement of certain of the Company’s business development efforts and conditioned generally on his continued employment.</w:t>
      </w:r>
    </w:p>
    <w:p>
      <w:pPr>
        <w:spacing w:after="0" w:line="176"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In August 2020, in order to provide equity incentives broadly throughout the Company as part of the aforementioned retention grant to over 400 employees in the U.S. and Macau, Mr. Maddox requested, and the Compensation Committee agreed to cancel the 140,000 of the maximum of 180,000 of such performance shares underlying Mr. Maddox’s restricted stock grant described above, valued at $6.4 million. As a result, only 40,000 shares of the original 180,000 performance shares subject to such restricted stock grant in February 2020 remain outstanding as of December 31, 2020 and subject to the original performance conditions described above. As such, the effective value of such performance-based restricted stock grant following such forfeiture was valued at $4.4 million, compared with the original grant value of $10.8 million.</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chart depicts the impact of the forfeiture mentioned above on the CEO’s compensation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134620</wp:posOffset>
            </wp:positionV>
            <wp:extent cx="4946015" cy="28892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46015" cy="2889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420" w:right="160"/>
        <w:spacing w:after="0" w:line="277" w:lineRule="auto"/>
        <w:rPr>
          <w:sz w:val="20"/>
          <w:szCs w:val="20"/>
          <w:color w:val="auto"/>
        </w:rPr>
      </w:pPr>
      <w:r>
        <w:rPr>
          <w:rFonts w:ascii="Arial" w:cs="Arial" w:eastAsia="Arial" w:hAnsi="Arial"/>
          <w:sz w:val="18"/>
          <w:szCs w:val="18"/>
          <w:color w:val="auto"/>
        </w:rPr>
        <w:t>2020 Proforma/Effective CEO Pay ($ in '000s)Stock Cash $24,572 $18,204 $22,444 $2,128 $16,076 $2,128 Matt Maddox 2020 Total Compensation (Summary Compensation Table) Matt Maddox 2020 Total Compensation (Proforma)</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53</w:t>
      </w:r>
    </w:p>
    <w:p>
      <w:pPr>
        <w:sectPr>
          <w:pgSz w:w="11900" w:h="16838" w:orient="portrait"/>
          <w:cols w:equalWidth="0" w:num="1">
            <w:col w:w="11140"/>
          </w:cols>
          <w:pgMar w:left="32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31"/>
          <w:szCs w:val="31"/>
          <w:color w:val="0A1E42"/>
        </w:rPr>
        <w:t>Summary compensation table</w:t>
      </w:r>
    </w:p>
    <w:p>
      <w:pPr>
        <w:spacing w:after="0" w:line="22" w:lineRule="exact"/>
        <w:rPr>
          <w:sz w:val="20"/>
          <w:szCs w:val="20"/>
          <w:color w:val="auto"/>
        </w:rPr>
      </w:pPr>
    </w:p>
    <w:p>
      <w:pPr>
        <w:ind w:left="120" w:right="600"/>
        <w:spacing w:after="0" w:line="246" w:lineRule="auto"/>
        <w:rPr>
          <w:sz w:val="20"/>
          <w:szCs w:val="20"/>
          <w:color w:val="auto"/>
        </w:rPr>
      </w:pPr>
      <w:r>
        <w:rPr>
          <w:rFonts w:ascii="Arial" w:cs="Arial" w:eastAsia="Arial" w:hAnsi="Arial"/>
          <w:sz w:val="18"/>
          <w:szCs w:val="18"/>
          <w:color w:val="auto"/>
        </w:rPr>
        <w:t>The table below summarizes the total compensation awarded to, earned by, or paid to, each of our NEOs for the fiscal years ended December 31, 2020, 2019 and 2018.</w:t>
      </w:r>
    </w:p>
    <w:p>
      <w:pPr>
        <w:spacing w:after="0" w:line="170"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The table below is presented in a manner consistent with Regulation S-K. As discussed throughout the Compensation Discussion and Analysis section of our proxy, in response to the effects of the COVID-19 pandemic, significant modifications were made to executive compensation in 2020 that resulted in a reduction of cash compensation for NEOs and a reduction of stock compensation for our Chief Executive Officer. Such changes are not reflected in the table below. In March of 2020, each of the NEOs elected to receive a portion of their remaining base salary compensation for the 2020 calendar year in the form of a restricted stock award (in lieu of cash) that vested on December 31, 2020. These elections reduced cash compensation for Mr. Maddox by approximately $1 .5 million, Mr. Billings by approximately $ 0.4 million, and Ms. Whittemore by approximately $ 0.2 million. The stock received in lieu of these reductions is included in Salary for 2020 in the table below. Further, In light of the pandemic, and in effort to provide equity incentives to management broadly throughout the Company, on August 18, 2020, Mr. Maddox requested, and the Compensation Committee agreed, to cancel 140,000 shares ($6.4 million at grant date value) of Mr. Maddox’s February 2020 share grant. This forfeiture is not reflected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23571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2357120"/>
                    </a:xfrm>
                    <a:prstGeom prst="rect">
                      <a:avLst/>
                    </a:prstGeom>
                    <a:noFill/>
                  </pic:spPr>
                </pic:pic>
              </a:graphicData>
            </a:graphic>
          </wp:anchor>
        </w:drawing>
      </w: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520" w:type="dxa"/>
            <w:vAlign w:val="bottom"/>
            <w:shd w:val="clear" w:color="auto" w:fill="F4F4E5"/>
          </w:tcPr>
          <w:p>
            <w:pPr>
              <w:spacing w:after="0"/>
              <w:rPr>
                <w:sz w:val="14"/>
                <w:szCs w:val="14"/>
                <w:color w:val="auto"/>
              </w:rPr>
            </w:pPr>
          </w:p>
        </w:tc>
        <w:tc>
          <w:tcPr>
            <w:tcW w:w="620" w:type="dxa"/>
            <w:vAlign w:val="bottom"/>
            <w:shd w:val="clear" w:color="auto" w:fill="F4F4E5"/>
          </w:tcPr>
          <w:p>
            <w:pPr>
              <w:spacing w:after="0"/>
              <w:rPr>
                <w:sz w:val="14"/>
                <w:szCs w:val="14"/>
                <w:color w:val="auto"/>
              </w:rPr>
            </w:pPr>
          </w:p>
        </w:tc>
        <w:tc>
          <w:tcPr>
            <w:tcW w:w="980" w:type="dxa"/>
            <w:vAlign w:val="bottom"/>
            <w:shd w:val="clear" w:color="auto" w:fill="F4F4E5"/>
          </w:tcPr>
          <w:p>
            <w:pPr>
              <w:spacing w:after="0"/>
              <w:rPr>
                <w:sz w:val="14"/>
                <w:szCs w:val="14"/>
                <w:color w:val="auto"/>
              </w:rPr>
            </w:pPr>
          </w:p>
        </w:tc>
        <w:tc>
          <w:tcPr>
            <w:tcW w:w="1060" w:type="dxa"/>
            <w:vAlign w:val="bottom"/>
            <w:shd w:val="clear" w:color="auto" w:fill="F4F4E5"/>
          </w:tcPr>
          <w:p>
            <w:pPr>
              <w:spacing w:after="0"/>
              <w:rPr>
                <w:sz w:val="14"/>
                <w:szCs w:val="14"/>
                <w:color w:val="auto"/>
              </w:rPr>
            </w:pPr>
          </w:p>
        </w:tc>
        <w:tc>
          <w:tcPr>
            <w:tcW w:w="1040" w:type="dxa"/>
            <w:vAlign w:val="bottom"/>
            <w:shd w:val="clear" w:color="auto" w:fill="F4F4E5"/>
          </w:tcPr>
          <w:p>
            <w:pPr>
              <w:spacing w:after="0"/>
              <w:rPr>
                <w:sz w:val="14"/>
                <w:szCs w:val="14"/>
                <w:color w:val="auto"/>
              </w:rPr>
            </w:pPr>
          </w:p>
        </w:tc>
        <w:tc>
          <w:tcPr>
            <w:tcW w:w="1360" w:type="dxa"/>
            <w:vAlign w:val="bottom"/>
            <w:shd w:val="clear" w:color="auto" w:fill="F4F4E5"/>
          </w:tcPr>
          <w:p>
            <w:pPr>
              <w:jc w:val="center"/>
              <w:spacing w:after="0"/>
              <w:rPr>
                <w:sz w:val="20"/>
                <w:szCs w:val="20"/>
                <w:color w:val="auto"/>
              </w:rPr>
            </w:pPr>
            <w:r>
              <w:rPr>
                <w:rFonts w:ascii="Arial" w:cs="Arial" w:eastAsia="Arial" w:hAnsi="Arial"/>
                <w:sz w:val="13"/>
                <w:szCs w:val="13"/>
                <w:b w:val="1"/>
                <w:bCs w:val="1"/>
                <w:color w:val="auto"/>
                <w:w w:val="95"/>
              </w:rPr>
              <w:t>NON-EQUITY</w:t>
            </w:r>
          </w:p>
        </w:tc>
        <w:tc>
          <w:tcPr>
            <w:tcW w:w="1400" w:type="dxa"/>
            <w:vAlign w:val="bottom"/>
            <w:shd w:val="clear" w:color="auto" w:fill="F4F4E5"/>
          </w:tcPr>
          <w:p>
            <w:pPr>
              <w:spacing w:after="0"/>
              <w:rPr>
                <w:sz w:val="14"/>
                <w:szCs w:val="14"/>
                <w:color w:val="auto"/>
              </w:rPr>
            </w:pPr>
          </w:p>
        </w:tc>
        <w:tc>
          <w:tcPr>
            <w:tcW w:w="1040" w:type="dxa"/>
            <w:vAlign w:val="bottom"/>
            <w:shd w:val="clear" w:color="auto" w:fill="F4F4E5"/>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520" w:type="dxa"/>
            <w:vAlign w:val="bottom"/>
            <w:vMerge w:val="restart"/>
            <w:shd w:val="clear" w:color="auto" w:fill="F4F4E5"/>
          </w:tcPr>
          <w:p>
            <w:pPr>
              <w:ind w:left="60"/>
              <w:spacing w:after="0"/>
              <w:rPr>
                <w:sz w:val="20"/>
                <w:szCs w:val="20"/>
                <w:color w:val="auto"/>
              </w:rPr>
            </w:pPr>
            <w:r>
              <w:rPr>
                <w:rFonts w:ascii="Arial" w:cs="Arial" w:eastAsia="Arial" w:hAnsi="Arial"/>
                <w:sz w:val="13"/>
                <w:szCs w:val="13"/>
                <w:b w:val="1"/>
                <w:bCs w:val="1"/>
                <w:color w:val="auto"/>
              </w:rPr>
              <w:t>NAME AND</w:t>
            </w:r>
          </w:p>
        </w:tc>
        <w:tc>
          <w:tcPr>
            <w:tcW w:w="620" w:type="dxa"/>
            <w:vAlign w:val="bottom"/>
            <w:shd w:val="clear" w:color="auto" w:fill="F4F4E5"/>
          </w:tcPr>
          <w:p>
            <w:pPr>
              <w:spacing w:after="0"/>
              <w:rPr>
                <w:sz w:val="11"/>
                <w:szCs w:val="11"/>
                <w:color w:val="auto"/>
              </w:rPr>
            </w:pPr>
          </w:p>
        </w:tc>
        <w:tc>
          <w:tcPr>
            <w:tcW w:w="980" w:type="dxa"/>
            <w:vAlign w:val="bottom"/>
            <w:vMerge w:val="restart"/>
            <w:shd w:val="clear" w:color="auto" w:fill="F4F4E5"/>
          </w:tcPr>
          <w:p>
            <w:pPr>
              <w:jc w:val="center"/>
              <w:ind w:right="17"/>
              <w:spacing w:after="0"/>
              <w:rPr>
                <w:sz w:val="20"/>
                <w:szCs w:val="20"/>
                <w:color w:val="auto"/>
              </w:rPr>
            </w:pPr>
            <w:r>
              <w:rPr>
                <w:rFonts w:ascii="Arial" w:cs="Arial" w:eastAsia="Arial" w:hAnsi="Arial"/>
                <w:sz w:val="13"/>
                <w:szCs w:val="13"/>
                <w:b w:val="1"/>
                <w:bCs w:val="1"/>
                <w:color w:val="auto"/>
                <w:w w:val="95"/>
              </w:rPr>
              <w:t>SALARY ($)</w:t>
            </w:r>
          </w:p>
        </w:tc>
        <w:tc>
          <w:tcPr>
            <w:tcW w:w="106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104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OPTION</w:t>
            </w:r>
          </w:p>
        </w:tc>
        <w:tc>
          <w:tcPr>
            <w:tcW w:w="136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5"/>
              </w:rPr>
              <w:t>INCENTIVE</w:t>
            </w:r>
          </w:p>
        </w:tc>
        <w:tc>
          <w:tcPr>
            <w:tcW w:w="140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ALL OTHER</w:t>
            </w:r>
          </w:p>
        </w:tc>
        <w:tc>
          <w:tcPr>
            <w:tcW w:w="1040" w:type="dxa"/>
            <w:vAlign w:val="bottom"/>
            <w:shd w:val="clear" w:color="auto" w:fill="F4F4E5"/>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520" w:type="dxa"/>
            <w:vAlign w:val="bottom"/>
            <w:vMerge w:val="continue"/>
            <w:shd w:val="clear" w:color="auto" w:fill="F4F4E5"/>
          </w:tcPr>
          <w:p>
            <w:pPr>
              <w:spacing w:after="0"/>
              <w:rPr>
                <w:sz w:val="5"/>
                <w:szCs w:val="5"/>
                <w:color w:val="auto"/>
              </w:rPr>
            </w:pPr>
          </w:p>
        </w:tc>
        <w:tc>
          <w:tcPr>
            <w:tcW w:w="620" w:type="dxa"/>
            <w:vAlign w:val="bottom"/>
            <w:vMerge w:val="restart"/>
            <w:shd w:val="clear" w:color="auto" w:fill="F4F4E5"/>
          </w:tcPr>
          <w:p>
            <w:pPr>
              <w:ind w:left="140"/>
              <w:spacing w:after="0" w:line="135" w:lineRule="exact"/>
              <w:rPr>
                <w:sz w:val="20"/>
                <w:szCs w:val="20"/>
                <w:color w:val="auto"/>
              </w:rPr>
            </w:pPr>
            <w:r>
              <w:rPr>
                <w:rFonts w:ascii="Arial" w:cs="Arial" w:eastAsia="Arial" w:hAnsi="Arial"/>
                <w:sz w:val="13"/>
                <w:szCs w:val="13"/>
                <w:b w:val="1"/>
                <w:bCs w:val="1"/>
                <w:color w:val="auto"/>
              </w:rPr>
              <w:t>YEAR</w:t>
            </w:r>
          </w:p>
        </w:tc>
        <w:tc>
          <w:tcPr>
            <w:tcW w:w="980" w:type="dxa"/>
            <w:vAlign w:val="bottom"/>
            <w:vMerge w:val="continue"/>
            <w:shd w:val="clear" w:color="auto" w:fill="F4F4E5"/>
          </w:tcPr>
          <w:p>
            <w:pPr>
              <w:spacing w:after="0"/>
              <w:rPr>
                <w:sz w:val="5"/>
                <w:szCs w:val="5"/>
                <w:color w:val="auto"/>
              </w:rPr>
            </w:pPr>
          </w:p>
        </w:tc>
        <w:tc>
          <w:tcPr>
            <w:tcW w:w="1060" w:type="dxa"/>
            <w:vAlign w:val="bottom"/>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4"/>
              </w:rPr>
              <w:t>AWARDS ($)</w:t>
            </w:r>
          </w:p>
        </w:tc>
        <w:tc>
          <w:tcPr>
            <w:tcW w:w="1040" w:type="dxa"/>
            <w:vAlign w:val="bottom"/>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4"/>
              </w:rPr>
              <w:t>AWARDS ($)</w:t>
            </w:r>
          </w:p>
        </w:tc>
        <w:tc>
          <w:tcPr>
            <w:tcW w:w="1360" w:type="dxa"/>
            <w:vAlign w:val="bottom"/>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5"/>
              </w:rPr>
              <w:t>PLAN</w:t>
            </w:r>
          </w:p>
        </w:tc>
        <w:tc>
          <w:tcPr>
            <w:tcW w:w="1400" w:type="dxa"/>
            <w:vAlign w:val="bottom"/>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COMPENSATION</w:t>
            </w:r>
          </w:p>
        </w:tc>
        <w:tc>
          <w:tcPr>
            <w:tcW w:w="1040" w:type="dxa"/>
            <w:vAlign w:val="bottom"/>
            <w:vMerge w:val="restart"/>
            <w:shd w:val="clear" w:color="auto" w:fill="F4F4E5"/>
          </w:tcPr>
          <w:p>
            <w:pPr>
              <w:ind w:left="220"/>
              <w:spacing w:after="0" w:line="135" w:lineRule="exact"/>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68"/>
        </w:trPr>
        <w:tc>
          <w:tcPr>
            <w:tcW w:w="3520" w:type="dxa"/>
            <w:vAlign w:val="bottom"/>
            <w:vMerge w:val="restart"/>
            <w:shd w:val="clear" w:color="auto" w:fill="F4F4E5"/>
          </w:tcPr>
          <w:p>
            <w:pPr>
              <w:ind w:left="60"/>
              <w:spacing w:after="0"/>
              <w:rPr>
                <w:sz w:val="20"/>
                <w:szCs w:val="20"/>
                <w:color w:val="auto"/>
              </w:rPr>
            </w:pPr>
            <w:r>
              <w:rPr>
                <w:rFonts w:ascii="Arial" w:cs="Arial" w:eastAsia="Arial" w:hAnsi="Arial"/>
                <w:sz w:val="13"/>
                <w:szCs w:val="13"/>
                <w:b w:val="1"/>
                <w:bCs w:val="1"/>
                <w:color w:val="auto"/>
              </w:rPr>
              <w:t>PRINCIPAL POSITION</w:t>
            </w:r>
          </w:p>
        </w:tc>
        <w:tc>
          <w:tcPr>
            <w:tcW w:w="620" w:type="dxa"/>
            <w:vAlign w:val="bottom"/>
            <w:vMerge w:val="continue"/>
            <w:shd w:val="clear" w:color="auto" w:fill="F4F4E5"/>
          </w:tcPr>
          <w:p>
            <w:pPr>
              <w:spacing w:after="0"/>
              <w:rPr>
                <w:sz w:val="5"/>
                <w:szCs w:val="5"/>
                <w:color w:val="auto"/>
              </w:rPr>
            </w:pPr>
          </w:p>
        </w:tc>
        <w:tc>
          <w:tcPr>
            <w:tcW w:w="980" w:type="dxa"/>
            <w:vAlign w:val="bottom"/>
            <w:vMerge w:val="restart"/>
            <w:shd w:val="clear" w:color="auto" w:fill="F4F4E5"/>
          </w:tcPr>
          <w:p>
            <w:pPr>
              <w:jc w:val="right"/>
              <w:ind w:right="377"/>
              <w:spacing w:after="0"/>
              <w:rPr>
                <w:sz w:val="20"/>
                <w:szCs w:val="20"/>
                <w:color w:val="auto"/>
              </w:rPr>
            </w:pPr>
            <w:r>
              <w:rPr>
                <w:rFonts w:ascii="Arial" w:cs="Arial" w:eastAsia="Arial" w:hAnsi="Arial"/>
                <w:sz w:val="13"/>
                <w:szCs w:val="13"/>
                <w:b w:val="1"/>
                <w:bCs w:val="1"/>
                <w:color w:val="auto"/>
              </w:rPr>
              <w:t>(1)</w:t>
            </w:r>
          </w:p>
        </w:tc>
        <w:tc>
          <w:tcPr>
            <w:tcW w:w="1060" w:type="dxa"/>
            <w:vAlign w:val="bottom"/>
            <w:vMerge w:val="continue"/>
            <w:shd w:val="clear" w:color="auto" w:fill="F4F4E5"/>
          </w:tcPr>
          <w:p>
            <w:pPr>
              <w:spacing w:after="0"/>
              <w:rPr>
                <w:sz w:val="5"/>
                <w:szCs w:val="5"/>
                <w:color w:val="auto"/>
              </w:rPr>
            </w:pPr>
          </w:p>
        </w:tc>
        <w:tc>
          <w:tcPr>
            <w:tcW w:w="1040" w:type="dxa"/>
            <w:vAlign w:val="bottom"/>
            <w:vMerge w:val="continue"/>
            <w:shd w:val="clear" w:color="auto" w:fill="F4F4E5"/>
          </w:tcPr>
          <w:p>
            <w:pPr>
              <w:spacing w:after="0"/>
              <w:rPr>
                <w:sz w:val="5"/>
                <w:szCs w:val="5"/>
                <w:color w:val="auto"/>
              </w:rPr>
            </w:pPr>
          </w:p>
        </w:tc>
        <w:tc>
          <w:tcPr>
            <w:tcW w:w="1360" w:type="dxa"/>
            <w:vAlign w:val="bottom"/>
            <w:vMerge w:val="continue"/>
            <w:shd w:val="clear" w:color="auto" w:fill="F4F4E5"/>
          </w:tcPr>
          <w:p>
            <w:pPr>
              <w:spacing w:after="0"/>
              <w:rPr>
                <w:sz w:val="5"/>
                <w:szCs w:val="5"/>
                <w:color w:val="auto"/>
              </w:rPr>
            </w:pPr>
          </w:p>
        </w:tc>
        <w:tc>
          <w:tcPr>
            <w:tcW w:w="1400" w:type="dxa"/>
            <w:vAlign w:val="bottom"/>
            <w:vMerge w:val="continue"/>
            <w:shd w:val="clear" w:color="auto" w:fill="F4F4E5"/>
          </w:tcPr>
          <w:p>
            <w:pPr>
              <w:spacing w:after="0"/>
              <w:rPr>
                <w:sz w:val="5"/>
                <w:szCs w:val="5"/>
                <w:color w:val="auto"/>
              </w:rPr>
            </w:pPr>
          </w:p>
        </w:tc>
        <w:tc>
          <w:tcPr>
            <w:tcW w:w="1040" w:type="dxa"/>
            <w:vAlign w:val="bottom"/>
            <w:vMerge w:val="continue"/>
            <w:shd w:val="clear" w:color="auto" w:fill="F4F4E5"/>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3520" w:type="dxa"/>
            <w:vAlign w:val="bottom"/>
            <w:vMerge w:val="continue"/>
            <w:shd w:val="clear" w:color="auto" w:fill="F4F4E5"/>
          </w:tcPr>
          <w:p>
            <w:pPr>
              <w:spacing w:after="0"/>
              <w:rPr>
                <w:sz w:val="8"/>
                <w:szCs w:val="8"/>
                <w:color w:val="auto"/>
              </w:rPr>
            </w:pPr>
          </w:p>
        </w:tc>
        <w:tc>
          <w:tcPr>
            <w:tcW w:w="620" w:type="dxa"/>
            <w:vAlign w:val="bottom"/>
            <w:shd w:val="clear" w:color="auto" w:fill="F4F4E5"/>
          </w:tcPr>
          <w:p>
            <w:pPr>
              <w:spacing w:after="0"/>
              <w:rPr>
                <w:sz w:val="8"/>
                <w:szCs w:val="8"/>
                <w:color w:val="auto"/>
              </w:rPr>
            </w:pPr>
          </w:p>
        </w:tc>
        <w:tc>
          <w:tcPr>
            <w:tcW w:w="980" w:type="dxa"/>
            <w:vAlign w:val="bottom"/>
            <w:vMerge w:val="continue"/>
            <w:shd w:val="clear" w:color="auto" w:fill="F4F4E5"/>
          </w:tcPr>
          <w:p>
            <w:pPr>
              <w:spacing w:after="0"/>
              <w:rPr>
                <w:sz w:val="8"/>
                <w:szCs w:val="8"/>
                <w:color w:val="auto"/>
              </w:rPr>
            </w:pPr>
          </w:p>
        </w:tc>
        <w:tc>
          <w:tcPr>
            <w:tcW w:w="1060" w:type="dxa"/>
            <w:vAlign w:val="bottom"/>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4"/>
              </w:rPr>
              <w:t>(2)(3)</w:t>
            </w:r>
          </w:p>
        </w:tc>
        <w:tc>
          <w:tcPr>
            <w:tcW w:w="1040" w:type="dxa"/>
            <w:vAlign w:val="bottom"/>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rPr>
              <w:t>(3)(4)</w:t>
            </w:r>
          </w:p>
        </w:tc>
        <w:tc>
          <w:tcPr>
            <w:tcW w:w="1360" w:type="dxa"/>
            <w:vAlign w:val="bottom"/>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COMPENSATION</w:t>
            </w:r>
          </w:p>
        </w:tc>
        <w:tc>
          <w:tcPr>
            <w:tcW w:w="1400" w:type="dxa"/>
            <w:vAlign w:val="bottom"/>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rPr>
              <w:t>($)(6)</w:t>
            </w:r>
          </w:p>
        </w:tc>
        <w:tc>
          <w:tcPr>
            <w:tcW w:w="1040" w:type="dxa"/>
            <w:vAlign w:val="bottom"/>
            <w:shd w:val="clear" w:color="auto" w:fill="F4F4E5"/>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3520" w:type="dxa"/>
            <w:vAlign w:val="bottom"/>
            <w:shd w:val="clear" w:color="auto" w:fill="F4F4E5"/>
          </w:tcPr>
          <w:p>
            <w:pPr>
              <w:spacing w:after="0"/>
              <w:rPr>
                <w:sz w:val="3"/>
                <w:szCs w:val="3"/>
                <w:color w:val="auto"/>
              </w:rPr>
            </w:pPr>
          </w:p>
        </w:tc>
        <w:tc>
          <w:tcPr>
            <w:tcW w:w="620" w:type="dxa"/>
            <w:vAlign w:val="bottom"/>
            <w:shd w:val="clear" w:color="auto" w:fill="F4F4E5"/>
          </w:tcPr>
          <w:p>
            <w:pPr>
              <w:spacing w:after="0"/>
              <w:rPr>
                <w:sz w:val="3"/>
                <w:szCs w:val="3"/>
                <w:color w:val="auto"/>
              </w:rPr>
            </w:pPr>
          </w:p>
        </w:tc>
        <w:tc>
          <w:tcPr>
            <w:tcW w:w="980" w:type="dxa"/>
            <w:vAlign w:val="bottom"/>
            <w:shd w:val="clear" w:color="auto" w:fill="F4F4E5"/>
          </w:tcPr>
          <w:p>
            <w:pPr>
              <w:spacing w:after="0"/>
              <w:rPr>
                <w:sz w:val="3"/>
                <w:szCs w:val="3"/>
                <w:color w:val="auto"/>
              </w:rPr>
            </w:pPr>
          </w:p>
        </w:tc>
        <w:tc>
          <w:tcPr>
            <w:tcW w:w="1060" w:type="dxa"/>
            <w:vAlign w:val="bottom"/>
            <w:vMerge w:val="continue"/>
            <w:shd w:val="clear" w:color="auto" w:fill="F4F4E5"/>
          </w:tcPr>
          <w:p>
            <w:pPr>
              <w:spacing w:after="0"/>
              <w:rPr>
                <w:sz w:val="3"/>
                <w:szCs w:val="3"/>
                <w:color w:val="auto"/>
              </w:rPr>
            </w:pPr>
          </w:p>
        </w:tc>
        <w:tc>
          <w:tcPr>
            <w:tcW w:w="1040" w:type="dxa"/>
            <w:vAlign w:val="bottom"/>
            <w:vMerge w:val="continue"/>
            <w:shd w:val="clear" w:color="auto" w:fill="F4F4E5"/>
          </w:tcPr>
          <w:p>
            <w:pPr>
              <w:spacing w:after="0"/>
              <w:rPr>
                <w:sz w:val="3"/>
                <w:szCs w:val="3"/>
                <w:color w:val="auto"/>
              </w:rPr>
            </w:pPr>
          </w:p>
        </w:tc>
        <w:tc>
          <w:tcPr>
            <w:tcW w:w="1360" w:type="dxa"/>
            <w:vAlign w:val="bottom"/>
            <w:vMerge w:val="continue"/>
            <w:shd w:val="clear" w:color="auto" w:fill="F4F4E5"/>
          </w:tcPr>
          <w:p>
            <w:pPr>
              <w:spacing w:after="0"/>
              <w:rPr>
                <w:sz w:val="3"/>
                <w:szCs w:val="3"/>
                <w:color w:val="auto"/>
              </w:rPr>
            </w:pPr>
          </w:p>
        </w:tc>
        <w:tc>
          <w:tcPr>
            <w:tcW w:w="1400" w:type="dxa"/>
            <w:vAlign w:val="bottom"/>
            <w:vMerge w:val="continue"/>
            <w:shd w:val="clear" w:color="auto" w:fill="F4F4E5"/>
          </w:tcPr>
          <w:p>
            <w:pPr>
              <w:spacing w:after="0"/>
              <w:rPr>
                <w:sz w:val="3"/>
                <w:szCs w:val="3"/>
                <w:color w:val="auto"/>
              </w:rPr>
            </w:pPr>
          </w:p>
        </w:tc>
        <w:tc>
          <w:tcPr>
            <w:tcW w:w="1040" w:type="dxa"/>
            <w:vAlign w:val="bottom"/>
            <w:shd w:val="clear" w:color="auto" w:fill="F4F4E5"/>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3520" w:type="dxa"/>
            <w:vAlign w:val="bottom"/>
            <w:shd w:val="clear" w:color="auto" w:fill="F4F4E5"/>
          </w:tcPr>
          <w:p>
            <w:pPr>
              <w:spacing w:after="0"/>
              <w:rPr>
                <w:sz w:val="16"/>
                <w:szCs w:val="16"/>
                <w:color w:val="auto"/>
              </w:rPr>
            </w:pPr>
          </w:p>
        </w:tc>
        <w:tc>
          <w:tcPr>
            <w:tcW w:w="620" w:type="dxa"/>
            <w:vAlign w:val="bottom"/>
            <w:shd w:val="clear" w:color="auto" w:fill="F4F4E5"/>
          </w:tcPr>
          <w:p>
            <w:pPr>
              <w:spacing w:after="0"/>
              <w:rPr>
                <w:sz w:val="16"/>
                <w:szCs w:val="16"/>
                <w:color w:val="auto"/>
              </w:rPr>
            </w:pPr>
          </w:p>
        </w:tc>
        <w:tc>
          <w:tcPr>
            <w:tcW w:w="980" w:type="dxa"/>
            <w:vAlign w:val="bottom"/>
            <w:shd w:val="clear" w:color="auto" w:fill="F4F4E5"/>
          </w:tcPr>
          <w:p>
            <w:pPr>
              <w:spacing w:after="0"/>
              <w:rPr>
                <w:sz w:val="16"/>
                <w:szCs w:val="16"/>
                <w:color w:val="auto"/>
              </w:rPr>
            </w:pPr>
          </w:p>
        </w:tc>
        <w:tc>
          <w:tcPr>
            <w:tcW w:w="1060" w:type="dxa"/>
            <w:vAlign w:val="bottom"/>
            <w:shd w:val="clear" w:color="auto" w:fill="F4F4E5"/>
          </w:tcPr>
          <w:p>
            <w:pPr>
              <w:spacing w:after="0"/>
              <w:rPr>
                <w:sz w:val="16"/>
                <w:szCs w:val="16"/>
                <w:color w:val="auto"/>
              </w:rPr>
            </w:pPr>
          </w:p>
        </w:tc>
        <w:tc>
          <w:tcPr>
            <w:tcW w:w="1040" w:type="dxa"/>
            <w:vAlign w:val="bottom"/>
            <w:shd w:val="clear" w:color="auto" w:fill="F4F4E5"/>
          </w:tcPr>
          <w:p>
            <w:pPr>
              <w:spacing w:after="0"/>
              <w:rPr>
                <w:sz w:val="16"/>
                <w:szCs w:val="16"/>
                <w:color w:val="auto"/>
              </w:rPr>
            </w:pPr>
          </w:p>
        </w:tc>
        <w:tc>
          <w:tcPr>
            <w:tcW w:w="1360" w:type="dxa"/>
            <w:vAlign w:val="bottom"/>
            <w:shd w:val="clear" w:color="auto" w:fill="F4F4E5"/>
          </w:tcPr>
          <w:p>
            <w:pPr>
              <w:jc w:val="center"/>
              <w:spacing w:after="0"/>
              <w:rPr>
                <w:sz w:val="20"/>
                <w:szCs w:val="20"/>
                <w:color w:val="auto"/>
              </w:rPr>
            </w:pPr>
            <w:r>
              <w:rPr>
                <w:rFonts w:ascii="Arial" w:cs="Arial" w:eastAsia="Arial" w:hAnsi="Arial"/>
                <w:sz w:val="13"/>
                <w:szCs w:val="13"/>
                <w:b w:val="1"/>
                <w:bCs w:val="1"/>
                <w:color w:val="auto"/>
                <w:w w:val="95"/>
              </w:rPr>
              <w:t>($ )(5)</w:t>
            </w:r>
          </w:p>
        </w:tc>
        <w:tc>
          <w:tcPr>
            <w:tcW w:w="1400" w:type="dxa"/>
            <w:vAlign w:val="bottom"/>
            <w:shd w:val="clear" w:color="auto" w:fill="F4F4E5"/>
          </w:tcPr>
          <w:p>
            <w:pPr>
              <w:spacing w:after="0"/>
              <w:rPr>
                <w:sz w:val="16"/>
                <w:szCs w:val="16"/>
                <w:color w:val="auto"/>
              </w:rPr>
            </w:pPr>
          </w:p>
        </w:tc>
        <w:tc>
          <w:tcPr>
            <w:tcW w:w="1040" w:type="dxa"/>
            <w:vAlign w:val="bottom"/>
            <w:shd w:val="clear" w:color="auto" w:fill="F4F4E5"/>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3520" w:type="dxa"/>
            <w:vAlign w:val="bottom"/>
          </w:tcPr>
          <w:p>
            <w:pPr>
              <w:spacing w:after="0"/>
              <w:rPr>
                <w:sz w:val="5"/>
                <w:szCs w:val="5"/>
                <w:color w:val="auto"/>
              </w:rPr>
            </w:pPr>
          </w:p>
        </w:tc>
        <w:tc>
          <w:tcPr>
            <w:tcW w:w="620" w:type="dxa"/>
            <w:vAlign w:val="bottom"/>
            <w:shd w:val="clear" w:color="auto" w:fill="EAEFF2"/>
          </w:tcPr>
          <w:p>
            <w:pPr>
              <w:spacing w:after="0"/>
              <w:rPr>
                <w:sz w:val="5"/>
                <w:szCs w:val="5"/>
                <w:color w:val="auto"/>
              </w:rPr>
            </w:pPr>
          </w:p>
        </w:tc>
        <w:tc>
          <w:tcPr>
            <w:tcW w:w="980" w:type="dxa"/>
            <w:vAlign w:val="bottom"/>
            <w:shd w:val="clear" w:color="auto" w:fill="EAEFF2"/>
          </w:tcPr>
          <w:p>
            <w:pPr>
              <w:spacing w:after="0"/>
              <w:rPr>
                <w:sz w:val="5"/>
                <w:szCs w:val="5"/>
                <w:color w:val="auto"/>
              </w:rPr>
            </w:pPr>
          </w:p>
        </w:tc>
        <w:tc>
          <w:tcPr>
            <w:tcW w:w="1060" w:type="dxa"/>
            <w:vAlign w:val="bottom"/>
            <w:shd w:val="clear" w:color="auto" w:fill="EAEFF2"/>
          </w:tcPr>
          <w:p>
            <w:pPr>
              <w:spacing w:after="0"/>
              <w:rPr>
                <w:sz w:val="5"/>
                <w:szCs w:val="5"/>
                <w:color w:val="auto"/>
              </w:rPr>
            </w:pPr>
          </w:p>
        </w:tc>
        <w:tc>
          <w:tcPr>
            <w:tcW w:w="1040" w:type="dxa"/>
            <w:vAlign w:val="bottom"/>
            <w:shd w:val="clear" w:color="auto" w:fill="EAEFF2"/>
          </w:tcPr>
          <w:p>
            <w:pPr>
              <w:spacing w:after="0"/>
              <w:rPr>
                <w:sz w:val="5"/>
                <w:szCs w:val="5"/>
                <w:color w:val="auto"/>
              </w:rPr>
            </w:pPr>
          </w:p>
        </w:tc>
        <w:tc>
          <w:tcPr>
            <w:tcW w:w="1360" w:type="dxa"/>
            <w:vAlign w:val="bottom"/>
            <w:shd w:val="clear" w:color="auto" w:fill="EAEFF2"/>
          </w:tcPr>
          <w:p>
            <w:pPr>
              <w:spacing w:after="0"/>
              <w:rPr>
                <w:sz w:val="5"/>
                <w:szCs w:val="5"/>
                <w:color w:val="auto"/>
              </w:rPr>
            </w:pPr>
          </w:p>
        </w:tc>
        <w:tc>
          <w:tcPr>
            <w:tcW w:w="1400" w:type="dxa"/>
            <w:vAlign w:val="bottom"/>
            <w:shd w:val="clear" w:color="auto" w:fill="EAEFF2"/>
          </w:tcPr>
          <w:p>
            <w:pPr>
              <w:spacing w:after="0"/>
              <w:rPr>
                <w:sz w:val="5"/>
                <w:szCs w:val="5"/>
                <w:color w:val="auto"/>
              </w:rPr>
            </w:pPr>
          </w:p>
        </w:tc>
        <w:tc>
          <w:tcPr>
            <w:tcW w:w="1040" w:type="dxa"/>
            <w:vAlign w:val="bottom"/>
            <w:shd w:val="clear" w:color="auto" w:fill="EAEFF2"/>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120" w:type="dxa"/>
        <w:tblCellMar>
          <w:top w:w="0" w:type="dxa"/>
          <w:left w:w="0" w:type="dxa"/>
          <w:bottom w:w="0" w:type="dxa"/>
          <w:right w:w="0" w:type="dxa"/>
        </w:tblCellMar>
      </w:tblPr>
      <w:tr>
        <w:trPr>
          <w:trHeight w:val="211"/>
        </w:trPr>
        <w:tc>
          <w:tcPr>
            <w:tcW w:w="3520" w:type="dxa"/>
            <w:vAlign w:val="bottom"/>
            <w:vMerge w:val="restart"/>
          </w:tcPr>
          <w:p>
            <w:pPr>
              <w:ind w:left="80"/>
              <w:spacing w:after="0"/>
              <w:rPr>
                <w:sz w:val="20"/>
                <w:szCs w:val="20"/>
                <w:color w:val="auto"/>
              </w:rPr>
            </w:pPr>
            <w:r>
              <w:rPr>
                <w:rFonts w:ascii="Arial" w:cs="Arial" w:eastAsia="Arial" w:hAnsi="Arial"/>
                <w:sz w:val="13"/>
                <w:szCs w:val="13"/>
                <w:b w:val="1"/>
                <w:bCs w:val="1"/>
                <w:color w:val="auto"/>
              </w:rPr>
              <w:t>MATT MADDOX</w:t>
            </w:r>
          </w:p>
        </w:tc>
        <w:tc>
          <w:tcPr>
            <w:tcW w:w="100" w:type="dxa"/>
            <w:vAlign w:val="bottom"/>
            <w:shd w:val="clear" w:color="auto" w:fill="EAEFF2"/>
          </w:tcPr>
          <w:p>
            <w:pPr>
              <w:spacing w:after="0"/>
              <w:rPr>
                <w:sz w:val="18"/>
                <w:szCs w:val="18"/>
                <w:color w:val="auto"/>
              </w:rPr>
            </w:pPr>
          </w:p>
        </w:tc>
        <w:tc>
          <w:tcPr>
            <w:tcW w:w="4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2020</w:t>
            </w:r>
          </w:p>
        </w:tc>
        <w:tc>
          <w:tcPr>
            <w:tcW w:w="1060" w:type="dxa"/>
            <w:vAlign w:val="bottom"/>
            <w:shd w:val="clear" w:color="auto" w:fill="EAEFF2"/>
          </w:tcPr>
          <w:p>
            <w:pPr>
              <w:jc w:val="center"/>
              <w:spacing w:after="0"/>
              <w:rPr>
                <w:sz w:val="20"/>
                <w:szCs w:val="20"/>
                <w:color w:val="auto"/>
              </w:rPr>
            </w:pPr>
            <w:r>
              <w:rPr>
                <w:rFonts w:ascii="Arial" w:cs="Arial" w:eastAsia="Arial" w:hAnsi="Arial"/>
                <w:sz w:val="14"/>
                <w:szCs w:val="14"/>
                <w:color w:val="auto"/>
              </w:rPr>
              <w:t>$2,000,000</w:t>
            </w:r>
          </w:p>
        </w:tc>
        <w:tc>
          <w:tcPr>
            <w:tcW w:w="1100" w:type="dxa"/>
            <w:vAlign w:val="bottom"/>
            <w:shd w:val="clear" w:color="auto" w:fill="EAEFF2"/>
          </w:tcPr>
          <w:p>
            <w:pPr>
              <w:jc w:val="center"/>
              <w:spacing w:after="0"/>
              <w:rPr>
                <w:sz w:val="20"/>
                <w:szCs w:val="20"/>
                <w:color w:val="auto"/>
              </w:rPr>
            </w:pPr>
            <w:r>
              <w:rPr>
                <w:rFonts w:ascii="Arial" w:cs="Arial" w:eastAsia="Arial" w:hAnsi="Arial"/>
                <w:sz w:val="14"/>
                <w:szCs w:val="14"/>
                <w:color w:val="auto"/>
              </w:rPr>
              <w:t>$20,283,231</w:t>
            </w:r>
          </w:p>
        </w:tc>
        <w:tc>
          <w:tcPr>
            <w:tcW w:w="1100" w:type="dxa"/>
            <w:vAlign w:val="bottom"/>
            <w:shd w:val="clear" w:color="auto" w:fill="EAEFF2"/>
          </w:tcPr>
          <w:p>
            <w:pPr>
              <w:jc w:val="center"/>
              <w:ind w:right="28"/>
              <w:spacing w:after="0"/>
              <w:rPr>
                <w:sz w:val="20"/>
                <w:szCs w:val="20"/>
                <w:color w:val="auto"/>
              </w:rPr>
            </w:pPr>
            <w:r>
              <w:rPr>
                <w:rFonts w:ascii="Arial" w:cs="Arial" w:eastAsia="Arial" w:hAnsi="Arial"/>
                <w:sz w:val="14"/>
                <w:szCs w:val="14"/>
                <w:color w:val="auto"/>
              </w:rPr>
              <w:t>$699,218</w:t>
            </w:r>
          </w:p>
        </w:tc>
        <w:tc>
          <w:tcPr>
            <w:tcW w:w="1280" w:type="dxa"/>
            <w:vAlign w:val="bottom"/>
            <w:shd w:val="clear" w:color="auto" w:fill="EAEFF2"/>
          </w:tcPr>
          <w:p>
            <w:pPr>
              <w:jc w:val="center"/>
              <w:ind w:right="48"/>
              <w:spacing w:after="0"/>
              <w:rPr>
                <w:sz w:val="20"/>
                <w:szCs w:val="20"/>
                <w:color w:val="auto"/>
              </w:rPr>
            </w:pPr>
            <w:r>
              <w:rPr>
                <w:rFonts w:ascii="Arial" w:cs="Arial" w:eastAsia="Arial" w:hAnsi="Arial"/>
                <w:sz w:val="14"/>
                <w:szCs w:val="14"/>
                <w:color w:val="auto"/>
              </w:rPr>
              <w:t>$1,100,000</w:t>
            </w:r>
          </w:p>
        </w:tc>
        <w:tc>
          <w:tcPr>
            <w:tcW w:w="1280" w:type="dxa"/>
            <w:vAlign w:val="bottom"/>
            <w:shd w:val="clear" w:color="auto" w:fill="EAEFF2"/>
          </w:tcPr>
          <w:p>
            <w:pPr>
              <w:jc w:val="center"/>
              <w:ind w:left="8"/>
              <w:spacing w:after="0"/>
              <w:rPr>
                <w:sz w:val="20"/>
                <w:szCs w:val="20"/>
                <w:color w:val="auto"/>
              </w:rPr>
            </w:pPr>
            <w:r>
              <w:rPr>
                <w:rFonts w:ascii="Arial" w:cs="Arial" w:eastAsia="Arial" w:hAnsi="Arial"/>
                <w:sz w:val="14"/>
                <w:szCs w:val="14"/>
                <w:color w:val="auto"/>
              </w:rPr>
              <w:t>$489,531</w:t>
            </w:r>
          </w:p>
        </w:tc>
        <w:tc>
          <w:tcPr>
            <w:tcW w:w="1160" w:type="dxa"/>
            <w:vAlign w:val="bottom"/>
            <w:shd w:val="clear" w:color="auto" w:fill="EAEFF2"/>
          </w:tcPr>
          <w:p>
            <w:pPr>
              <w:jc w:val="center"/>
              <w:ind w:left="48"/>
              <w:spacing w:after="0"/>
              <w:rPr>
                <w:sz w:val="20"/>
                <w:szCs w:val="20"/>
                <w:color w:val="auto"/>
              </w:rPr>
            </w:pPr>
            <w:r>
              <w:rPr>
                <w:rFonts w:ascii="Arial" w:cs="Arial" w:eastAsia="Arial" w:hAnsi="Arial"/>
                <w:sz w:val="14"/>
                <w:szCs w:val="14"/>
                <w:color w:val="auto"/>
              </w:rPr>
              <w:t>$24,571,980</w:t>
            </w:r>
          </w:p>
        </w:tc>
        <w:tc>
          <w:tcPr>
            <w:tcW w:w="0" w:type="dxa"/>
            <w:vAlign w:val="bottom"/>
          </w:tcPr>
          <w:p>
            <w:pPr>
              <w:spacing w:after="0"/>
              <w:rPr>
                <w:sz w:val="1"/>
                <w:szCs w:val="1"/>
                <w:color w:val="auto"/>
              </w:rPr>
            </w:pPr>
          </w:p>
        </w:tc>
      </w:tr>
      <w:tr>
        <w:trPr>
          <w:trHeight w:val="111"/>
        </w:trPr>
        <w:tc>
          <w:tcPr>
            <w:tcW w:w="3520" w:type="dxa"/>
            <w:vAlign w:val="bottom"/>
            <w:vMerge w:val="continue"/>
          </w:tcPr>
          <w:p>
            <w:pPr>
              <w:spacing w:after="0"/>
              <w:rPr>
                <w:sz w:val="9"/>
                <w:szCs w:val="9"/>
                <w:color w:val="auto"/>
              </w:rPr>
            </w:pPr>
          </w:p>
        </w:tc>
        <w:tc>
          <w:tcPr>
            <w:tcW w:w="100" w:type="dxa"/>
            <w:vAlign w:val="bottom"/>
            <w:shd w:val="clear" w:color="auto" w:fill="EAEFF2"/>
          </w:tcPr>
          <w:p>
            <w:pPr>
              <w:spacing w:after="0"/>
              <w:rPr>
                <w:sz w:val="9"/>
                <w:szCs w:val="9"/>
                <w:color w:val="auto"/>
              </w:rPr>
            </w:pPr>
          </w:p>
        </w:tc>
        <w:tc>
          <w:tcPr>
            <w:tcW w:w="420" w:type="dxa"/>
            <w:vAlign w:val="bottom"/>
            <w:shd w:val="clear" w:color="auto" w:fill="EAEFF2"/>
          </w:tcPr>
          <w:p>
            <w:pPr>
              <w:spacing w:after="0"/>
              <w:rPr>
                <w:sz w:val="9"/>
                <w:szCs w:val="9"/>
                <w:color w:val="auto"/>
              </w:rPr>
            </w:pPr>
          </w:p>
        </w:tc>
        <w:tc>
          <w:tcPr>
            <w:tcW w:w="1060" w:type="dxa"/>
            <w:vAlign w:val="bottom"/>
            <w:shd w:val="clear" w:color="auto" w:fill="EAEFF2"/>
          </w:tcPr>
          <w:p>
            <w:pPr>
              <w:spacing w:after="0"/>
              <w:rPr>
                <w:sz w:val="9"/>
                <w:szCs w:val="9"/>
                <w:color w:val="auto"/>
              </w:rPr>
            </w:pPr>
          </w:p>
        </w:tc>
        <w:tc>
          <w:tcPr>
            <w:tcW w:w="1100" w:type="dxa"/>
            <w:vAlign w:val="bottom"/>
            <w:shd w:val="clear" w:color="auto" w:fill="EAEFF2"/>
          </w:tcPr>
          <w:p>
            <w:pPr>
              <w:spacing w:after="0"/>
              <w:rPr>
                <w:sz w:val="9"/>
                <w:szCs w:val="9"/>
                <w:color w:val="auto"/>
              </w:rPr>
            </w:pPr>
          </w:p>
        </w:tc>
        <w:tc>
          <w:tcPr>
            <w:tcW w:w="1100" w:type="dxa"/>
            <w:vAlign w:val="bottom"/>
            <w:shd w:val="clear" w:color="auto" w:fill="EAEFF2"/>
          </w:tcPr>
          <w:p>
            <w:pPr>
              <w:spacing w:after="0"/>
              <w:rPr>
                <w:sz w:val="9"/>
                <w:szCs w:val="9"/>
                <w:color w:val="auto"/>
              </w:rPr>
            </w:pPr>
          </w:p>
        </w:tc>
        <w:tc>
          <w:tcPr>
            <w:tcW w:w="1280" w:type="dxa"/>
            <w:vAlign w:val="bottom"/>
            <w:shd w:val="clear" w:color="auto" w:fill="EAEFF2"/>
          </w:tcPr>
          <w:p>
            <w:pPr>
              <w:spacing w:after="0"/>
              <w:rPr>
                <w:sz w:val="9"/>
                <w:szCs w:val="9"/>
                <w:color w:val="auto"/>
              </w:rPr>
            </w:pPr>
          </w:p>
        </w:tc>
        <w:tc>
          <w:tcPr>
            <w:tcW w:w="1280" w:type="dxa"/>
            <w:vAlign w:val="bottom"/>
            <w:shd w:val="clear" w:color="auto" w:fill="EAEFF2"/>
          </w:tcPr>
          <w:p>
            <w:pPr>
              <w:spacing w:after="0"/>
              <w:rPr>
                <w:sz w:val="9"/>
                <w:szCs w:val="9"/>
                <w:color w:val="auto"/>
              </w:rPr>
            </w:pPr>
          </w:p>
        </w:tc>
        <w:tc>
          <w:tcPr>
            <w:tcW w:w="1160" w:type="dxa"/>
            <w:vAlign w:val="bottom"/>
            <w:shd w:val="clear" w:color="auto" w:fill="EAEFF2"/>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520" w:type="dxa"/>
            <w:vAlign w:val="bottom"/>
          </w:tcPr>
          <w:p>
            <w:pPr>
              <w:ind w:left="80"/>
              <w:spacing w:after="0"/>
              <w:rPr>
                <w:sz w:val="20"/>
                <w:szCs w:val="20"/>
                <w:color w:val="auto"/>
              </w:rPr>
            </w:pPr>
            <w:r>
              <w:rPr>
                <w:rFonts w:ascii="Arial" w:cs="Arial" w:eastAsia="Arial" w:hAnsi="Arial"/>
                <w:sz w:val="14"/>
                <w:szCs w:val="14"/>
                <w:color w:val="auto"/>
              </w:rPr>
              <w:t>Director and</w:t>
            </w:r>
          </w:p>
        </w:tc>
        <w:tc>
          <w:tcPr>
            <w:tcW w:w="100" w:type="dxa"/>
            <w:vAlign w:val="bottom"/>
            <w:shd w:val="clear" w:color="auto" w:fill="EAEFF2"/>
          </w:tcPr>
          <w:p>
            <w:pPr>
              <w:spacing w:after="0"/>
              <w:rPr>
                <w:sz w:val="14"/>
                <w:szCs w:val="14"/>
                <w:color w:val="auto"/>
              </w:rPr>
            </w:pPr>
          </w:p>
        </w:tc>
        <w:tc>
          <w:tcPr>
            <w:tcW w:w="4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2019</w:t>
            </w:r>
          </w:p>
        </w:tc>
        <w:tc>
          <w:tcPr>
            <w:tcW w:w="1060" w:type="dxa"/>
            <w:vAlign w:val="bottom"/>
            <w:shd w:val="clear" w:color="auto" w:fill="EAEFF2"/>
          </w:tcPr>
          <w:p>
            <w:pPr>
              <w:jc w:val="center"/>
              <w:spacing w:after="0"/>
              <w:rPr>
                <w:sz w:val="20"/>
                <w:szCs w:val="20"/>
                <w:color w:val="auto"/>
              </w:rPr>
            </w:pPr>
            <w:r>
              <w:rPr>
                <w:rFonts w:ascii="Arial" w:cs="Arial" w:eastAsia="Arial" w:hAnsi="Arial"/>
                <w:sz w:val="14"/>
                <w:szCs w:val="14"/>
                <w:color w:val="auto"/>
              </w:rPr>
              <w:t>$2,000,000</w:t>
            </w:r>
          </w:p>
        </w:tc>
        <w:tc>
          <w:tcPr>
            <w:tcW w:w="1100" w:type="dxa"/>
            <w:vAlign w:val="bottom"/>
            <w:shd w:val="clear" w:color="auto" w:fill="EAEFF2"/>
          </w:tcPr>
          <w:p>
            <w:pPr>
              <w:jc w:val="center"/>
              <w:spacing w:after="0"/>
              <w:rPr>
                <w:sz w:val="20"/>
                <w:szCs w:val="20"/>
                <w:color w:val="auto"/>
              </w:rPr>
            </w:pPr>
            <w:r>
              <w:rPr>
                <w:rFonts w:ascii="Arial" w:cs="Arial" w:eastAsia="Arial" w:hAnsi="Arial"/>
                <w:sz w:val="14"/>
                <w:szCs w:val="14"/>
                <w:color w:val="auto"/>
              </w:rPr>
              <w:t>$8,000,209</w:t>
            </w:r>
          </w:p>
        </w:tc>
        <w:tc>
          <w:tcPr>
            <w:tcW w:w="1100" w:type="dxa"/>
            <w:vAlign w:val="bottom"/>
            <w:shd w:val="clear" w:color="auto" w:fill="EAEFF2"/>
          </w:tcPr>
          <w:p>
            <w:pPr>
              <w:jc w:val="center"/>
              <w:ind w:right="28"/>
              <w:spacing w:after="0"/>
              <w:rPr>
                <w:sz w:val="20"/>
                <w:szCs w:val="20"/>
                <w:color w:val="auto"/>
              </w:rPr>
            </w:pPr>
            <w:r>
              <w:rPr>
                <w:rFonts w:ascii="Arial" w:cs="Arial" w:eastAsia="Arial" w:hAnsi="Arial"/>
                <w:sz w:val="14"/>
                <w:szCs w:val="14"/>
                <w:color w:val="auto"/>
                <w:w w:val="96"/>
              </w:rPr>
              <w:t>$-</w:t>
            </w:r>
          </w:p>
        </w:tc>
        <w:tc>
          <w:tcPr>
            <w:tcW w:w="1280" w:type="dxa"/>
            <w:vAlign w:val="bottom"/>
            <w:shd w:val="clear" w:color="auto" w:fill="EAEFF2"/>
          </w:tcPr>
          <w:p>
            <w:pPr>
              <w:jc w:val="center"/>
              <w:ind w:right="48"/>
              <w:spacing w:after="0"/>
              <w:rPr>
                <w:sz w:val="20"/>
                <w:szCs w:val="20"/>
                <w:color w:val="auto"/>
              </w:rPr>
            </w:pPr>
            <w:r>
              <w:rPr>
                <w:rFonts w:ascii="Arial" w:cs="Arial" w:eastAsia="Arial" w:hAnsi="Arial"/>
                <w:sz w:val="14"/>
                <w:szCs w:val="14"/>
                <w:color w:val="auto"/>
              </w:rPr>
              <w:t>$2,000,000</w:t>
            </w:r>
          </w:p>
        </w:tc>
        <w:tc>
          <w:tcPr>
            <w:tcW w:w="1280" w:type="dxa"/>
            <w:vAlign w:val="bottom"/>
            <w:shd w:val="clear" w:color="auto" w:fill="EAEFF2"/>
          </w:tcPr>
          <w:p>
            <w:pPr>
              <w:jc w:val="center"/>
              <w:ind w:left="8"/>
              <w:spacing w:after="0"/>
              <w:rPr>
                <w:sz w:val="20"/>
                <w:szCs w:val="20"/>
                <w:color w:val="auto"/>
              </w:rPr>
            </w:pPr>
            <w:r>
              <w:rPr>
                <w:rFonts w:ascii="Arial" w:cs="Arial" w:eastAsia="Arial" w:hAnsi="Arial"/>
                <w:sz w:val="14"/>
                <w:szCs w:val="14"/>
                <w:color w:val="auto"/>
              </w:rPr>
              <w:t>$1,851,089</w:t>
            </w:r>
          </w:p>
        </w:tc>
        <w:tc>
          <w:tcPr>
            <w:tcW w:w="1160" w:type="dxa"/>
            <w:vAlign w:val="bottom"/>
            <w:shd w:val="clear" w:color="auto" w:fill="EAEFF2"/>
          </w:tcPr>
          <w:p>
            <w:pPr>
              <w:jc w:val="center"/>
              <w:ind w:left="48"/>
              <w:spacing w:after="0"/>
              <w:rPr>
                <w:sz w:val="20"/>
                <w:szCs w:val="20"/>
                <w:color w:val="auto"/>
              </w:rPr>
            </w:pPr>
            <w:r>
              <w:rPr>
                <w:rFonts w:ascii="Arial" w:cs="Arial" w:eastAsia="Arial" w:hAnsi="Arial"/>
                <w:sz w:val="14"/>
                <w:szCs w:val="14"/>
                <w:color w:val="auto"/>
              </w:rPr>
              <w:t>$13,851,298</w:t>
            </w:r>
          </w:p>
        </w:tc>
        <w:tc>
          <w:tcPr>
            <w:tcW w:w="0" w:type="dxa"/>
            <w:vAlign w:val="bottom"/>
          </w:tcPr>
          <w:p>
            <w:pPr>
              <w:spacing w:after="0"/>
              <w:rPr>
                <w:sz w:val="1"/>
                <w:szCs w:val="1"/>
                <w:color w:val="auto"/>
              </w:rPr>
            </w:pPr>
          </w:p>
        </w:tc>
      </w:tr>
      <w:tr>
        <w:trPr>
          <w:trHeight w:val="172"/>
        </w:trPr>
        <w:tc>
          <w:tcPr>
            <w:tcW w:w="3520" w:type="dxa"/>
            <w:vAlign w:val="bottom"/>
          </w:tcPr>
          <w:p>
            <w:pPr>
              <w:ind w:left="80"/>
              <w:spacing w:after="0"/>
              <w:rPr>
                <w:sz w:val="20"/>
                <w:szCs w:val="20"/>
                <w:color w:val="auto"/>
              </w:rPr>
            </w:pPr>
            <w:r>
              <w:rPr>
                <w:rFonts w:ascii="Arial" w:cs="Arial" w:eastAsia="Arial" w:hAnsi="Arial"/>
                <w:sz w:val="14"/>
                <w:szCs w:val="14"/>
                <w:color w:val="auto"/>
              </w:rPr>
              <w:t>Chief Executive Officer</w:t>
            </w:r>
          </w:p>
        </w:tc>
        <w:tc>
          <w:tcPr>
            <w:tcW w:w="100" w:type="dxa"/>
            <w:vAlign w:val="bottom"/>
            <w:shd w:val="clear" w:color="auto" w:fill="EAEFF2"/>
          </w:tcPr>
          <w:p>
            <w:pPr>
              <w:spacing w:after="0"/>
              <w:rPr>
                <w:sz w:val="14"/>
                <w:szCs w:val="14"/>
                <w:color w:val="auto"/>
              </w:rPr>
            </w:pPr>
          </w:p>
        </w:tc>
        <w:tc>
          <w:tcPr>
            <w:tcW w:w="420" w:type="dxa"/>
            <w:vAlign w:val="bottom"/>
            <w:vMerge w:val="restart"/>
            <w:shd w:val="clear" w:color="auto" w:fill="EAEFF2"/>
          </w:tcPr>
          <w:p>
            <w:pPr>
              <w:jc w:val="right"/>
              <w:spacing w:after="0"/>
              <w:rPr>
                <w:sz w:val="20"/>
                <w:szCs w:val="20"/>
                <w:color w:val="auto"/>
              </w:rPr>
            </w:pPr>
            <w:r>
              <w:rPr>
                <w:rFonts w:ascii="Arial" w:cs="Arial" w:eastAsia="Arial" w:hAnsi="Arial"/>
                <w:sz w:val="14"/>
                <w:szCs w:val="14"/>
                <w:color w:val="auto"/>
              </w:rPr>
              <w:t>2018</w:t>
            </w:r>
          </w:p>
        </w:tc>
        <w:tc>
          <w:tcPr>
            <w:tcW w:w="1060" w:type="dxa"/>
            <w:vAlign w:val="bottom"/>
            <w:vMerge w:val="restart"/>
            <w:shd w:val="clear" w:color="auto" w:fill="EAEFF2"/>
          </w:tcPr>
          <w:p>
            <w:pPr>
              <w:jc w:val="center"/>
              <w:spacing w:after="0"/>
              <w:rPr>
                <w:sz w:val="20"/>
                <w:szCs w:val="20"/>
                <w:color w:val="auto"/>
              </w:rPr>
            </w:pPr>
            <w:r>
              <w:rPr>
                <w:rFonts w:ascii="Arial" w:cs="Arial" w:eastAsia="Arial" w:hAnsi="Arial"/>
                <w:sz w:val="14"/>
                <w:szCs w:val="14"/>
                <w:color w:val="auto"/>
              </w:rPr>
              <w:t>$1,901,923</w:t>
            </w:r>
          </w:p>
        </w:tc>
        <w:tc>
          <w:tcPr>
            <w:tcW w:w="1100" w:type="dxa"/>
            <w:vAlign w:val="bottom"/>
            <w:vMerge w:val="restart"/>
            <w:shd w:val="clear" w:color="auto" w:fill="EAEFF2"/>
          </w:tcPr>
          <w:p>
            <w:pPr>
              <w:jc w:val="center"/>
              <w:spacing w:after="0"/>
              <w:rPr>
                <w:sz w:val="20"/>
                <w:szCs w:val="20"/>
                <w:color w:val="auto"/>
              </w:rPr>
            </w:pPr>
            <w:r>
              <w:rPr>
                <w:rFonts w:ascii="Arial" w:cs="Arial" w:eastAsia="Arial" w:hAnsi="Arial"/>
                <w:sz w:val="14"/>
                <w:szCs w:val="14"/>
                <w:color w:val="auto"/>
              </w:rPr>
              <w:t>$12,032,500</w:t>
            </w:r>
          </w:p>
        </w:tc>
        <w:tc>
          <w:tcPr>
            <w:tcW w:w="1100" w:type="dxa"/>
            <w:vAlign w:val="bottom"/>
            <w:vMerge w:val="restart"/>
            <w:shd w:val="clear" w:color="auto" w:fill="EAEFF2"/>
          </w:tcPr>
          <w:p>
            <w:pPr>
              <w:jc w:val="center"/>
              <w:ind w:right="28"/>
              <w:spacing w:after="0"/>
              <w:rPr>
                <w:sz w:val="20"/>
                <w:szCs w:val="20"/>
                <w:color w:val="auto"/>
              </w:rPr>
            </w:pPr>
            <w:r>
              <w:rPr>
                <w:rFonts w:ascii="Arial" w:cs="Arial" w:eastAsia="Arial" w:hAnsi="Arial"/>
                <w:sz w:val="14"/>
                <w:szCs w:val="14"/>
                <w:color w:val="auto"/>
                <w:w w:val="96"/>
              </w:rPr>
              <w:t>$-</w:t>
            </w:r>
          </w:p>
        </w:tc>
        <w:tc>
          <w:tcPr>
            <w:tcW w:w="1280" w:type="dxa"/>
            <w:vAlign w:val="bottom"/>
            <w:vMerge w:val="restart"/>
            <w:shd w:val="clear" w:color="auto" w:fill="EAEFF2"/>
          </w:tcPr>
          <w:p>
            <w:pPr>
              <w:jc w:val="center"/>
              <w:ind w:right="48"/>
              <w:spacing w:after="0"/>
              <w:rPr>
                <w:sz w:val="20"/>
                <w:szCs w:val="20"/>
                <w:color w:val="auto"/>
              </w:rPr>
            </w:pPr>
            <w:r>
              <w:rPr>
                <w:rFonts w:ascii="Arial" w:cs="Arial" w:eastAsia="Arial" w:hAnsi="Arial"/>
                <w:sz w:val="14"/>
                <w:szCs w:val="14"/>
                <w:color w:val="auto"/>
              </w:rPr>
              <w:t>$2,500,000</w:t>
            </w:r>
          </w:p>
        </w:tc>
        <w:tc>
          <w:tcPr>
            <w:tcW w:w="1280" w:type="dxa"/>
            <w:vAlign w:val="bottom"/>
            <w:vMerge w:val="restart"/>
            <w:shd w:val="clear" w:color="auto" w:fill="EAEFF2"/>
          </w:tcPr>
          <w:p>
            <w:pPr>
              <w:jc w:val="center"/>
              <w:ind w:left="8"/>
              <w:spacing w:after="0"/>
              <w:rPr>
                <w:sz w:val="20"/>
                <w:szCs w:val="20"/>
                <w:color w:val="auto"/>
              </w:rPr>
            </w:pPr>
            <w:r>
              <w:rPr>
                <w:rFonts w:ascii="Arial" w:cs="Arial" w:eastAsia="Arial" w:hAnsi="Arial"/>
                <w:sz w:val="14"/>
                <w:szCs w:val="14"/>
                <w:color w:val="auto"/>
              </w:rPr>
              <w:t>$694,760</w:t>
            </w:r>
          </w:p>
        </w:tc>
        <w:tc>
          <w:tcPr>
            <w:tcW w:w="1160" w:type="dxa"/>
            <w:vAlign w:val="bottom"/>
            <w:vMerge w:val="restart"/>
            <w:shd w:val="clear" w:color="auto" w:fill="EAEFF2"/>
          </w:tcPr>
          <w:p>
            <w:pPr>
              <w:jc w:val="center"/>
              <w:ind w:left="48"/>
              <w:spacing w:after="0"/>
              <w:rPr>
                <w:sz w:val="20"/>
                <w:szCs w:val="20"/>
                <w:color w:val="auto"/>
              </w:rPr>
            </w:pPr>
            <w:r>
              <w:rPr>
                <w:rFonts w:ascii="Arial" w:cs="Arial" w:eastAsia="Arial" w:hAnsi="Arial"/>
                <w:sz w:val="14"/>
                <w:szCs w:val="14"/>
                <w:color w:val="auto"/>
              </w:rPr>
              <w:t>$17,129,183</w:t>
            </w:r>
          </w:p>
        </w:tc>
        <w:tc>
          <w:tcPr>
            <w:tcW w:w="0" w:type="dxa"/>
            <w:vAlign w:val="bottom"/>
          </w:tcPr>
          <w:p>
            <w:pPr>
              <w:spacing w:after="0"/>
              <w:rPr>
                <w:sz w:val="1"/>
                <w:szCs w:val="1"/>
                <w:color w:val="auto"/>
              </w:rPr>
            </w:pPr>
          </w:p>
        </w:tc>
      </w:tr>
      <w:tr>
        <w:trPr>
          <w:trHeight w:val="176"/>
        </w:trPr>
        <w:tc>
          <w:tcPr>
            <w:tcW w:w="3520" w:type="dxa"/>
            <w:vAlign w:val="bottom"/>
          </w:tcPr>
          <w:p>
            <w:pPr>
              <w:spacing w:after="0"/>
              <w:rPr>
                <w:sz w:val="15"/>
                <w:szCs w:val="15"/>
                <w:color w:val="auto"/>
              </w:rPr>
            </w:pPr>
          </w:p>
        </w:tc>
        <w:tc>
          <w:tcPr>
            <w:tcW w:w="100" w:type="dxa"/>
            <w:vAlign w:val="bottom"/>
            <w:shd w:val="clear" w:color="auto" w:fill="EAEFF2"/>
          </w:tcPr>
          <w:p>
            <w:pPr>
              <w:spacing w:after="0"/>
              <w:rPr>
                <w:sz w:val="15"/>
                <w:szCs w:val="15"/>
                <w:color w:val="auto"/>
              </w:rPr>
            </w:pPr>
          </w:p>
        </w:tc>
        <w:tc>
          <w:tcPr>
            <w:tcW w:w="420" w:type="dxa"/>
            <w:vAlign w:val="bottom"/>
            <w:vMerge w:val="continue"/>
            <w:shd w:val="clear" w:color="auto" w:fill="EAEFF2"/>
          </w:tcPr>
          <w:p>
            <w:pPr>
              <w:spacing w:after="0"/>
              <w:rPr>
                <w:sz w:val="15"/>
                <w:szCs w:val="15"/>
                <w:color w:val="auto"/>
              </w:rPr>
            </w:pPr>
          </w:p>
        </w:tc>
        <w:tc>
          <w:tcPr>
            <w:tcW w:w="1060" w:type="dxa"/>
            <w:vAlign w:val="bottom"/>
            <w:vMerge w:val="continue"/>
            <w:shd w:val="clear" w:color="auto" w:fill="EAEFF2"/>
          </w:tcPr>
          <w:p>
            <w:pPr>
              <w:spacing w:after="0"/>
              <w:rPr>
                <w:sz w:val="15"/>
                <w:szCs w:val="15"/>
                <w:color w:val="auto"/>
              </w:rPr>
            </w:pPr>
          </w:p>
        </w:tc>
        <w:tc>
          <w:tcPr>
            <w:tcW w:w="1100" w:type="dxa"/>
            <w:vAlign w:val="bottom"/>
            <w:vMerge w:val="continue"/>
            <w:shd w:val="clear" w:color="auto" w:fill="EAEFF2"/>
          </w:tcPr>
          <w:p>
            <w:pPr>
              <w:spacing w:after="0"/>
              <w:rPr>
                <w:sz w:val="15"/>
                <w:szCs w:val="15"/>
                <w:color w:val="auto"/>
              </w:rPr>
            </w:pPr>
          </w:p>
        </w:tc>
        <w:tc>
          <w:tcPr>
            <w:tcW w:w="1100" w:type="dxa"/>
            <w:vAlign w:val="bottom"/>
            <w:vMerge w:val="continue"/>
            <w:shd w:val="clear" w:color="auto" w:fill="EAEFF2"/>
          </w:tcPr>
          <w:p>
            <w:pPr>
              <w:spacing w:after="0"/>
              <w:rPr>
                <w:sz w:val="15"/>
                <w:szCs w:val="15"/>
                <w:color w:val="auto"/>
              </w:rPr>
            </w:pPr>
          </w:p>
        </w:tc>
        <w:tc>
          <w:tcPr>
            <w:tcW w:w="1280" w:type="dxa"/>
            <w:vAlign w:val="bottom"/>
            <w:vMerge w:val="continue"/>
            <w:shd w:val="clear" w:color="auto" w:fill="EAEFF2"/>
          </w:tcPr>
          <w:p>
            <w:pPr>
              <w:spacing w:after="0"/>
              <w:rPr>
                <w:sz w:val="15"/>
                <w:szCs w:val="15"/>
                <w:color w:val="auto"/>
              </w:rPr>
            </w:pPr>
          </w:p>
        </w:tc>
        <w:tc>
          <w:tcPr>
            <w:tcW w:w="1280" w:type="dxa"/>
            <w:vAlign w:val="bottom"/>
            <w:vMerge w:val="continue"/>
            <w:shd w:val="clear" w:color="auto" w:fill="EAEFF2"/>
          </w:tcPr>
          <w:p>
            <w:pPr>
              <w:spacing w:after="0"/>
              <w:rPr>
                <w:sz w:val="15"/>
                <w:szCs w:val="15"/>
                <w:color w:val="auto"/>
              </w:rPr>
            </w:pPr>
          </w:p>
        </w:tc>
        <w:tc>
          <w:tcPr>
            <w:tcW w:w="1160" w:type="dxa"/>
            <w:vAlign w:val="bottom"/>
            <w:vMerge w:val="continue"/>
            <w:shd w:val="clear" w:color="auto" w:fill="EAEFF2"/>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3520" w:type="dxa"/>
            <w:vAlign w:val="bottom"/>
          </w:tcPr>
          <w:p>
            <w:pPr>
              <w:spacing w:after="0"/>
              <w:rPr>
                <w:sz w:val="5"/>
                <w:szCs w:val="5"/>
                <w:color w:val="auto"/>
              </w:rPr>
            </w:pPr>
          </w:p>
        </w:tc>
        <w:tc>
          <w:tcPr>
            <w:tcW w:w="100" w:type="dxa"/>
            <w:vAlign w:val="bottom"/>
            <w:shd w:val="clear" w:color="auto" w:fill="EAEFF2"/>
          </w:tcPr>
          <w:p>
            <w:pPr>
              <w:spacing w:after="0"/>
              <w:rPr>
                <w:sz w:val="5"/>
                <w:szCs w:val="5"/>
                <w:color w:val="auto"/>
              </w:rPr>
            </w:pPr>
          </w:p>
        </w:tc>
        <w:tc>
          <w:tcPr>
            <w:tcW w:w="420" w:type="dxa"/>
            <w:vAlign w:val="bottom"/>
            <w:shd w:val="clear" w:color="auto" w:fill="EAEFF2"/>
          </w:tcPr>
          <w:p>
            <w:pPr>
              <w:spacing w:after="0"/>
              <w:rPr>
                <w:sz w:val="5"/>
                <w:szCs w:val="5"/>
                <w:color w:val="auto"/>
              </w:rPr>
            </w:pPr>
          </w:p>
        </w:tc>
        <w:tc>
          <w:tcPr>
            <w:tcW w:w="1060" w:type="dxa"/>
            <w:vAlign w:val="bottom"/>
            <w:shd w:val="clear" w:color="auto" w:fill="EAEFF2"/>
          </w:tcPr>
          <w:p>
            <w:pPr>
              <w:spacing w:after="0"/>
              <w:rPr>
                <w:sz w:val="5"/>
                <w:szCs w:val="5"/>
                <w:color w:val="auto"/>
              </w:rPr>
            </w:pPr>
          </w:p>
        </w:tc>
        <w:tc>
          <w:tcPr>
            <w:tcW w:w="1100" w:type="dxa"/>
            <w:vAlign w:val="bottom"/>
            <w:shd w:val="clear" w:color="auto" w:fill="EAEFF2"/>
          </w:tcPr>
          <w:p>
            <w:pPr>
              <w:spacing w:after="0"/>
              <w:rPr>
                <w:sz w:val="5"/>
                <w:szCs w:val="5"/>
                <w:color w:val="auto"/>
              </w:rPr>
            </w:pPr>
          </w:p>
        </w:tc>
        <w:tc>
          <w:tcPr>
            <w:tcW w:w="1100" w:type="dxa"/>
            <w:vAlign w:val="bottom"/>
            <w:shd w:val="clear" w:color="auto" w:fill="EAEFF2"/>
          </w:tcPr>
          <w:p>
            <w:pPr>
              <w:spacing w:after="0"/>
              <w:rPr>
                <w:sz w:val="5"/>
                <w:szCs w:val="5"/>
                <w:color w:val="auto"/>
              </w:rPr>
            </w:pPr>
          </w:p>
        </w:tc>
        <w:tc>
          <w:tcPr>
            <w:tcW w:w="1280" w:type="dxa"/>
            <w:vAlign w:val="bottom"/>
            <w:shd w:val="clear" w:color="auto" w:fill="EAEFF2"/>
          </w:tcPr>
          <w:p>
            <w:pPr>
              <w:spacing w:after="0"/>
              <w:rPr>
                <w:sz w:val="5"/>
                <w:szCs w:val="5"/>
                <w:color w:val="auto"/>
              </w:rPr>
            </w:pPr>
          </w:p>
        </w:tc>
        <w:tc>
          <w:tcPr>
            <w:tcW w:w="1280" w:type="dxa"/>
            <w:vAlign w:val="bottom"/>
            <w:shd w:val="clear" w:color="auto" w:fill="EAEFF2"/>
          </w:tcPr>
          <w:p>
            <w:pPr>
              <w:spacing w:after="0"/>
              <w:rPr>
                <w:sz w:val="5"/>
                <w:szCs w:val="5"/>
                <w:color w:val="auto"/>
              </w:rPr>
            </w:pPr>
          </w:p>
        </w:tc>
        <w:tc>
          <w:tcPr>
            <w:tcW w:w="1160" w:type="dxa"/>
            <w:vAlign w:val="bottom"/>
            <w:shd w:val="clear" w:color="auto" w:fill="EAEFF2"/>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3520" w:type="dxa"/>
            <w:vAlign w:val="bottom"/>
            <w:vMerge w:val="restart"/>
            <w:shd w:val="clear" w:color="auto" w:fill="F4F4E5"/>
          </w:tcPr>
          <w:p>
            <w:pPr>
              <w:ind w:left="80"/>
              <w:spacing w:after="0"/>
              <w:rPr>
                <w:sz w:val="20"/>
                <w:szCs w:val="20"/>
                <w:color w:val="auto"/>
              </w:rPr>
            </w:pPr>
            <w:r>
              <w:rPr>
                <w:rFonts w:ascii="Arial" w:cs="Arial" w:eastAsia="Arial" w:hAnsi="Arial"/>
                <w:sz w:val="13"/>
                <w:szCs w:val="13"/>
                <w:b w:val="1"/>
                <w:bCs w:val="1"/>
                <w:color w:val="auto"/>
              </w:rPr>
              <w:t>CRAIG BILLINGS</w:t>
            </w:r>
          </w:p>
        </w:tc>
        <w:tc>
          <w:tcPr>
            <w:tcW w:w="100" w:type="dxa"/>
            <w:vAlign w:val="bottom"/>
            <w:shd w:val="clear" w:color="auto" w:fill="F4F4E5"/>
          </w:tcPr>
          <w:p>
            <w:pPr>
              <w:spacing w:after="0"/>
              <w:rPr>
                <w:sz w:val="24"/>
                <w:szCs w:val="24"/>
                <w:color w:val="auto"/>
              </w:rPr>
            </w:pPr>
          </w:p>
        </w:tc>
        <w:tc>
          <w:tcPr>
            <w:tcW w:w="420" w:type="dxa"/>
            <w:vAlign w:val="bottom"/>
            <w:shd w:val="clear" w:color="auto" w:fill="F4F4E5"/>
          </w:tcPr>
          <w:p>
            <w:pPr>
              <w:jc w:val="right"/>
              <w:spacing w:after="0"/>
              <w:rPr>
                <w:sz w:val="20"/>
                <w:szCs w:val="20"/>
                <w:color w:val="auto"/>
              </w:rPr>
            </w:pPr>
            <w:r>
              <w:rPr>
                <w:rFonts w:ascii="Arial" w:cs="Arial" w:eastAsia="Arial" w:hAnsi="Arial"/>
                <w:sz w:val="14"/>
                <w:szCs w:val="14"/>
                <w:color w:val="auto"/>
              </w:rPr>
              <w:t>2020</w:t>
            </w:r>
          </w:p>
        </w:tc>
        <w:tc>
          <w:tcPr>
            <w:tcW w:w="1060" w:type="dxa"/>
            <w:vAlign w:val="bottom"/>
            <w:shd w:val="clear" w:color="auto" w:fill="F4F4E5"/>
          </w:tcPr>
          <w:p>
            <w:pPr>
              <w:jc w:val="center"/>
              <w:spacing w:after="0"/>
              <w:rPr>
                <w:sz w:val="20"/>
                <w:szCs w:val="20"/>
                <w:color w:val="auto"/>
              </w:rPr>
            </w:pPr>
            <w:r>
              <w:rPr>
                <w:rFonts w:ascii="Arial" w:cs="Arial" w:eastAsia="Arial" w:hAnsi="Arial"/>
                <w:sz w:val="14"/>
                <w:szCs w:val="14"/>
                <w:color w:val="auto"/>
              </w:rPr>
              <w:t>$1,200,000</w:t>
            </w:r>
          </w:p>
        </w:tc>
        <w:tc>
          <w:tcPr>
            <w:tcW w:w="1100" w:type="dxa"/>
            <w:vAlign w:val="bottom"/>
            <w:shd w:val="clear" w:color="auto" w:fill="F4F4E5"/>
          </w:tcPr>
          <w:p>
            <w:pPr>
              <w:jc w:val="center"/>
              <w:spacing w:after="0"/>
              <w:rPr>
                <w:sz w:val="20"/>
                <w:szCs w:val="20"/>
                <w:color w:val="auto"/>
              </w:rPr>
            </w:pPr>
            <w:r>
              <w:rPr>
                <w:rFonts w:ascii="Arial" w:cs="Arial" w:eastAsia="Arial" w:hAnsi="Arial"/>
                <w:sz w:val="14"/>
                <w:szCs w:val="14"/>
                <w:color w:val="auto"/>
              </w:rPr>
              <w:t>$3,678,581</w:t>
            </w:r>
          </w:p>
        </w:tc>
        <w:tc>
          <w:tcPr>
            <w:tcW w:w="1100" w:type="dxa"/>
            <w:vAlign w:val="bottom"/>
            <w:shd w:val="clear" w:color="auto" w:fill="F4F4E5"/>
          </w:tcPr>
          <w:p>
            <w:pPr>
              <w:jc w:val="center"/>
              <w:ind w:right="28"/>
              <w:spacing w:after="0"/>
              <w:rPr>
                <w:sz w:val="20"/>
                <w:szCs w:val="20"/>
                <w:color w:val="auto"/>
              </w:rPr>
            </w:pPr>
            <w:r>
              <w:rPr>
                <w:rFonts w:ascii="Arial" w:cs="Arial" w:eastAsia="Arial" w:hAnsi="Arial"/>
                <w:sz w:val="14"/>
                <w:szCs w:val="14"/>
                <w:color w:val="auto"/>
              </w:rPr>
              <w:t>$1,673,207</w:t>
            </w:r>
          </w:p>
        </w:tc>
        <w:tc>
          <w:tcPr>
            <w:tcW w:w="1280" w:type="dxa"/>
            <w:vAlign w:val="bottom"/>
            <w:shd w:val="clear" w:color="auto" w:fill="F4F4E5"/>
          </w:tcPr>
          <w:p>
            <w:pPr>
              <w:jc w:val="center"/>
              <w:ind w:right="48"/>
              <w:spacing w:after="0"/>
              <w:rPr>
                <w:sz w:val="20"/>
                <w:szCs w:val="20"/>
                <w:color w:val="auto"/>
              </w:rPr>
            </w:pPr>
            <w:r>
              <w:rPr>
                <w:rFonts w:ascii="Arial" w:cs="Arial" w:eastAsia="Arial" w:hAnsi="Arial"/>
                <w:sz w:val="14"/>
                <w:szCs w:val="14"/>
                <w:color w:val="auto"/>
              </w:rPr>
              <w:t>$528,000</w:t>
            </w:r>
          </w:p>
        </w:tc>
        <w:tc>
          <w:tcPr>
            <w:tcW w:w="1280" w:type="dxa"/>
            <w:vAlign w:val="bottom"/>
            <w:shd w:val="clear" w:color="auto" w:fill="F4F4E5"/>
          </w:tcPr>
          <w:p>
            <w:pPr>
              <w:jc w:val="center"/>
              <w:ind w:left="8"/>
              <w:spacing w:after="0"/>
              <w:rPr>
                <w:sz w:val="20"/>
                <w:szCs w:val="20"/>
                <w:color w:val="auto"/>
              </w:rPr>
            </w:pPr>
            <w:r>
              <w:rPr>
                <w:rFonts w:ascii="Arial" w:cs="Arial" w:eastAsia="Arial" w:hAnsi="Arial"/>
                <w:sz w:val="14"/>
                <w:szCs w:val="14"/>
                <w:color w:val="auto"/>
              </w:rPr>
              <w:t>$70,997</w:t>
            </w:r>
          </w:p>
        </w:tc>
        <w:tc>
          <w:tcPr>
            <w:tcW w:w="1160" w:type="dxa"/>
            <w:vAlign w:val="bottom"/>
            <w:shd w:val="clear" w:color="auto" w:fill="F4F4E5"/>
          </w:tcPr>
          <w:p>
            <w:pPr>
              <w:jc w:val="center"/>
              <w:ind w:left="48"/>
              <w:spacing w:after="0"/>
              <w:rPr>
                <w:sz w:val="20"/>
                <w:szCs w:val="20"/>
                <w:color w:val="auto"/>
              </w:rPr>
            </w:pPr>
            <w:r>
              <w:rPr>
                <w:rFonts w:ascii="Arial" w:cs="Arial" w:eastAsia="Arial" w:hAnsi="Arial"/>
                <w:sz w:val="14"/>
                <w:szCs w:val="14"/>
                <w:color w:val="auto"/>
              </w:rPr>
              <w:t>$7,150,785</w:t>
            </w:r>
          </w:p>
        </w:tc>
        <w:tc>
          <w:tcPr>
            <w:tcW w:w="0" w:type="dxa"/>
            <w:vAlign w:val="bottom"/>
          </w:tcPr>
          <w:p>
            <w:pPr>
              <w:spacing w:after="0"/>
              <w:rPr>
                <w:sz w:val="1"/>
                <w:szCs w:val="1"/>
                <w:color w:val="auto"/>
              </w:rPr>
            </w:pPr>
          </w:p>
        </w:tc>
      </w:tr>
      <w:tr>
        <w:trPr>
          <w:trHeight w:val="111"/>
        </w:trPr>
        <w:tc>
          <w:tcPr>
            <w:tcW w:w="3520" w:type="dxa"/>
            <w:vAlign w:val="bottom"/>
            <w:vMerge w:val="continue"/>
            <w:shd w:val="clear" w:color="auto" w:fill="F4F4E5"/>
          </w:tcPr>
          <w:p>
            <w:pPr>
              <w:spacing w:after="0"/>
              <w:rPr>
                <w:sz w:val="9"/>
                <w:szCs w:val="9"/>
                <w:color w:val="auto"/>
              </w:rPr>
            </w:pPr>
          </w:p>
        </w:tc>
        <w:tc>
          <w:tcPr>
            <w:tcW w:w="100" w:type="dxa"/>
            <w:vAlign w:val="bottom"/>
            <w:shd w:val="clear" w:color="auto" w:fill="F4F4E5"/>
          </w:tcPr>
          <w:p>
            <w:pPr>
              <w:spacing w:after="0"/>
              <w:rPr>
                <w:sz w:val="9"/>
                <w:szCs w:val="9"/>
                <w:color w:val="auto"/>
              </w:rPr>
            </w:pPr>
          </w:p>
        </w:tc>
        <w:tc>
          <w:tcPr>
            <w:tcW w:w="420" w:type="dxa"/>
            <w:vAlign w:val="bottom"/>
            <w:shd w:val="clear" w:color="auto" w:fill="F4F4E5"/>
          </w:tcPr>
          <w:p>
            <w:pPr>
              <w:spacing w:after="0"/>
              <w:rPr>
                <w:sz w:val="9"/>
                <w:szCs w:val="9"/>
                <w:color w:val="auto"/>
              </w:rPr>
            </w:pPr>
          </w:p>
        </w:tc>
        <w:tc>
          <w:tcPr>
            <w:tcW w:w="1060" w:type="dxa"/>
            <w:vAlign w:val="bottom"/>
            <w:shd w:val="clear" w:color="auto" w:fill="F4F4E5"/>
          </w:tcPr>
          <w:p>
            <w:pPr>
              <w:spacing w:after="0"/>
              <w:rPr>
                <w:sz w:val="9"/>
                <w:szCs w:val="9"/>
                <w:color w:val="auto"/>
              </w:rPr>
            </w:pPr>
          </w:p>
        </w:tc>
        <w:tc>
          <w:tcPr>
            <w:tcW w:w="1100" w:type="dxa"/>
            <w:vAlign w:val="bottom"/>
            <w:shd w:val="clear" w:color="auto" w:fill="F4F4E5"/>
          </w:tcPr>
          <w:p>
            <w:pPr>
              <w:spacing w:after="0"/>
              <w:rPr>
                <w:sz w:val="9"/>
                <w:szCs w:val="9"/>
                <w:color w:val="auto"/>
              </w:rPr>
            </w:pPr>
          </w:p>
        </w:tc>
        <w:tc>
          <w:tcPr>
            <w:tcW w:w="1100" w:type="dxa"/>
            <w:vAlign w:val="bottom"/>
            <w:shd w:val="clear" w:color="auto" w:fill="F4F4E5"/>
          </w:tcPr>
          <w:p>
            <w:pPr>
              <w:spacing w:after="0"/>
              <w:rPr>
                <w:sz w:val="9"/>
                <w:szCs w:val="9"/>
                <w:color w:val="auto"/>
              </w:rPr>
            </w:pPr>
          </w:p>
        </w:tc>
        <w:tc>
          <w:tcPr>
            <w:tcW w:w="1280" w:type="dxa"/>
            <w:vAlign w:val="bottom"/>
            <w:shd w:val="clear" w:color="auto" w:fill="F4F4E5"/>
          </w:tcPr>
          <w:p>
            <w:pPr>
              <w:spacing w:after="0"/>
              <w:rPr>
                <w:sz w:val="9"/>
                <w:szCs w:val="9"/>
                <w:color w:val="auto"/>
              </w:rPr>
            </w:pPr>
          </w:p>
        </w:tc>
        <w:tc>
          <w:tcPr>
            <w:tcW w:w="1280" w:type="dxa"/>
            <w:vAlign w:val="bottom"/>
            <w:shd w:val="clear" w:color="auto" w:fill="F4F4E5"/>
          </w:tcPr>
          <w:p>
            <w:pPr>
              <w:spacing w:after="0"/>
              <w:rPr>
                <w:sz w:val="9"/>
                <w:szCs w:val="9"/>
                <w:color w:val="auto"/>
              </w:rPr>
            </w:pPr>
          </w:p>
        </w:tc>
        <w:tc>
          <w:tcPr>
            <w:tcW w:w="1160" w:type="dxa"/>
            <w:vAlign w:val="bottom"/>
            <w:shd w:val="clear" w:color="auto" w:fill="F4F4E5"/>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3520" w:type="dxa"/>
            <w:vAlign w:val="bottom"/>
            <w:shd w:val="clear" w:color="auto" w:fill="F4F4E5"/>
          </w:tcPr>
          <w:p>
            <w:pPr>
              <w:ind w:left="80"/>
              <w:spacing w:after="0"/>
              <w:rPr>
                <w:sz w:val="20"/>
                <w:szCs w:val="20"/>
                <w:color w:val="auto"/>
              </w:rPr>
            </w:pPr>
            <w:r>
              <w:rPr>
                <w:rFonts w:ascii="Arial" w:cs="Arial" w:eastAsia="Arial" w:hAnsi="Arial"/>
                <w:sz w:val="14"/>
                <w:szCs w:val="14"/>
                <w:color w:val="auto"/>
              </w:rPr>
              <w:t>President and</w:t>
            </w:r>
          </w:p>
        </w:tc>
        <w:tc>
          <w:tcPr>
            <w:tcW w:w="100" w:type="dxa"/>
            <w:vAlign w:val="bottom"/>
            <w:shd w:val="clear" w:color="auto" w:fill="F4F4E5"/>
          </w:tcPr>
          <w:p>
            <w:pPr>
              <w:spacing w:after="0"/>
              <w:rPr>
                <w:sz w:val="14"/>
                <w:szCs w:val="14"/>
                <w:color w:val="auto"/>
              </w:rPr>
            </w:pPr>
          </w:p>
        </w:tc>
        <w:tc>
          <w:tcPr>
            <w:tcW w:w="420" w:type="dxa"/>
            <w:vAlign w:val="bottom"/>
            <w:shd w:val="clear" w:color="auto" w:fill="F4F4E5"/>
          </w:tcPr>
          <w:p>
            <w:pPr>
              <w:jc w:val="right"/>
              <w:spacing w:after="0"/>
              <w:rPr>
                <w:sz w:val="20"/>
                <w:szCs w:val="20"/>
                <w:color w:val="auto"/>
              </w:rPr>
            </w:pPr>
            <w:r>
              <w:rPr>
                <w:rFonts w:ascii="Arial" w:cs="Arial" w:eastAsia="Arial" w:hAnsi="Arial"/>
                <w:sz w:val="14"/>
                <w:szCs w:val="14"/>
                <w:color w:val="auto"/>
              </w:rPr>
              <w:t>2019</w:t>
            </w:r>
          </w:p>
        </w:tc>
        <w:tc>
          <w:tcPr>
            <w:tcW w:w="1060" w:type="dxa"/>
            <w:vAlign w:val="bottom"/>
            <w:shd w:val="clear" w:color="auto" w:fill="F4F4E5"/>
          </w:tcPr>
          <w:p>
            <w:pPr>
              <w:jc w:val="center"/>
              <w:spacing w:after="0"/>
              <w:rPr>
                <w:sz w:val="20"/>
                <w:szCs w:val="20"/>
                <w:color w:val="auto"/>
              </w:rPr>
            </w:pPr>
            <w:r>
              <w:rPr>
                <w:rFonts w:ascii="Arial" w:cs="Arial" w:eastAsia="Arial" w:hAnsi="Arial"/>
                <w:sz w:val="14"/>
                <w:szCs w:val="14"/>
                <w:color w:val="auto"/>
              </w:rPr>
              <w:t>$1,053,750</w:t>
            </w:r>
          </w:p>
        </w:tc>
        <w:tc>
          <w:tcPr>
            <w:tcW w:w="1100" w:type="dxa"/>
            <w:vAlign w:val="bottom"/>
            <w:shd w:val="clear" w:color="auto" w:fill="F4F4E5"/>
          </w:tcPr>
          <w:p>
            <w:pPr>
              <w:jc w:val="center"/>
              <w:spacing w:after="0"/>
              <w:rPr>
                <w:sz w:val="20"/>
                <w:szCs w:val="20"/>
                <w:color w:val="auto"/>
              </w:rPr>
            </w:pPr>
            <w:r>
              <w:rPr>
                <w:rFonts w:ascii="Arial" w:cs="Arial" w:eastAsia="Arial" w:hAnsi="Arial"/>
                <w:sz w:val="14"/>
                <w:szCs w:val="14"/>
                <w:color w:val="auto"/>
              </w:rPr>
              <w:t>$2,560,147</w:t>
            </w:r>
          </w:p>
        </w:tc>
        <w:tc>
          <w:tcPr>
            <w:tcW w:w="1100" w:type="dxa"/>
            <w:vAlign w:val="bottom"/>
            <w:shd w:val="clear" w:color="auto" w:fill="F4F4E5"/>
          </w:tcPr>
          <w:p>
            <w:pPr>
              <w:jc w:val="center"/>
              <w:ind w:right="28"/>
              <w:spacing w:after="0"/>
              <w:rPr>
                <w:sz w:val="20"/>
                <w:szCs w:val="20"/>
                <w:color w:val="auto"/>
              </w:rPr>
            </w:pPr>
            <w:r>
              <w:rPr>
                <w:rFonts w:ascii="Arial" w:cs="Arial" w:eastAsia="Arial" w:hAnsi="Arial"/>
                <w:sz w:val="14"/>
                <w:szCs w:val="14"/>
                <w:color w:val="auto"/>
                <w:w w:val="96"/>
              </w:rPr>
              <w:t>$-</w:t>
            </w:r>
          </w:p>
        </w:tc>
        <w:tc>
          <w:tcPr>
            <w:tcW w:w="1280" w:type="dxa"/>
            <w:vAlign w:val="bottom"/>
            <w:shd w:val="clear" w:color="auto" w:fill="F4F4E5"/>
          </w:tcPr>
          <w:p>
            <w:pPr>
              <w:jc w:val="center"/>
              <w:ind w:right="48"/>
              <w:spacing w:after="0"/>
              <w:rPr>
                <w:sz w:val="20"/>
                <w:szCs w:val="20"/>
                <w:color w:val="auto"/>
              </w:rPr>
            </w:pPr>
            <w:r>
              <w:rPr>
                <w:rFonts w:ascii="Arial" w:cs="Arial" w:eastAsia="Arial" w:hAnsi="Arial"/>
                <w:sz w:val="14"/>
                <w:szCs w:val="14"/>
                <w:color w:val="auto"/>
              </w:rPr>
              <w:t>$960,000</w:t>
            </w:r>
          </w:p>
        </w:tc>
        <w:tc>
          <w:tcPr>
            <w:tcW w:w="1280" w:type="dxa"/>
            <w:vAlign w:val="bottom"/>
            <w:shd w:val="clear" w:color="auto" w:fill="F4F4E5"/>
          </w:tcPr>
          <w:p>
            <w:pPr>
              <w:jc w:val="center"/>
              <w:ind w:left="8"/>
              <w:spacing w:after="0"/>
              <w:rPr>
                <w:sz w:val="20"/>
                <w:szCs w:val="20"/>
                <w:color w:val="auto"/>
              </w:rPr>
            </w:pPr>
            <w:r>
              <w:rPr>
                <w:rFonts w:ascii="Arial" w:cs="Arial" w:eastAsia="Arial" w:hAnsi="Arial"/>
                <w:sz w:val="14"/>
                <w:szCs w:val="14"/>
                <w:color w:val="auto"/>
              </w:rPr>
              <w:t>$217,382</w:t>
            </w:r>
          </w:p>
        </w:tc>
        <w:tc>
          <w:tcPr>
            <w:tcW w:w="1160" w:type="dxa"/>
            <w:vAlign w:val="bottom"/>
            <w:shd w:val="clear" w:color="auto" w:fill="F4F4E5"/>
          </w:tcPr>
          <w:p>
            <w:pPr>
              <w:jc w:val="center"/>
              <w:ind w:left="48"/>
              <w:spacing w:after="0"/>
              <w:rPr>
                <w:sz w:val="20"/>
                <w:szCs w:val="20"/>
                <w:color w:val="auto"/>
              </w:rPr>
            </w:pPr>
            <w:r>
              <w:rPr>
                <w:rFonts w:ascii="Arial" w:cs="Arial" w:eastAsia="Arial" w:hAnsi="Arial"/>
                <w:sz w:val="14"/>
                <w:szCs w:val="14"/>
                <w:color w:val="auto"/>
              </w:rPr>
              <w:t>$4,791,279</w:t>
            </w:r>
          </w:p>
        </w:tc>
        <w:tc>
          <w:tcPr>
            <w:tcW w:w="0" w:type="dxa"/>
            <w:vAlign w:val="bottom"/>
          </w:tcPr>
          <w:p>
            <w:pPr>
              <w:spacing w:after="0"/>
              <w:rPr>
                <w:sz w:val="1"/>
                <w:szCs w:val="1"/>
                <w:color w:val="auto"/>
              </w:rPr>
            </w:pPr>
          </w:p>
        </w:tc>
      </w:tr>
      <w:tr>
        <w:trPr>
          <w:trHeight w:val="172"/>
        </w:trPr>
        <w:tc>
          <w:tcPr>
            <w:tcW w:w="3520" w:type="dxa"/>
            <w:vAlign w:val="bottom"/>
            <w:shd w:val="clear" w:color="auto" w:fill="F4F4E5"/>
          </w:tcPr>
          <w:p>
            <w:pPr>
              <w:ind w:left="80"/>
              <w:spacing w:after="0"/>
              <w:rPr>
                <w:sz w:val="20"/>
                <w:szCs w:val="20"/>
                <w:color w:val="auto"/>
              </w:rPr>
            </w:pPr>
            <w:r>
              <w:rPr>
                <w:rFonts w:ascii="Arial" w:cs="Arial" w:eastAsia="Arial" w:hAnsi="Arial"/>
                <w:sz w:val="14"/>
                <w:szCs w:val="14"/>
                <w:color w:val="auto"/>
              </w:rPr>
              <w:t>Chief Financial Officer</w:t>
            </w:r>
          </w:p>
        </w:tc>
        <w:tc>
          <w:tcPr>
            <w:tcW w:w="100" w:type="dxa"/>
            <w:vAlign w:val="bottom"/>
            <w:shd w:val="clear" w:color="auto" w:fill="F4F4E5"/>
          </w:tcPr>
          <w:p>
            <w:pPr>
              <w:spacing w:after="0"/>
              <w:rPr>
                <w:sz w:val="14"/>
                <w:szCs w:val="14"/>
                <w:color w:val="auto"/>
              </w:rPr>
            </w:pPr>
          </w:p>
        </w:tc>
        <w:tc>
          <w:tcPr>
            <w:tcW w:w="420" w:type="dxa"/>
            <w:vAlign w:val="bottom"/>
            <w:vMerge w:val="restart"/>
            <w:shd w:val="clear" w:color="auto" w:fill="F4F4E5"/>
          </w:tcPr>
          <w:p>
            <w:pPr>
              <w:jc w:val="right"/>
              <w:spacing w:after="0"/>
              <w:rPr>
                <w:sz w:val="20"/>
                <w:szCs w:val="20"/>
                <w:color w:val="auto"/>
              </w:rPr>
            </w:pPr>
            <w:r>
              <w:rPr>
                <w:rFonts w:ascii="Arial" w:cs="Arial" w:eastAsia="Arial" w:hAnsi="Arial"/>
                <w:sz w:val="14"/>
                <w:szCs w:val="14"/>
                <w:color w:val="auto"/>
              </w:rPr>
              <w:t>2018</w:t>
            </w:r>
          </w:p>
        </w:tc>
        <w:tc>
          <w:tcPr>
            <w:tcW w:w="1060" w:type="dxa"/>
            <w:vAlign w:val="bottom"/>
            <w:vMerge w:val="restart"/>
            <w:shd w:val="clear" w:color="auto" w:fill="F4F4E5"/>
          </w:tcPr>
          <w:p>
            <w:pPr>
              <w:jc w:val="center"/>
              <w:spacing w:after="0"/>
              <w:rPr>
                <w:sz w:val="20"/>
                <w:szCs w:val="20"/>
                <w:color w:val="auto"/>
              </w:rPr>
            </w:pPr>
            <w:r>
              <w:rPr>
                <w:rFonts w:ascii="Arial" w:cs="Arial" w:eastAsia="Arial" w:hAnsi="Arial"/>
                <w:sz w:val="14"/>
                <w:szCs w:val="14"/>
                <w:color w:val="auto"/>
              </w:rPr>
              <w:t>$849,519</w:t>
            </w:r>
          </w:p>
        </w:tc>
        <w:tc>
          <w:tcPr>
            <w:tcW w:w="1100" w:type="dxa"/>
            <w:vAlign w:val="bottom"/>
            <w:vMerge w:val="restart"/>
            <w:shd w:val="clear" w:color="auto" w:fill="F4F4E5"/>
          </w:tcPr>
          <w:p>
            <w:pPr>
              <w:jc w:val="center"/>
              <w:spacing w:after="0"/>
              <w:rPr>
                <w:sz w:val="20"/>
                <w:szCs w:val="20"/>
                <w:color w:val="auto"/>
              </w:rPr>
            </w:pPr>
            <w:r>
              <w:rPr>
                <w:rFonts w:ascii="Arial" w:cs="Arial" w:eastAsia="Arial" w:hAnsi="Arial"/>
                <w:sz w:val="14"/>
                <w:szCs w:val="14"/>
                <w:color w:val="auto"/>
              </w:rPr>
              <w:t>$5,641,250</w:t>
            </w:r>
          </w:p>
        </w:tc>
        <w:tc>
          <w:tcPr>
            <w:tcW w:w="1100" w:type="dxa"/>
            <w:vAlign w:val="bottom"/>
            <w:vMerge w:val="restart"/>
            <w:shd w:val="clear" w:color="auto" w:fill="F4F4E5"/>
          </w:tcPr>
          <w:p>
            <w:pPr>
              <w:jc w:val="center"/>
              <w:ind w:right="28"/>
              <w:spacing w:after="0"/>
              <w:rPr>
                <w:sz w:val="20"/>
                <w:szCs w:val="20"/>
                <w:color w:val="auto"/>
              </w:rPr>
            </w:pPr>
            <w:r>
              <w:rPr>
                <w:rFonts w:ascii="Arial" w:cs="Arial" w:eastAsia="Arial" w:hAnsi="Arial"/>
                <w:sz w:val="14"/>
                <w:szCs w:val="14"/>
                <w:color w:val="auto"/>
                <w:w w:val="96"/>
              </w:rPr>
              <w:t>$-</w:t>
            </w:r>
          </w:p>
        </w:tc>
        <w:tc>
          <w:tcPr>
            <w:tcW w:w="1280" w:type="dxa"/>
            <w:vAlign w:val="bottom"/>
            <w:vMerge w:val="restart"/>
            <w:shd w:val="clear" w:color="auto" w:fill="F4F4E5"/>
          </w:tcPr>
          <w:p>
            <w:pPr>
              <w:jc w:val="center"/>
              <w:ind w:right="48"/>
              <w:spacing w:after="0"/>
              <w:rPr>
                <w:sz w:val="20"/>
                <w:szCs w:val="20"/>
                <w:color w:val="auto"/>
              </w:rPr>
            </w:pPr>
            <w:r>
              <w:rPr>
                <w:rFonts w:ascii="Arial" w:cs="Arial" w:eastAsia="Arial" w:hAnsi="Arial"/>
                <w:sz w:val="14"/>
                <w:szCs w:val="14"/>
                <w:color w:val="auto"/>
              </w:rPr>
              <w:t>$875,000</w:t>
            </w:r>
          </w:p>
        </w:tc>
        <w:tc>
          <w:tcPr>
            <w:tcW w:w="1280" w:type="dxa"/>
            <w:vAlign w:val="bottom"/>
            <w:vMerge w:val="restart"/>
            <w:shd w:val="clear" w:color="auto" w:fill="F4F4E5"/>
          </w:tcPr>
          <w:p>
            <w:pPr>
              <w:jc w:val="center"/>
              <w:ind w:left="8"/>
              <w:spacing w:after="0"/>
              <w:rPr>
                <w:sz w:val="20"/>
                <w:szCs w:val="20"/>
                <w:color w:val="auto"/>
              </w:rPr>
            </w:pPr>
            <w:r>
              <w:rPr>
                <w:rFonts w:ascii="Arial" w:cs="Arial" w:eastAsia="Arial" w:hAnsi="Arial"/>
                <w:sz w:val="14"/>
                <w:szCs w:val="14"/>
                <w:color w:val="auto"/>
              </w:rPr>
              <w:t>$132,276</w:t>
            </w:r>
          </w:p>
        </w:tc>
        <w:tc>
          <w:tcPr>
            <w:tcW w:w="1160" w:type="dxa"/>
            <w:vAlign w:val="bottom"/>
            <w:vMerge w:val="restart"/>
            <w:shd w:val="clear" w:color="auto" w:fill="F4F4E5"/>
          </w:tcPr>
          <w:p>
            <w:pPr>
              <w:jc w:val="center"/>
              <w:ind w:left="48"/>
              <w:spacing w:after="0"/>
              <w:rPr>
                <w:sz w:val="20"/>
                <w:szCs w:val="20"/>
                <w:color w:val="auto"/>
              </w:rPr>
            </w:pPr>
            <w:r>
              <w:rPr>
                <w:rFonts w:ascii="Arial" w:cs="Arial" w:eastAsia="Arial" w:hAnsi="Arial"/>
                <w:sz w:val="14"/>
                <w:szCs w:val="14"/>
                <w:color w:val="auto"/>
              </w:rPr>
              <w:t>$7,498,045</w:t>
            </w:r>
          </w:p>
        </w:tc>
        <w:tc>
          <w:tcPr>
            <w:tcW w:w="0" w:type="dxa"/>
            <w:vAlign w:val="bottom"/>
          </w:tcPr>
          <w:p>
            <w:pPr>
              <w:spacing w:after="0"/>
              <w:rPr>
                <w:sz w:val="1"/>
                <w:szCs w:val="1"/>
                <w:color w:val="auto"/>
              </w:rPr>
            </w:pPr>
          </w:p>
        </w:tc>
      </w:tr>
      <w:tr>
        <w:trPr>
          <w:trHeight w:val="176"/>
        </w:trPr>
        <w:tc>
          <w:tcPr>
            <w:tcW w:w="3520" w:type="dxa"/>
            <w:vAlign w:val="bottom"/>
            <w:shd w:val="clear" w:color="auto" w:fill="F4F4E5"/>
          </w:tcPr>
          <w:p>
            <w:pPr>
              <w:spacing w:after="0"/>
              <w:rPr>
                <w:sz w:val="15"/>
                <w:szCs w:val="15"/>
                <w:color w:val="auto"/>
              </w:rPr>
            </w:pPr>
          </w:p>
        </w:tc>
        <w:tc>
          <w:tcPr>
            <w:tcW w:w="100" w:type="dxa"/>
            <w:vAlign w:val="bottom"/>
            <w:shd w:val="clear" w:color="auto" w:fill="F4F4E5"/>
          </w:tcPr>
          <w:p>
            <w:pPr>
              <w:spacing w:after="0"/>
              <w:rPr>
                <w:sz w:val="15"/>
                <w:szCs w:val="15"/>
                <w:color w:val="auto"/>
              </w:rPr>
            </w:pPr>
          </w:p>
        </w:tc>
        <w:tc>
          <w:tcPr>
            <w:tcW w:w="420" w:type="dxa"/>
            <w:vAlign w:val="bottom"/>
            <w:vMerge w:val="continue"/>
            <w:shd w:val="clear" w:color="auto" w:fill="F4F4E5"/>
          </w:tcPr>
          <w:p>
            <w:pPr>
              <w:spacing w:after="0"/>
              <w:rPr>
                <w:sz w:val="15"/>
                <w:szCs w:val="15"/>
                <w:color w:val="auto"/>
              </w:rPr>
            </w:pPr>
          </w:p>
        </w:tc>
        <w:tc>
          <w:tcPr>
            <w:tcW w:w="1060" w:type="dxa"/>
            <w:vAlign w:val="bottom"/>
            <w:vMerge w:val="continue"/>
            <w:shd w:val="clear" w:color="auto" w:fill="F4F4E5"/>
          </w:tcPr>
          <w:p>
            <w:pPr>
              <w:spacing w:after="0"/>
              <w:rPr>
                <w:sz w:val="15"/>
                <w:szCs w:val="15"/>
                <w:color w:val="auto"/>
              </w:rPr>
            </w:pPr>
          </w:p>
        </w:tc>
        <w:tc>
          <w:tcPr>
            <w:tcW w:w="1100" w:type="dxa"/>
            <w:vAlign w:val="bottom"/>
            <w:vMerge w:val="continue"/>
            <w:shd w:val="clear" w:color="auto" w:fill="F4F4E5"/>
          </w:tcPr>
          <w:p>
            <w:pPr>
              <w:spacing w:after="0"/>
              <w:rPr>
                <w:sz w:val="15"/>
                <w:szCs w:val="15"/>
                <w:color w:val="auto"/>
              </w:rPr>
            </w:pPr>
          </w:p>
        </w:tc>
        <w:tc>
          <w:tcPr>
            <w:tcW w:w="1100" w:type="dxa"/>
            <w:vAlign w:val="bottom"/>
            <w:vMerge w:val="continue"/>
            <w:shd w:val="clear" w:color="auto" w:fill="F4F4E5"/>
          </w:tcPr>
          <w:p>
            <w:pPr>
              <w:spacing w:after="0"/>
              <w:rPr>
                <w:sz w:val="15"/>
                <w:szCs w:val="15"/>
                <w:color w:val="auto"/>
              </w:rPr>
            </w:pPr>
          </w:p>
        </w:tc>
        <w:tc>
          <w:tcPr>
            <w:tcW w:w="1280" w:type="dxa"/>
            <w:vAlign w:val="bottom"/>
            <w:vMerge w:val="continue"/>
            <w:shd w:val="clear" w:color="auto" w:fill="F4F4E5"/>
          </w:tcPr>
          <w:p>
            <w:pPr>
              <w:spacing w:after="0"/>
              <w:rPr>
                <w:sz w:val="15"/>
                <w:szCs w:val="15"/>
                <w:color w:val="auto"/>
              </w:rPr>
            </w:pPr>
          </w:p>
        </w:tc>
        <w:tc>
          <w:tcPr>
            <w:tcW w:w="1280" w:type="dxa"/>
            <w:vAlign w:val="bottom"/>
            <w:vMerge w:val="continue"/>
            <w:shd w:val="clear" w:color="auto" w:fill="F4F4E5"/>
          </w:tcPr>
          <w:p>
            <w:pPr>
              <w:spacing w:after="0"/>
              <w:rPr>
                <w:sz w:val="15"/>
                <w:szCs w:val="15"/>
                <w:color w:val="auto"/>
              </w:rPr>
            </w:pPr>
          </w:p>
        </w:tc>
        <w:tc>
          <w:tcPr>
            <w:tcW w:w="1160" w:type="dxa"/>
            <w:vAlign w:val="bottom"/>
            <w:vMerge w:val="continue"/>
            <w:shd w:val="clear" w:color="auto" w:fill="F4F4E5"/>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3520" w:type="dxa"/>
            <w:vAlign w:val="bottom"/>
            <w:shd w:val="clear" w:color="auto" w:fill="F4F4E5"/>
          </w:tcPr>
          <w:p>
            <w:pPr>
              <w:spacing w:after="0"/>
              <w:rPr>
                <w:sz w:val="5"/>
                <w:szCs w:val="5"/>
                <w:color w:val="auto"/>
              </w:rPr>
            </w:pPr>
          </w:p>
        </w:tc>
        <w:tc>
          <w:tcPr>
            <w:tcW w:w="100" w:type="dxa"/>
            <w:vAlign w:val="bottom"/>
            <w:shd w:val="clear" w:color="auto" w:fill="F4F4E5"/>
          </w:tcPr>
          <w:p>
            <w:pPr>
              <w:spacing w:after="0"/>
              <w:rPr>
                <w:sz w:val="5"/>
                <w:szCs w:val="5"/>
                <w:color w:val="auto"/>
              </w:rPr>
            </w:pPr>
          </w:p>
        </w:tc>
        <w:tc>
          <w:tcPr>
            <w:tcW w:w="420" w:type="dxa"/>
            <w:vAlign w:val="bottom"/>
            <w:shd w:val="clear" w:color="auto" w:fill="F4F4E5"/>
          </w:tcPr>
          <w:p>
            <w:pPr>
              <w:spacing w:after="0"/>
              <w:rPr>
                <w:sz w:val="5"/>
                <w:szCs w:val="5"/>
                <w:color w:val="auto"/>
              </w:rPr>
            </w:pPr>
          </w:p>
        </w:tc>
        <w:tc>
          <w:tcPr>
            <w:tcW w:w="1060" w:type="dxa"/>
            <w:vAlign w:val="bottom"/>
            <w:shd w:val="clear" w:color="auto" w:fill="F4F4E5"/>
          </w:tcPr>
          <w:p>
            <w:pPr>
              <w:spacing w:after="0"/>
              <w:rPr>
                <w:sz w:val="5"/>
                <w:szCs w:val="5"/>
                <w:color w:val="auto"/>
              </w:rPr>
            </w:pPr>
          </w:p>
        </w:tc>
        <w:tc>
          <w:tcPr>
            <w:tcW w:w="1100" w:type="dxa"/>
            <w:vAlign w:val="bottom"/>
            <w:shd w:val="clear" w:color="auto" w:fill="F4F4E5"/>
          </w:tcPr>
          <w:p>
            <w:pPr>
              <w:spacing w:after="0"/>
              <w:rPr>
                <w:sz w:val="5"/>
                <w:szCs w:val="5"/>
                <w:color w:val="auto"/>
              </w:rPr>
            </w:pPr>
          </w:p>
        </w:tc>
        <w:tc>
          <w:tcPr>
            <w:tcW w:w="1100" w:type="dxa"/>
            <w:vAlign w:val="bottom"/>
            <w:shd w:val="clear" w:color="auto" w:fill="F4F4E5"/>
          </w:tcPr>
          <w:p>
            <w:pPr>
              <w:spacing w:after="0"/>
              <w:rPr>
                <w:sz w:val="5"/>
                <w:szCs w:val="5"/>
                <w:color w:val="auto"/>
              </w:rPr>
            </w:pPr>
          </w:p>
        </w:tc>
        <w:tc>
          <w:tcPr>
            <w:tcW w:w="1280" w:type="dxa"/>
            <w:vAlign w:val="bottom"/>
            <w:shd w:val="clear" w:color="auto" w:fill="F4F4E5"/>
          </w:tcPr>
          <w:p>
            <w:pPr>
              <w:spacing w:after="0"/>
              <w:rPr>
                <w:sz w:val="5"/>
                <w:szCs w:val="5"/>
                <w:color w:val="auto"/>
              </w:rPr>
            </w:pPr>
          </w:p>
        </w:tc>
        <w:tc>
          <w:tcPr>
            <w:tcW w:w="1280" w:type="dxa"/>
            <w:vAlign w:val="bottom"/>
            <w:shd w:val="clear" w:color="auto" w:fill="F4F4E5"/>
          </w:tcPr>
          <w:p>
            <w:pPr>
              <w:spacing w:after="0"/>
              <w:rPr>
                <w:sz w:val="5"/>
                <w:szCs w:val="5"/>
                <w:color w:val="auto"/>
              </w:rPr>
            </w:pPr>
          </w:p>
        </w:tc>
        <w:tc>
          <w:tcPr>
            <w:tcW w:w="1160" w:type="dxa"/>
            <w:vAlign w:val="bottom"/>
            <w:shd w:val="clear" w:color="auto" w:fill="F4F4E5"/>
          </w:tcPr>
          <w:p>
            <w:pPr>
              <w:spacing w:after="0"/>
              <w:rPr>
                <w:sz w:val="5"/>
                <w:szCs w:val="5"/>
                <w:color w:val="auto"/>
              </w:rPr>
            </w:pPr>
          </w:p>
        </w:tc>
        <w:tc>
          <w:tcPr>
            <w:tcW w:w="0" w:type="dxa"/>
            <w:vAlign w:val="bottom"/>
          </w:tcPr>
          <w:p>
            <w:pPr>
              <w:spacing w:after="0"/>
              <w:rPr>
                <w:sz w:val="1"/>
                <w:szCs w:val="1"/>
                <w:color w:val="auto"/>
              </w:rPr>
            </w:pPr>
          </w:p>
        </w:tc>
      </w:tr>
      <w:tr>
        <w:trPr>
          <w:trHeight w:val="345"/>
        </w:trPr>
        <w:tc>
          <w:tcPr>
            <w:tcW w:w="3520" w:type="dxa"/>
            <w:vAlign w:val="bottom"/>
          </w:tcPr>
          <w:p>
            <w:pPr>
              <w:ind w:left="80"/>
              <w:spacing w:after="0"/>
              <w:rPr>
                <w:sz w:val="20"/>
                <w:szCs w:val="20"/>
                <w:color w:val="auto"/>
              </w:rPr>
            </w:pPr>
            <w:r>
              <w:rPr>
                <w:rFonts w:ascii="Arial" w:cs="Arial" w:eastAsia="Arial" w:hAnsi="Arial"/>
                <w:sz w:val="13"/>
                <w:szCs w:val="13"/>
                <w:b w:val="1"/>
                <w:bCs w:val="1"/>
                <w:color w:val="auto"/>
              </w:rPr>
              <w:t>ELLEN F. WHITTEMORE</w:t>
            </w:r>
          </w:p>
        </w:tc>
        <w:tc>
          <w:tcPr>
            <w:tcW w:w="520" w:type="dxa"/>
            <w:vAlign w:val="bottom"/>
            <w:tcBorders>
              <w:bottom w:val="single" w:sz="8" w:color="EAEFF2"/>
            </w:tcBorders>
            <w:gridSpan w:val="2"/>
            <w:shd w:val="clear" w:color="auto" w:fill="EAEFF2"/>
          </w:tcPr>
          <w:p>
            <w:pPr>
              <w:jc w:val="right"/>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EAEFF2"/>
            </w:tcBorders>
            <w:shd w:val="clear" w:color="auto" w:fill="EAEFF2"/>
          </w:tcPr>
          <w:p>
            <w:pPr>
              <w:jc w:val="center"/>
              <w:spacing w:after="0"/>
              <w:rPr>
                <w:sz w:val="20"/>
                <w:szCs w:val="20"/>
                <w:color w:val="auto"/>
              </w:rPr>
            </w:pPr>
            <w:r>
              <w:rPr>
                <w:rFonts w:ascii="Arial" w:cs="Arial" w:eastAsia="Arial" w:hAnsi="Arial"/>
                <w:sz w:val="14"/>
                <w:szCs w:val="14"/>
                <w:color w:val="auto"/>
              </w:rPr>
              <w:t>$700,000</w:t>
            </w:r>
          </w:p>
        </w:tc>
        <w:tc>
          <w:tcPr>
            <w:tcW w:w="1100" w:type="dxa"/>
            <w:vAlign w:val="bottom"/>
            <w:tcBorders>
              <w:bottom w:val="single" w:sz="8" w:color="EAEFF2"/>
            </w:tcBorders>
            <w:shd w:val="clear" w:color="auto" w:fill="EAEFF2"/>
          </w:tcPr>
          <w:p>
            <w:pPr>
              <w:jc w:val="center"/>
              <w:spacing w:after="0"/>
              <w:rPr>
                <w:sz w:val="20"/>
                <w:szCs w:val="20"/>
                <w:color w:val="auto"/>
              </w:rPr>
            </w:pPr>
            <w:r>
              <w:rPr>
                <w:rFonts w:ascii="Arial" w:cs="Arial" w:eastAsia="Arial" w:hAnsi="Arial"/>
                <w:sz w:val="14"/>
                <w:szCs w:val="14"/>
                <w:color w:val="auto"/>
              </w:rPr>
              <w:t>$1,985,303</w:t>
            </w:r>
          </w:p>
        </w:tc>
        <w:tc>
          <w:tcPr>
            <w:tcW w:w="1100" w:type="dxa"/>
            <w:vAlign w:val="bottom"/>
            <w:tcBorders>
              <w:bottom w:val="single" w:sz="8" w:color="EAEFF2"/>
            </w:tcBorders>
            <w:shd w:val="clear" w:color="auto" w:fill="EAEFF2"/>
          </w:tcPr>
          <w:p>
            <w:pPr>
              <w:jc w:val="center"/>
              <w:ind w:right="28"/>
              <w:spacing w:after="0"/>
              <w:rPr>
                <w:sz w:val="20"/>
                <w:szCs w:val="20"/>
                <w:color w:val="auto"/>
              </w:rPr>
            </w:pPr>
            <w:r>
              <w:rPr>
                <w:rFonts w:ascii="Arial" w:cs="Arial" w:eastAsia="Arial" w:hAnsi="Arial"/>
                <w:sz w:val="14"/>
                <w:szCs w:val="14"/>
                <w:color w:val="auto"/>
              </w:rPr>
              <w:t>$249,824</w:t>
            </w:r>
          </w:p>
        </w:tc>
        <w:tc>
          <w:tcPr>
            <w:tcW w:w="1280" w:type="dxa"/>
            <w:vAlign w:val="bottom"/>
            <w:tcBorders>
              <w:bottom w:val="single" w:sz="8" w:color="EAEFF2"/>
            </w:tcBorders>
            <w:shd w:val="clear" w:color="auto" w:fill="EAEFF2"/>
          </w:tcPr>
          <w:p>
            <w:pPr>
              <w:jc w:val="center"/>
              <w:ind w:right="48"/>
              <w:spacing w:after="0"/>
              <w:rPr>
                <w:sz w:val="20"/>
                <w:szCs w:val="20"/>
                <w:color w:val="auto"/>
              </w:rPr>
            </w:pPr>
            <w:r>
              <w:rPr>
                <w:rFonts w:ascii="Arial" w:cs="Arial" w:eastAsia="Arial" w:hAnsi="Arial"/>
                <w:sz w:val="14"/>
                <w:szCs w:val="14"/>
                <w:color w:val="auto"/>
              </w:rPr>
              <w:t>$308,000</w:t>
            </w:r>
          </w:p>
        </w:tc>
        <w:tc>
          <w:tcPr>
            <w:tcW w:w="1280" w:type="dxa"/>
            <w:vAlign w:val="bottom"/>
            <w:tcBorders>
              <w:bottom w:val="single" w:sz="8" w:color="EAEFF2"/>
            </w:tcBorders>
            <w:shd w:val="clear" w:color="auto" w:fill="EAEFF2"/>
          </w:tcPr>
          <w:p>
            <w:pPr>
              <w:jc w:val="center"/>
              <w:ind w:left="8"/>
              <w:spacing w:after="0"/>
              <w:rPr>
                <w:sz w:val="20"/>
                <w:szCs w:val="20"/>
                <w:color w:val="auto"/>
              </w:rPr>
            </w:pPr>
            <w:r>
              <w:rPr>
                <w:rFonts w:ascii="Arial" w:cs="Arial" w:eastAsia="Arial" w:hAnsi="Arial"/>
                <w:sz w:val="14"/>
                <w:szCs w:val="14"/>
                <w:color w:val="auto"/>
              </w:rPr>
              <w:t>$27,484</w:t>
            </w:r>
          </w:p>
        </w:tc>
        <w:tc>
          <w:tcPr>
            <w:tcW w:w="1160" w:type="dxa"/>
            <w:vAlign w:val="bottom"/>
            <w:tcBorders>
              <w:bottom w:val="single" w:sz="8" w:color="EAEFF2"/>
            </w:tcBorders>
            <w:shd w:val="clear" w:color="auto" w:fill="EAEFF2"/>
          </w:tcPr>
          <w:p>
            <w:pPr>
              <w:jc w:val="center"/>
              <w:ind w:left="48"/>
              <w:spacing w:after="0"/>
              <w:rPr>
                <w:sz w:val="20"/>
                <w:szCs w:val="20"/>
                <w:color w:val="auto"/>
              </w:rPr>
            </w:pPr>
            <w:r>
              <w:rPr>
                <w:rFonts w:ascii="Arial" w:cs="Arial" w:eastAsia="Arial" w:hAnsi="Arial"/>
                <w:sz w:val="14"/>
                <w:szCs w:val="14"/>
                <w:color w:val="auto"/>
              </w:rPr>
              <w:t>$3,270,611</w:t>
            </w:r>
          </w:p>
        </w:tc>
        <w:tc>
          <w:tcPr>
            <w:tcW w:w="0" w:type="dxa"/>
            <w:vAlign w:val="bottom"/>
          </w:tcPr>
          <w:p>
            <w:pPr>
              <w:spacing w:after="0"/>
              <w:rPr>
                <w:sz w:val="1"/>
                <w:szCs w:val="1"/>
                <w:color w:val="auto"/>
              </w:rPr>
            </w:pPr>
          </w:p>
        </w:tc>
      </w:tr>
      <w:tr>
        <w:trPr>
          <w:trHeight w:val="126"/>
        </w:trPr>
        <w:tc>
          <w:tcPr>
            <w:tcW w:w="3520" w:type="dxa"/>
            <w:vAlign w:val="bottom"/>
          </w:tcPr>
          <w:p>
            <w:pPr>
              <w:ind w:left="80"/>
              <w:spacing w:after="0" w:line="127" w:lineRule="exact"/>
              <w:rPr>
                <w:sz w:val="20"/>
                <w:szCs w:val="20"/>
                <w:color w:val="auto"/>
              </w:rPr>
            </w:pPr>
            <w:r>
              <w:rPr>
                <w:rFonts w:ascii="Arial" w:cs="Arial" w:eastAsia="Arial" w:hAnsi="Arial"/>
                <w:sz w:val="14"/>
                <w:szCs w:val="14"/>
                <w:color w:val="auto"/>
              </w:rPr>
              <w:t>Executive Vice President,</w:t>
            </w:r>
          </w:p>
        </w:tc>
        <w:tc>
          <w:tcPr>
            <w:tcW w:w="100" w:type="dxa"/>
            <w:vAlign w:val="bottom"/>
          </w:tcPr>
          <w:p>
            <w:pPr>
              <w:spacing w:after="0"/>
              <w:rPr>
                <w:sz w:val="10"/>
                <w:szCs w:val="10"/>
                <w:color w:val="auto"/>
              </w:rPr>
            </w:pPr>
          </w:p>
        </w:tc>
        <w:tc>
          <w:tcPr>
            <w:tcW w:w="420" w:type="dxa"/>
            <w:vAlign w:val="bottom"/>
            <w:vMerge w:val="restart"/>
            <w:shd w:val="clear" w:color="auto" w:fill="EAEFF2"/>
          </w:tcPr>
          <w:p>
            <w:pPr>
              <w:jc w:val="right"/>
              <w:spacing w:after="0"/>
              <w:rPr>
                <w:sz w:val="20"/>
                <w:szCs w:val="20"/>
                <w:color w:val="auto"/>
              </w:rPr>
            </w:pPr>
            <w:r>
              <w:rPr>
                <w:rFonts w:ascii="Arial" w:cs="Arial" w:eastAsia="Arial" w:hAnsi="Arial"/>
                <w:sz w:val="14"/>
                <w:szCs w:val="14"/>
                <w:color w:val="auto"/>
              </w:rPr>
              <w:t>2019</w:t>
            </w:r>
          </w:p>
        </w:tc>
        <w:tc>
          <w:tcPr>
            <w:tcW w:w="1060" w:type="dxa"/>
            <w:vAlign w:val="bottom"/>
            <w:vMerge w:val="restart"/>
            <w:shd w:val="clear" w:color="auto" w:fill="EAEFF2"/>
          </w:tcPr>
          <w:p>
            <w:pPr>
              <w:jc w:val="center"/>
              <w:spacing w:after="0"/>
              <w:rPr>
                <w:sz w:val="20"/>
                <w:szCs w:val="20"/>
                <w:color w:val="auto"/>
              </w:rPr>
            </w:pPr>
            <w:r>
              <w:rPr>
                <w:rFonts w:ascii="Arial" w:cs="Arial" w:eastAsia="Arial" w:hAnsi="Arial"/>
                <w:sz w:val="14"/>
                <w:szCs w:val="14"/>
                <w:color w:val="auto"/>
              </w:rPr>
              <w:t>$655,000</w:t>
            </w:r>
          </w:p>
        </w:tc>
        <w:tc>
          <w:tcPr>
            <w:tcW w:w="1100" w:type="dxa"/>
            <w:vAlign w:val="bottom"/>
            <w:vMerge w:val="restart"/>
            <w:shd w:val="clear" w:color="auto" w:fill="EAEFF2"/>
          </w:tcPr>
          <w:p>
            <w:pPr>
              <w:jc w:val="center"/>
              <w:spacing w:after="0"/>
              <w:rPr>
                <w:sz w:val="20"/>
                <w:szCs w:val="20"/>
                <w:color w:val="auto"/>
              </w:rPr>
            </w:pPr>
            <w:r>
              <w:rPr>
                <w:rFonts w:ascii="Arial" w:cs="Arial" w:eastAsia="Arial" w:hAnsi="Arial"/>
                <w:sz w:val="14"/>
                <w:szCs w:val="14"/>
                <w:color w:val="auto"/>
              </w:rPr>
              <w:t>$1,310,111</w:t>
            </w:r>
          </w:p>
        </w:tc>
        <w:tc>
          <w:tcPr>
            <w:tcW w:w="1100" w:type="dxa"/>
            <w:vAlign w:val="bottom"/>
            <w:vMerge w:val="restart"/>
            <w:shd w:val="clear" w:color="auto" w:fill="EAEFF2"/>
          </w:tcPr>
          <w:p>
            <w:pPr>
              <w:jc w:val="center"/>
              <w:ind w:right="28"/>
              <w:spacing w:after="0"/>
              <w:rPr>
                <w:sz w:val="20"/>
                <w:szCs w:val="20"/>
                <w:color w:val="auto"/>
              </w:rPr>
            </w:pPr>
            <w:r>
              <w:rPr>
                <w:rFonts w:ascii="Arial" w:cs="Arial" w:eastAsia="Arial" w:hAnsi="Arial"/>
                <w:sz w:val="14"/>
                <w:szCs w:val="14"/>
                <w:color w:val="auto"/>
                <w:w w:val="96"/>
              </w:rPr>
              <w:t>$-</w:t>
            </w:r>
          </w:p>
        </w:tc>
        <w:tc>
          <w:tcPr>
            <w:tcW w:w="1280" w:type="dxa"/>
            <w:vAlign w:val="bottom"/>
            <w:vMerge w:val="restart"/>
            <w:shd w:val="clear" w:color="auto" w:fill="EAEFF2"/>
          </w:tcPr>
          <w:p>
            <w:pPr>
              <w:jc w:val="center"/>
              <w:ind w:right="48"/>
              <w:spacing w:after="0"/>
              <w:rPr>
                <w:sz w:val="20"/>
                <w:szCs w:val="20"/>
                <w:color w:val="auto"/>
              </w:rPr>
            </w:pPr>
            <w:r>
              <w:rPr>
                <w:rFonts w:ascii="Arial" w:cs="Arial" w:eastAsia="Arial" w:hAnsi="Arial"/>
                <w:sz w:val="14"/>
                <w:szCs w:val="14"/>
                <w:color w:val="auto"/>
              </w:rPr>
              <w:t>$560,000</w:t>
            </w:r>
          </w:p>
        </w:tc>
        <w:tc>
          <w:tcPr>
            <w:tcW w:w="1280" w:type="dxa"/>
            <w:vAlign w:val="bottom"/>
            <w:vMerge w:val="restart"/>
            <w:shd w:val="clear" w:color="auto" w:fill="EAEFF2"/>
          </w:tcPr>
          <w:p>
            <w:pPr>
              <w:jc w:val="center"/>
              <w:ind w:left="8"/>
              <w:spacing w:after="0"/>
              <w:rPr>
                <w:sz w:val="20"/>
                <w:szCs w:val="20"/>
                <w:color w:val="auto"/>
              </w:rPr>
            </w:pPr>
            <w:r>
              <w:rPr>
                <w:rFonts w:ascii="Arial" w:cs="Arial" w:eastAsia="Arial" w:hAnsi="Arial"/>
                <w:sz w:val="14"/>
                <w:szCs w:val="14"/>
                <w:color w:val="auto"/>
              </w:rPr>
              <w:t>$67,184</w:t>
            </w:r>
          </w:p>
        </w:tc>
        <w:tc>
          <w:tcPr>
            <w:tcW w:w="1160" w:type="dxa"/>
            <w:vAlign w:val="bottom"/>
            <w:vMerge w:val="restart"/>
            <w:shd w:val="clear" w:color="auto" w:fill="EAEFF2"/>
          </w:tcPr>
          <w:p>
            <w:pPr>
              <w:jc w:val="center"/>
              <w:ind w:left="48"/>
              <w:spacing w:after="0"/>
              <w:rPr>
                <w:sz w:val="20"/>
                <w:szCs w:val="20"/>
                <w:color w:val="auto"/>
              </w:rPr>
            </w:pPr>
            <w:r>
              <w:rPr>
                <w:rFonts w:ascii="Arial" w:cs="Arial" w:eastAsia="Arial" w:hAnsi="Arial"/>
                <w:sz w:val="14"/>
                <w:szCs w:val="14"/>
                <w:color w:val="auto"/>
              </w:rPr>
              <w:t>$2,592,295</w:t>
            </w:r>
          </w:p>
        </w:tc>
        <w:tc>
          <w:tcPr>
            <w:tcW w:w="0" w:type="dxa"/>
            <w:vAlign w:val="bottom"/>
          </w:tcPr>
          <w:p>
            <w:pPr>
              <w:spacing w:after="0"/>
              <w:rPr>
                <w:sz w:val="1"/>
                <w:szCs w:val="1"/>
                <w:color w:val="auto"/>
              </w:rPr>
            </w:pPr>
          </w:p>
        </w:tc>
      </w:tr>
      <w:tr>
        <w:trPr>
          <w:trHeight w:val="118"/>
        </w:trPr>
        <w:tc>
          <w:tcPr>
            <w:tcW w:w="3520" w:type="dxa"/>
            <w:vAlign w:val="bottom"/>
            <w:vMerge w:val="restart"/>
          </w:tcPr>
          <w:p>
            <w:pPr>
              <w:ind w:left="80"/>
              <w:spacing w:after="0"/>
              <w:rPr>
                <w:sz w:val="20"/>
                <w:szCs w:val="20"/>
                <w:color w:val="auto"/>
              </w:rPr>
            </w:pPr>
            <w:r>
              <w:rPr>
                <w:rFonts w:ascii="Arial" w:cs="Arial" w:eastAsia="Arial" w:hAnsi="Arial"/>
                <w:sz w:val="14"/>
                <w:szCs w:val="14"/>
                <w:color w:val="auto"/>
              </w:rPr>
              <w:t>General Counsel and</w:t>
            </w:r>
          </w:p>
        </w:tc>
        <w:tc>
          <w:tcPr>
            <w:tcW w:w="100" w:type="dxa"/>
            <w:vAlign w:val="bottom"/>
          </w:tcPr>
          <w:p>
            <w:pPr>
              <w:spacing w:after="0"/>
              <w:rPr>
                <w:sz w:val="10"/>
                <w:szCs w:val="10"/>
                <w:color w:val="auto"/>
              </w:rPr>
            </w:pPr>
          </w:p>
        </w:tc>
        <w:tc>
          <w:tcPr>
            <w:tcW w:w="420" w:type="dxa"/>
            <w:vAlign w:val="bottom"/>
            <w:vMerge w:val="continue"/>
            <w:shd w:val="clear" w:color="auto" w:fill="EAEFF2"/>
          </w:tcPr>
          <w:p>
            <w:pPr>
              <w:spacing w:after="0"/>
              <w:rPr>
                <w:sz w:val="10"/>
                <w:szCs w:val="10"/>
                <w:color w:val="auto"/>
              </w:rPr>
            </w:pPr>
          </w:p>
        </w:tc>
        <w:tc>
          <w:tcPr>
            <w:tcW w:w="1060" w:type="dxa"/>
            <w:vAlign w:val="bottom"/>
            <w:vMerge w:val="continue"/>
            <w:shd w:val="clear" w:color="auto" w:fill="EAEFF2"/>
          </w:tcPr>
          <w:p>
            <w:pPr>
              <w:spacing w:after="0"/>
              <w:rPr>
                <w:sz w:val="10"/>
                <w:szCs w:val="10"/>
                <w:color w:val="auto"/>
              </w:rPr>
            </w:pPr>
          </w:p>
        </w:tc>
        <w:tc>
          <w:tcPr>
            <w:tcW w:w="1100" w:type="dxa"/>
            <w:vAlign w:val="bottom"/>
            <w:vMerge w:val="continue"/>
            <w:shd w:val="clear" w:color="auto" w:fill="EAEFF2"/>
          </w:tcPr>
          <w:p>
            <w:pPr>
              <w:spacing w:after="0"/>
              <w:rPr>
                <w:sz w:val="10"/>
                <w:szCs w:val="10"/>
                <w:color w:val="auto"/>
              </w:rPr>
            </w:pPr>
          </w:p>
        </w:tc>
        <w:tc>
          <w:tcPr>
            <w:tcW w:w="1100" w:type="dxa"/>
            <w:vAlign w:val="bottom"/>
            <w:vMerge w:val="continue"/>
            <w:shd w:val="clear" w:color="auto" w:fill="EAEFF2"/>
          </w:tcPr>
          <w:p>
            <w:pPr>
              <w:spacing w:after="0"/>
              <w:rPr>
                <w:sz w:val="10"/>
                <w:szCs w:val="10"/>
                <w:color w:val="auto"/>
              </w:rPr>
            </w:pPr>
          </w:p>
        </w:tc>
        <w:tc>
          <w:tcPr>
            <w:tcW w:w="1280" w:type="dxa"/>
            <w:vAlign w:val="bottom"/>
            <w:vMerge w:val="continue"/>
            <w:shd w:val="clear" w:color="auto" w:fill="EAEFF2"/>
          </w:tcPr>
          <w:p>
            <w:pPr>
              <w:spacing w:after="0"/>
              <w:rPr>
                <w:sz w:val="10"/>
                <w:szCs w:val="10"/>
                <w:color w:val="auto"/>
              </w:rPr>
            </w:pPr>
          </w:p>
        </w:tc>
        <w:tc>
          <w:tcPr>
            <w:tcW w:w="1280" w:type="dxa"/>
            <w:vAlign w:val="bottom"/>
            <w:vMerge w:val="continue"/>
            <w:shd w:val="clear" w:color="auto" w:fill="EAEFF2"/>
          </w:tcPr>
          <w:p>
            <w:pPr>
              <w:spacing w:after="0"/>
              <w:rPr>
                <w:sz w:val="10"/>
                <w:szCs w:val="10"/>
                <w:color w:val="auto"/>
              </w:rPr>
            </w:pPr>
          </w:p>
        </w:tc>
        <w:tc>
          <w:tcPr>
            <w:tcW w:w="1160" w:type="dxa"/>
            <w:vAlign w:val="bottom"/>
            <w:vMerge w:val="continue"/>
            <w:shd w:val="clear" w:color="auto" w:fill="EAEFF2"/>
          </w:tcPr>
          <w:p>
            <w:pPr>
              <w:spacing w:after="0"/>
              <w:rPr>
                <w:sz w:val="10"/>
                <w:szCs w:val="10"/>
                <w:color w:val="auto"/>
              </w:rPr>
            </w:pPr>
          </w:p>
        </w:tc>
        <w:tc>
          <w:tcPr>
            <w:tcW w:w="0" w:type="dxa"/>
            <w:vAlign w:val="bottom"/>
          </w:tcPr>
          <w:p>
            <w:pPr>
              <w:spacing w:after="0"/>
              <w:rPr>
                <w:sz w:val="1"/>
                <w:szCs w:val="1"/>
                <w:color w:val="auto"/>
              </w:rPr>
            </w:pPr>
          </w:p>
        </w:tc>
      </w:tr>
      <w:tr>
        <w:trPr>
          <w:trHeight w:val="46"/>
        </w:trPr>
        <w:tc>
          <w:tcPr>
            <w:tcW w:w="35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EAEFF2"/>
            </w:tcBorders>
            <w:shd w:val="clear" w:color="auto" w:fill="EAEFF2"/>
          </w:tcPr>
          <w:p>
            <w:pPr>
              <w:spacing w:after="0"/>
              <w:rPr>
                <w:sz w:val="4"/>
                <w:szCs w:val="4"/>
                <w:color w:val="auto"/>
              </w:rPr>
            </w:pPr>
          </w:p>
        </w:tc>
        <w:tc>
          <w:tcPr>
            <w:tcW w:w="1060" w:type="dxa"/>
            <w:vAlign w:val="bottom"/>
            <w:tcBorders>
              <w:bottom w:val="single" w:sz="8" w:color="EAEFF2"/>
            </w:tcBorders>
            <w:shd w:val="clear" w:color="auto" w:fill="EAEFF2"/>
          </w:tcPr>
          <w:p>
            <w:pPr>
              <w:spacing w:after="0"/>
              <w:rPr>
                <w:sz w:val="4"/>
                <w:szCs w:val="4"/>
                <w:color w:val="auto"/>
              </w:rPr>
            </w:pPr>
          </w:p>
        </w:tc>
        <w:tc>
          <w:tcPr>
            <w:tcW w:w="1100" w:type="dxa"/>
            <w:vAlign w:val="bottom"/>
            <w:tcBorders>
              <w:bottom w:val="single" w:sz="8" w:color="EAEFF2"/>
            </w:tcBorders>
            <w:shd w:val="clear" w:color="auto" w:fill="EAEFF2"/>
          </w:tcPr>
          <w:p>
            <w:pPr>
              <w:spacing w:after="0"/>
              <w:rPr>
                <w:sz w:val="4"/>
                <w:szCs w:val="4"/>
                <w:color w:val="auto"/>
              </w:rPr>
            </w:pPr>
          </w:p>
        </w:tc>
        <w:tc>
          <w:tcPr>
            <w:tcW w:w="1100" w:type="dxa"/>
            <w:vAlign w:val="bottom"/>
            <w:tcBorders>
              <w:bottom w:val="single" w:sz="8" w:color="EAEFF2"/>
            </w:tcBorders>
            <w:shd w:val="clear" w:color="auto" w:fill="EAEFF2"/>
          </w:tcPr>
          <w:p>
            <w:pPr>
              <w:spacing w:after="0"/>
              <w:rPr>
                <w:sz w:val="4"/>
                <w:szCs w:val="4"/>
                <w:color w:val="auto"/>
              </w:rPr>
            </w:pPr>
          </w:p>
        </w:tc>
        <w:tc>
          <w:tcPr>
            <w:tcW w:w="1280" w:type="dxa"/>
            <w:vAlign w:val="bottom"/>
            <w:tcBorders>
              <w:bottom w:val="single" w:sz="8" w:color="EAEFF2"/>
            </w:tcBorders>
            <w:shd w:val="clear" w:color="auto" w:fill="EAEFF2"/>
          </w:tcPr>
          <w:p>
            <w:pPr>
              <w:spacing w:after="0"/>
              <w:rPr>
                <w:sz w:val="4"/>
                <w:szCs w:val="4"/>
                <w:color w:val="auto"/>
              </w:rPr>
            </w:pPr>
          </w:p>
        </w:tc>
        <w:tc>
          <w:tcPr>
            <w:tcW w:w="1280" w:type="dxa"/>
            <w:vAlign w:val="bottom"/>
            <w:tcBorders>
              <w:bottom w:val="single" w:sz="8" w:color="EAEFF2"/>
            </w:tcBorders>
            <w:shd w:val="clear" w:color="auto" w:fill="EAEFF2"/>
          </w:tcPr>
          <w:p>
            <w:pPr>
              <w:spacing w:after="0"/>
              <w:rPr>
                <w:sz w:val="4"/>
                <w:szCs w:val="4"/>
                <w:color w:val="auto"/>
              </w:rPr>
            </w:pPr>
          </w:p>
        </w:tc>
        <w:tc>
          <w:tcPr>
            <w:tcW w:w="1160" w:type="dxa"/>
            <w:vAlign w:val="bottom"/>
            <w:tcBorders>
              <w:bottom w:val="single" w:sz="8" w:color="EAEFF2"/>
            </w:tcBorders>
            <w:shd w:val="clear" w:color="auto" w:fill="EAEFF2"/>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520" w:type="dxa"/>
            <w:vAlign w:val="bottom"/>
          </w:tcPr>
          <w:p>
            <w:pPr>
              <w:ind w:left="80"/>
              <w:spacing w:after="0" w:line="150" w:lineRule="exact"/>
              <w:rPr>
                <w:sz w:val="20"/>
                <w:szCs w:val="20"/>
                <w:color w:val="auto"/>
              </w:rPr>
            </w:pPr>
            <w:r>
              <w:rPr>
                <w:rFonts w:ascii="Arial" w:cs="Arial" w:eastAsia="Arial" w:hAnsi="Arial"/>
                <w:sz w:val="14"/>
                <w:szCs w:val="14"/>
                <w:color w:val="auto"/>
              </w:rPr>
              <w:t>Secretary</w:t>
            </w:r>
          </w:p>
        </w:tc>
        <w:tc>
          <w:tcPr>
            <w:tcW w:w="520" w:type="dxa"/>
            <w:vAlign w:val="bottom"/>
            <w:gridSpan w:val="2"/>
            <w:vMerge w:val="restart"/>
          </w:tcPr>
          <w:p>
            <w:pPr>
              <w:jc w:val="right"/>
              <w:spacing w:after="0"/>
              <w:rPr>
                <w:sz w:val="20"/>
                <w:szCs w:val="20"/>
                <w:color w:val="auto"/>
              </w:rPr>
            </w:pPr>
            <w:r>
              <w:rPr>
                <w:rFonts w:ascii="Arial" w:cs="Arial" w:eastAsia="Arial" w:hAnsi="Arial"/>
                <w:sz w:val="14"/>
                <w:szCs w:val="14"/>
                <w:color w:val="auto"/>
              </w:rPr>
              <w:t>2018</w:t>
            </w:r>
          </w:p>
        </w:tc>
        <w:tc>
          <w:tcPr>
            <w:tcW w:w="1060" w:type="dxa"/>
            <w:vAlign w:val="bottom"/>
            <w:vMerge w:val="restart"/>
          </w:tcPr>
          <w:p>
            <w:pPr>
              <w:jc w:val="center"/>
              <w:spacing w:after="0"/>
              <w:rPr>
                <w:sz w:val="20"/>
                <w:szCs w:val="20"/>
                <w:color w:val="auto"/>
              </w:rPr>
            </w:pPr>
            <w:r>
              <w:rPr>
                <w:rFonts w:ascii="Arial" w:cs="Arial" w:eastAsia="Arial" w:hAnsi="Arial"/>
                <w:sz w:val="14"/>
                <w:szCs w:val="14"/>
                <w:color w:val="auto"/>
              </w:rPr>
              <w:t>$253,846</w:t>
            </w:r>
          </w:p>
        </w:tc>
        <w:tc>
          <w:tcPr>
            <w:tcW w:w="1100" w:type="dxa"/>
            <w:vAlign w:val="bottom"/>
            <w:vMerge w:val="restart"/>
          </w:tcPr>
          <w:p>
            <w:pPr>
              <w:jc w:val="center"/>
              <w:spacing w:after="0"/>
              <w:rPr>
                <w:sz w:val="20"/>
                <w:szCs w:val="20"/>
                <w:color w:val="auto"/>
              </w:rPr>
            </w:pPr>
            <w:r>
              <w:rPr>
                <w:rFonts w:ascii="Arial" w:cs="Arial" w:eastAsia="Arial" w:hAnsi="Arial"/>
                <w:sz w:val="14"/>
                <w:szCs w:val="14"/>
                <w:color w:val="auto"/>
              </w:rPr>
              <w:t>$1,421,550</w:t>
            </w:r>
          </w:p>
        </w:tc>
        <w:tc>
          <w:tcPr>
            <w:tcW w:w="1100" w:type="dxa"/>
            <w:vAlign w:val="bottom"/>
            <w:vMerge w:val="restart"/>
          </w:tcPr>
          <w:p>
            <w:pPr>
              <w:jc w:val="center"/>
              <w:ind w:right="28"/>
              <w:spacing w:after="0"/>
              <w:rPr>
                <w:sz w:val="20"/>
                <w:szCs w:val="20"/>
                <w:color w:val="auto"/>
              </w:rPr>
            </w:pPr>
            <w:r>
              <w:rPr>
                <w:rFonts w:ascii="Arial" w:cs="Arial" w:eastAsia="Arial" w:hAnsi="Arial"/>
                <w:sz w:val="14"/>
                <w:szCs w:val="14"/>
                <w:color w:val="auto"/>
                <w:w w:val="96"/>
              </w:rPr>
              <w:t>$-</w:t>
            </w:r>
          </w:p>
        </w:tc>
        <w:tc>
          <w:tcPr>
            <w:tcW w:w="1280" w:type="dxa"/>
            <w:vAlign w:val="bottom"/>
            <w:vMerge w:val="restart"/>
          </w:tcPr>
          <w:p>
            <w:pPr>
              <w:jc w:val="center"/>
              <w:ind w:right="48"/>
              <w:spacing w:after="0"/>
              <w:rPr>
                <w:sz w:val="20"/>
                <w:szCs w:val="20"/>
                <w:color w:val="auto"/>
              </w:rPr>
            </w:pPr>
            <w:r>
              <w:rPr>
                <w:rFonts w:ascii="Arial" w:cs="Arial" w:eastAsia="Arial" w:hAnsi="Arial"/>
                <w:sz w:val="14"/>
                <w:szCs w:val="14"/>
                <w:color w:val="auto"/>
              </w:rPr>
              <w:t>$300,000</w:t>
            </w:r>
          </w:p>
        </w:tc>
        <w:tc>
          <w:tcPr>
            <w:tcW w:w="1280" w:type="dxa"/>
            <w:vAlign w:val="bottom"/>
            <w:vMerge w:val="restart"/>
          </w:tcPr>
          <w:p>
            <w:pPr>
              <w:jc w:val="center"/>
              <w:ind w:left="8"/>
              <w:spacing w:after="0"/>
              <w:rPr>
                <w:sz w:val="20"/>
                <w:szCs w:val="20"/>
                <w:color w:val="auto"/>
              </w:rPr>
            </w:pPr>
            <w:r>
              <w:rPr>
                <w:rFonts w:ascii="Arial" w:cs="Arial" w:eastAsia="Arial" w:hAnsi="Arial"/>
                <w:sz w:val="14"/>
                <w:szCs w:val="14"/>
                <w:color w:val="auto"/>
              </w:rPr>
              <w:t>$14,150</w:t>
            </w:r>
          </w:p>
        </w:tc>
        <w:tc>
          <w:tcPr>
            <w:tcW w:w="1160" w:type="dxa"/>
            <w:vAlign w:val="bottom"/>
            <w:vMerge w:val="restart"/>
          </w:tcPr>
          <w:p>
            <w:pPr>
              <w:jc w:val="center"/>
              <w:ind w:left="48"/>
              <w:spacing w:after="0"/>
              <w:rPr>
                <w:sz w:val="20"/>
                <w:szCs w:val="20"/>
                <w:color w:val="auto"/>
              </w:rPr>
            </w:pPr>
            <w:r>
              <w:rPr>
                <w:rFonts w:ascii="Arial" w:cs="Arial" w:eastAsia="Arial" w:hAnsi="Arial"/>
                <w:sz w:val="14"/>
                <w:szCs w:val="14"/>
                <w:color w:val="auto"/>
              </w:rPr>
              <w:t>$1,989,546</w:t>
            </w:r>
          </w:p>
        </w:tc>
        <w:tc>
          <w:tcPr>
            <w:tcW w:w="0" w:type="dxa"/>
            <w:vAlign w:val="bottom"/>
          </w:tcPr>
          <w:p>
            <w:pPr>
              <w:spacing w:after="0"/>
              <w:rPr>
                <w:sz w:val="1"/>
                <w:szCs w:val="1"/>
                <w:color w:val="auto"/>
              </w:rPr>
            </w:pPr>
          </w:p>
        </w:tc>
      </w:tr>
      <w:tr>
        <w:trPr>
          <w:trHeight w:val="95"/>
        </w:trPr>
        <w:tc>
          <w:tcPr>
            <w:tcW w:w="3520" w:type="dxa"/>
            <w:vAlign w:val="bottom"/>
          </w:tcPr>
          <w:p>
            <w:pPr>
              <w:spacing w:after="0"/>
              <w:rPr>
                <w:sz w:val="8"/>
                <w:szCs w:val="8"/>
                <w:color w:val="auto"/>
              </w:rPr>
            </w:pPr>
          </w:p>
        </w:tc>
        <w:tc>
          <w:tcPr>
            <w:tcW w:w="52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280" w:hanging="164"/>
        <w:spacing w:after="0"/>
        <w:tabs>
          <w:tab w:leader="none" w:pos="280" w:val="left"/>
        </w:tabs>
        <w:numPr>
          <w:ilvl w:val="0"/>
          <w:numId w:val="72"/>
        </w:numPr>
        <w:rPr>
          <w:rFonts w:ascii="Arial" w:cs="Arial" w:eastAsia="Arial" w:hAnsi="Arial"/>
          <w:sz w:val="10"/>
          <w:szCs w:val="10"/>
          <w:color w:val="auto"/>
        </w:rPr>
      </w:pPr>
      <w:r>
        <w:rPr>
          <w:rFonts w:ascii="Arial" w:cs="Arial" w:eastAsia="Arial" w:hAnsi="Arial"/>
          <w:sz w:val="12"/>
          <w:szCs w:val="12"/>
          <w:color w:val="auto"/>
        </w:rPr>
        <w:t>The amounts set forth in this column reflects each Named Executive Officer’s annual base salary approved by the Compensation Committee. On March 23, 2020, in response to the COVID-19</w:t>
      </w:r>
    </w:p>
    <w:p>
      <w:pPr>
        <w:ind w:left="120" w:right="20"/>
        <w:spacing w:after="0" w:line="221" w:lineRule="auto"/>
        <w:rPr>
          <w:rFonts w:ascii="Arial" w:cs="Arial" w:eastAsia="Arial" w:hAnsi="Arial"/>
          <w:sz w:val="10"/>
          <w:szCs w:val="10"/>
          <w:color w:val="auto"/>
        </w:rPr>
      </w:pPr>
      <w:r>
        <w:rPr>
          <w:rFonts w:ascii="Arial" w:cs="Arial" w:eastAsia="Arial" w:hAnsi="Arial"/>
          <w:sz w:val="13"/>
          <w:szCs w:val="13"/>
          <w:color w:val="auto"/>
        </w:rPr>
        <w:t>pandemic, Mr. Maddox elected to receive 100% of the remainder of his annual salary in the form of a restricted stock award, Mr. Billings elected to receive 50% of the reminder of his annual salary in the form of a restricted stock award, and Ms. Whittemore elected to receive 35% of the remainder of her annual salary in the form of a restricted stock award. The full annual base salary for each such Named Executive Officer is reflected above and the incremental value of such restricted stock awards, as computed in accordance with FASB ASC Topic 718, are included in the Stock Awards column. Such incremental amounts included in the Stock Awards column for Mr. Maddox, Mr. Billings and Ms. Whittemore were $384,789, $138,496 and $64,655, respectively. The number of shares each Named Executive Officer was granted was determined based on the total amount of each of their respective base salaries for the remainder of the year and the 3-day volume weighted average of the Company’s stock price ending on March 20, 2020.</w:t>
      </w:r>
    </w:p>
    <w:p>
      <w:pPr>
        <w:spacing w:after="0" w:line="92" w:lineRule="exact"/>
        <w:rPr>
          <w:rFonts w:ascii="Arial" w:cs="Arial" w:eastAsia="Arial" w:hAnsi="Arial"/>
          <w:sz w:val="10"/>
          <w:szCs w:val="10"/>
          <w:color w:val="auto"/>
        </w:rPr>
      </w:pPr>
    </w:p>
    <w:p>
      <w:pPr>
        <w:ind w:left="120" w:right="60" w:hanging="4"/>
        <w:spacing w:after="0" w:line="234" w:lineRule="auto"/>
        <w:tabs>
          <w:tab w:leader="none" w:pos="286" w:val="left"/>
        </w:tabs>
        <w:numPr>
          <w:ilvl w:val="0"/>
          <w:numId w:val="72"/>
        </w:numPr>
        <w:rPr>
          <w:rFonts w:ascii="Arial" w:cs="Arial" w:eastAsia="Arial" w:hAnsi="Arial"/>
          <w:sz w:val="10"/>
          <w:szCs w:val="10"/>
          <w:color w:val="auto"/>
        </w:rPr>
      </w:pPr>
      <w:r>
        <w:rPr>
          <w:rFonts w:ascii="Arial" w:cs="Arial" w:eastAsia="Arial" w:hAnsi="Arial"/>
          <w:sz w:val="12"/>
          <w:szCs w:val="12"/>
          <w:color w:val="auto"/>
        </w:rPr>
        <w:t>Stock awards granted as a component of the 2020, 2019 and 2018 annual incentive awards are reported in this column as 2020, 2019 and 2018 compensation, respectively, to reflect the applicable service period for such awards; however, the stock grants were approved by the Compensation Committee in January of the following calendar year. See annual incentive award payouts as described in “Compensation Discussion and Analysis-How We Designed Incentives for 2020-Elements of Pay” for a description of the 2020 annual incentive awards. The amounts reported in this column reflect a portion from restricted stock grants which are not related to the annual incentive awards and were reported in the year of grant. Except as otherwise noted, certain grants in this column vest based on specified performance criteria and are reflected in this column at 100% of the aggregate grant date fair value. In February 2020, in connection with an extension of</w:t>
      </w:r>
    </w:p>
    <w:p>
      <w:pPr>
        <w:spacing w:after="0" w:line="2" w:lineRule="exact"/>
        <w:rPr>
          <w:rFonts w:ascii="Arial" w:cs="Arial" w:eastAsia="Arial" w:hAnsi="Arial"/>
          <w:sz w:val="10"/>
          <w:szCs w:val="10"/>
          <w:color w:val="auto"/>
        </w:rPr>
      </w:pPr>
    </w:p>
    <w:p>
      <w:pPr>
        <w:jc w:val="both"/>
        <w:ind w:left="120" w:right="160"/>
        <w:spacing w:after="0" w:line="225" w:lineRule="auto"/>
        <w:rPr>
          <w:rFonts w:ascii="Arial" w:cs="Arial" w:eastAsia="Arial" w:hAnsi="Arial"/>
          <w:sz w:val="10"/>
          <w:szCs w:val="10"/>
          <w:color w:val="auto"/>
        </w:rPr>
      </w:pPr>
      <w:r>
        <w:rPr>
          <w:rFonts w:ascii="Arial" w:cs="Arial" w:eastAsia="Arial" w:hAnsi="Arial"/>
          <w:sz w:val="13"/>
          <w:szCs w:val="13"/>
          <w:color w:val="auto"/>
        </w:rPr>
        <w:t>Mr. Maddox’s employment agreement, the Compensation Committee approved a grant for Mr. Maddox totaling 180,000 restricted shares, assuming achievement at maximum performance, that all vest entirely based on the achievement of certain performance criteria as described under “2020 Grants of Plan-Based Awards”. This column reflects $10,798,125 of compensation for Mr. Maddox related to 97,500 restricted shares that were determined to be probable of vesting on the</w:t>
      </w:r>
    </w:p>
    <w:p>
      <w:pPr>
        <w:spacing w:after="0" w:line="50" w:lineRule="exact"/>
        <w:rPr>
          <w:sz w:val="20"/>
          <w:szCs w:val="20"/>
          <w:color w:val="auto"/>
        </w:rPr>
      </w:pPr>
    </w:p>
    <w:p>
      <w:pPr>
        <w:ind w:left="800" w:hanging="684"/>
        <w:spacing w:after="0"/>
        <w:tabs>
          <w:tab w:leader="none" w:pos="800" w:val="left"/>
        </w:tabs>
        <w:numPr>
          <w:ilvl w:val="0"/>
          <w:numId w:val="73"/>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8" w:lineRule="exact"/>
        <w:rPr>
          <w:sz w:val="20"/>
          <w:szCs w:val="20"/>
          <w:color w:val="auto"/>
        </w:rPr>
      </w:pPr>
    </w:p>
    <w:p>
      <w:pPr>
        <w:ind w:left="120" w:right="20"/>
        <w:spacing w:after="0" w:line="223" w:lineRule="auto"/>
        <w:rPr>
          <w:sz w:val="20"/>
          <w:szCs w:val="20"/>
          <w:color w:val="auto"/>
        </w:rPr>
      </w:pPr>
      <w:r>
        <w:rPr>
          <w:rFonts w:ascii="Arial" w:cs="Arial" w:eastAsia="Arial" w:hAnsi="Arial"/>
          <w:sz w:val="13"/>
          <w:szCs w:val="13"/>
          <w:color w:val="auto"/>
        </w:rPr>
        <w:t>grant date or thereafter. This column does not reflect $9,136,875 of compensation for Mr. Maddox related to 82,500 of restricted shares that was determined not to be probable of vesting on the grant date (together with the probable portion of the award, the highest level of achievement is $19,935,000). In light of the pandemic, and in an effort to provide equity incentives to management broadly throughout the Company, on August 18, 2020, Mr. Maddox requested, and the Compensation Committee agreed, to cancel 140,000 shares of the February 2020 performance share grant ($6.4 million at grant date value).</w:t>
      </w:r>
    </w:p>
    <w:p>
      <w:pPr>
        <w:spacing w:after="0" w:line="92" w:lineRule="exact"/>
        <w:rPr>
          <w:sz w:val="20"/>
          <w:szCs w:val="20"/>
          <w:color w:val="auto"/>
        </w:rPr>
      </w:pPr>
    </w:p>
    <w:p>
      <w:pPr>
        <w:ind w:left="120" w:right="60" w:hanging="4"/>
        <w:spacing w:after="0" w:line="222" w:lineRule="auto"/>
        <w:tabs>
          <w:tab w:leader="none" w:pos="286" w:val="left"/>
        </w:tabs>
        <w:numPr>
          <w:ilvl w:val="0"/>
          <w:numId w:val="74"/>
        </w:numPr>
        <w:rPr>
          <w:rFonts w:ascii="Arial" w:cs="Arial" w:eastAsia="Arial" w:hAnsi="Arial"/>
          <w:sz w:val="11"/>
          <w:szCs w:val="11"/>
          <w:color w:val="auto"/>
        </w:rPr>
      </w:pPr>
      <w:r>
        <w:rPr>
          <w:rFonts w:ascii="Arial" w:cs="Arial" w:eastAsia="Arial" w:hAnsi="Arial"/>
          <w:sz w:val="13"/>
          <w:szCs w:val="13"/>
          <w:color w:val="auto"/>
        </w:rPr>
        <w:t>The amounts set forth in this column reflect the aggregate grant date fair value of stock awards and stock options computed in accordance with FASB ASC Topic 718, excluding estimated forfeitures. Performance-based restricted share awards in this column are reflected based on the probable outcome of such conditions as of the applicable grant date in accordance with accounting standards for stock-based compensation. Except as otherwise described in the footnotes to this table, all performance-based restricted share awards were deemed probable of vesting on the grant date. See our Annual Report on Form 10-K for the year ended December 31, 2020, Item 8, Note 12 -“Stock-Based Compensation” to our Consolidated Financial Statements for assumptions used in computing fair value.</w:t>
      </w:r>
    </w:p>
    <w:p>
      <w:pPr>
        <w:spacing w:after="0" w:line="91" w:lineRule="exact"/>
        <w:rPr>
          <w:rFonts w:ascii="Arial" w:cs="Arial" w:eastAsia="Arial" w:hAnsi="Arial"/>
          <w:sz w:val="11"/>
          <w:szCs w:val="11"/>
          <w:color w:val="auto"/>
        </w:rPr>
      </w:pPr>
    </w:p>
    <w:p>
      <w:pPr>
        <w:ind w:left="120" w:right="20" w:hanging="4"/>
        <w:spacing w:after="0" w:line="230" w:lineRule="auto"/>
        <w:tabs>
          <w:tab w:leader="none" w:pos="286" w:val="left"/>
        </w:tabs>
        <w:numPr>
          <w:ilvl w:val="0"/>
          <w:numId w:val="74"/>
        </w:numPr>
        <w:rPr>
          <w:rFonts w:ascii="Arial" w:cs="Arial" w:eastAsia="Arial" w:hAnsi="Arial"/>
          <w:sz w:val="11"/>
          <w:szCs w:val="11"/>
          <w:color w:val="auto"/>
        </w:rPr>
      </w:pPr>
      <w:r>
        <w:rPr>
          <w:rFonts w:ascii="Arial" w:cs="Arial" w:eastAsia="Arial" w:hAnsi="Arial"/>
          <w:sz w:val="13"/>
          <w:szCs w:val="13"/>
          <w:color w:val="auto"/>
        </w:rPr>
        <w:t>The amounts set forth in this column represent stock options of Wynn Interactive Ltd., an indirect 72% owned subsidiary of Wynn Resorts (“Wynn Interactive”), Limited, granted to Messrs. Maddox and Billings and Ms. Whittemore in 2020.</w:t>
      </w:r>
    </w:p>
    <w:p>
      <w:pPr>
        <w:spacing w:after="0" w:line="91" w:lineRule="exact"/>
        <w:rPr>
          <w:rFonts w:ascii="Arial" w:cs="Arial" w:eastAsia="Arial" w:hAnsi="Arial"/>
          <w:sz w:val="11"/>
          <w:szCs w:val="11"/>
          <w:color w:val="auto"/>
        </w:rPr>
      </w:pPr>
    </w:p>
    <w:p>
      <w:pPr>
        <w:ind w:left="120" w:right="500" w:hanging="4"/>
        <w:spacing w:after="0" w:line="230" w:lineRule="auto"/>
        <w:tabs>
          <w:tab w:leader="none" w:pos="286" w:val="left"/>
        </w:tabs>
        <w:numPr>
          <w:ilvl w:val="0"/>
          <w:numId w:val="74"/>
        </w:numPr>
        <w:rPr>
          <w:rFonts w:ascii="Arial" w:cs="Arial" w:eastAsia="Arial" w:hAnsi="Arial"/>
          <w:sz w:val="11"/>
          <w:szCs w:val="11"/>
          <w:color w:val="auto"/>
        </w:rPr>
      </w:pPr>
      <w:r>
        <w:rPr>
          <w:rFonts w:ascii="Arial" w:cs="Arial" w:eastAsia="Arial" w:hAnsi="Arial"/>
          <w:sz w:val="13"/>
          <w:szCs w:val="13"/>
          <w:color w:val="auto"/>
        </w:rPr>
        <w:t>As described above under “Compensation Discussion and Analysis-How We Designed Incentives for 2020-Elements of Pay,” in January 2021, the Compensation Committee exercised its discretion to pay 50% of the actual earned annual incentive for all NEO’s in stock that was fully vested at grant.</w:t>
      </w:r>
    </w:p>
    <w:p>
      <w:pPr>
        <w:spacing w:after="0" w:line="76" w:lineRule="exact"/>
        <w:rPr>
          <w:rFonts w:ascii="Arial" w:cs="Arial" w:eastAsia="Arial" w:hAnsi="Arial"/>
          <w:sz w:val="11"/>
          <w:szCs w:val="11"/>
          <w:color w:val="auto"/>
        </w:rPr>
      </w:pPr>
    </w:p>
    <w:p>
      <w:pPr>
        <w:ind w:left="280" w:hanging="164"/>
        <w:spacing w:after="0"/>
        <w:tabs>
          <w:tab w:leader="none" w:pos="280" w:val="left"/>
        </w:tabs>
        <w:numPr>
          <w:ilvl w:val="0"/>
          <w:numId w:val="74"/>
        </w:numPr>
        <w:rPr>
          <w:rFonts w:ascii="Arial" w:cs="Arial" w:eastAsia="Arial" w:hAnsi="Arial"/>
          <w:sz w:val="11"/>
          <w:szCs w:val="11"/>
          <w:color w:val="auto"/>
        </w:rPr>
      </w:pPr>
      <w:r>
        <w:rPr>
          <w:rFonts w:ascii="Arial" w:cs="Arial" w:eastAsia="Arial" w:hAnsi="Arial"/>
          <w:sz w:val="13"/>
          <w:szCs w:val="13"/>
          <w:color w:val="auto"/>
        </w:rPr>
        <w:t>The following amounts for 2020 are included in “All Other Compensation” for Mr. Maddox:</w:t>
      </w:r>
    </w:p>
    <w:p>
      <w:pPr>
        <w:ind w:left="480" w:hanging="144"/>
        <w:spacing w:after="0" w:line="216" w:lineRule="auto"/>
        <w:tabs>
          <w:tab w:leader="none" w:pos="4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accrued cash dividends on unvested restricted stock of $472,836;</w:t>
      </w:r>
    </w:p>
    <w:p>
      <w:pPr>
        <w:ind w:left="520" w:hanging="184"/>
        <w:spacing w:after="0" w:line="216" w:lineRule="auto"/>
        <w:tabs>
          <w:tab w:leader="none" w:pos="520" w:val="left"/>
        </w:tabs>
        <w:numPr>
          <w:ilvl w:val="1"/>
          <w:numId w:val="74"/>
        </w:numPr>
        <w:rPr>
          <w:rFonts w:ascii="Arial" w:cs="Arial" w:eastAsia="Arial" w:hAnsi="Arial"/>
          <w:sz w:val="13"/>
          <w:szCs w:val="13"/>
          <w:color w:val="auto"/>
        </w:rPr>
      </w:pPr>
      <w:r>
        <w:rPr>
          <w:rFonts w:ascii="Arial" w:cs="Arial" w:eastAsia="Arial" w:hAnsi="Arial"/>
          <w:sz w:val="13"/>
          <w:szCs w:val="13"/>
          <w:color w:val="auto"/>
        </w:rPr>
        <w:t>insurance premiums and benefits including executive life and medical insurance of $1,781; and</w:t>
      </w:r>
    </w:p>
    <w:p>
      <w:pPr>
        <w:ind w:left="540" w:hanging="204"/>
        <w:spacing w:after="0"/>
        <w:tabs>
          <w:tab w:leader="none" w:pos="540" w:val="left"/>
        </w:tabs>
        <w:numPr>
          <w:ilvl w:val="1"/>
          <w:numId w:val="74"/>
        </w:numPr>
        <w:rPr>
          <w:rFonts w:ascii="Arial" w:cs="Arial" w:eastAsia="Arial" w:hAnsi="Arial"/>
          <w:sz w:val="13"/>
          <w:szCs w:val="13"/>
          <w:color w:val="auto"/>
        </w:rPr>
      </w:pPr>
      <w:r>
        <w:rPr>
          <w:rFonts w:ascii="Arial" w:cs="Arial" w:eastAsia="Arial" w:hAnsi="Arial"/>
          <w:sz w:val="13"/>
          <w:szCs w:val="13"/>
          <w:color w:val="auto"/>
        </w:rPr>
        <w:t>reimbursement of taxes related to work performed in Massachusetts of $14,638.</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amounts for 2020 are included in “All Other Compensation” for Mr. Billings:</w:t>
      </w:r>
    </w:p>
    <w:p>
      <w:pPr>
        <w:ind w:left="480" w:hanging="144"/>
        <w:spacing w:after="0" w:line="216" w:lineRule="auto"/>
        <w:tabs>
          <w:tab w:leader="none" w:pos="4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accrued cash dividends on unvested restricted stock of $66,756;</w:t>
      </w:r>
    </w:p>
    <w:p>
      <w:pPr>
        <w:ind w:left="520" w:hanging="184"/>
        <w:spacing w:after="0" w:line="216" w:lineRule="auto"/>
        <w:tabs>
          <w:tab w:leader="none" w:pos="5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insurance premiums and benefits including executive life and medical insurance of $1,415; and</w:t>
      </w:r>
    </w:p>
    <w:p>
      <w:pPr>
        <w:ind w:left="540" w:hanging="204"/>
        <w:spacing w:after="0"/>
        <w:tabs>
          <w:tab w:leader="none" w:pos="5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reimbursement of taxes related to work performed in Massachusetts of $2,826.</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amounts for 2020 are included in “All Other Compensation” for Ms. Whittemore:</w:t>
      </w:r>
    </w:p>
    <w:p>
      <w:pPr>
        <w:ind w:left="480" w:hanging="144"/>
        <w:spacing w:after="0" w:line="216" w:lineRule="auto"/>
        <w:tabs>
          <w:tab w:leader="none" w:pos="480" w:val="left"/>
        </w:tabs>
        <w:numPr>
          <w:ilvl w:val="0"/>
          <w:numId w:val="76"/>
        </w:numPr>
        <w:rPr>
          <w:rFonts w:ascii="Arial" w:cs="Arial" w:eastAsia="Arial" w:hAnsi="Arial"/>
          <w:sz w:val="13"/>
          <w:szCs w:val="13"/>
          <w:color w:val="auto"/>
        </w:rPr>
      </w:pPr>
      <w:r>
        <w:rPr>
          <w:rFonts w:ascii="Arial" w:cs="Arial" w:eastAsia="Arial" w:hAnsi="Arial"/>
          <w:sz w:val="13"/>
          <w:szCs w:val="13"/>
          <w:color w:val="auto"/>
        </w:rPr>
        <w:t>accrued cash dividends on unvested restricted stock of $20,147;</w:t>
      </w:r>
    </w:p>
    <w:p>
      <w:pPr>
        <w:ind w:left="520" w:hanging="184"/>
        <w:spacing w:after="0" w:line="216" w:lineRule="auto"/>
        <w:tabs>
          <w:tab w:leader="none" w:pos="520"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insurance premiums and benefits including executive life and medical insurance of $4,226; and</w:t>
      </w:r>
    </w:p>
    <w:p>
      <w:pPr>
        <w:ind w:left="540" w:hanging="204"/>
        <w:spacing w:after="0"/>
        <w:tabs>
          <w:tab w:leader="none" w:pos="540" w:val="left"/>
        </w:tabs>
        <w:numPr>
          <w:ilvl w:val="0"/>
          <w:numId w:val="76"/>
        </w:numPr>
        <w:rPr>
          <w:rFonts w:ascii="Arial" w:cs="Arial" w:eastAsia="Arial" w:hAnsi="Arial"/>
          <w:sz w:val="13"/>
          <w:szCs w:val="13"/>
          <w:color w:val="auto"/>
        </w:rPr>
      </w:pPr>
      <w:r>
        <w:rPr>
          <w:rFonts w:ascii="Arial" w:cs="Arial" w:eastAsia="Arial" w:hAnsi="Arial"/>
          <w:sz w:val="13"/>
          <w:szCs w:val="13"/>
          <w:color w:val="auto"/>
        </w:rPr>
        <w:t>reimbursement of taxes related to work performed in Massachusetts of $3,111.</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31"/>
          <w:szCs w:val="31"/>
          <w:color w:val="0A1E42"/>
        </w:rPr>
        <w:t>Discussion of summary compensation table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2020, each of the NEOs received a base salary in accordance with the terms of his or her employment agreement, as approved by the</w:t>
      </w:r>
    </w:p>
    <w:p>
      <w:pPr>
        <w:ind w:left="120"/>
        <w:spacing w:after="0"/>
        <w:rPr>
          <w:sz w:val="20"/>
          <w:szCs w:val="20"/>
          <w:color w:val="auto"/>
        </w:rPr>
      </w:pPr>
      <w:r>
        <w:rPr>
          <w:rFonts w:ascii="Arial" w:cs="Arial" w:eastAsia="Arial" w:hAnsi="Arial"/>
          <w:sz w:val="18"/>
          <w:szCs w:val="18"/>
          <w:color w:val="auto"/>
        </w:rPr>
        <w:t>Compensation Committee. Key terms of the agreements, as in effect on December 31, 2020,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7715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771525"/>
                    </a:xfrm>
                    <a:prstGeom prst="rect">
                      <a:avLst/>
                    </a:prstGeom>
                    <a:noFill/>
                  </pic:spPr>
                </pic:pic>
              </a:graphicData>
            </a:graphic>
          </wp:anchor>
        </w:drawing>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7600" w:type="dxa"/>
            <w:vAlign w:val="bottom"/>
            <w:shd w:val="clear" w:color="auto" w:fill="F4F4E5"/>
          </w:tcPr>
          <w:p>
            <w:pPr>
              <w:spacing w:after="0"/>
              <w:rPr>
                <w:sz w:val="19"/>
                <w:szCs w:val="19"/>
                <w:color w:val="auto"/>
              </w:rPr>
            </w:pPr>
          </w:p>
        </w:tc>
        <w:tc>
          <w:tcPr>
            <w:tcW w:w="1440" w:type="dxa"/>
            <w:vAlign w:val="bottom"/>
            <w:shd w:val="clear" w:color="auto" w:fill="F4F4E5"/>
          </w:tcPr>
          <w:p>
            <w:pPr>
              <w:spacing w:after="0"/>
              <w:rPr>
                <w:sz w:val="19"/>
                <w:szCs w:val="19"/>
                <w:color w:val="auto"/>
              </w:rPr>
            </w:pPr>
          </w:p>
        </w:tc>
        <w:tc>
          <w:tcPr>
            <w:tcW w:w="600" w:type="dxa"/>
            <w:vAlign w:val="bottom"/>
            <w:shd w:val="clear" w:color="auto" w:fill="F4F4E5"/>
          </w:tcPr>
          <w:p>
            <w:pPr>
              <w:spacing w:after="0"/>
              <w:rPr>
                <w:sz w:val="19"/>
                <w:szCs w:val="19"/>
                <w:color w:val="auto"/>
              </w:rPr>
            </w:pPr>
          </w:p>
        </w:tc>
        <w:tc>
          <w:tcPr>
            <w:tcW w:w="380" w:type="dxa"/>
            <w:vAlign w:val="bottom"/>
            <w:shd w:val="clear" w:color="auto" w:fill="F4F4E5"/>
          </w:tcPr>
          <w:p>
            <w:pPr>
              <w:spacing w:after="0"/>
              <w:rPr>
                <w:sz w:val="19"/>
                <w:szCs w:val="19"/>
                <w:color w:val="auto"/>
              </w:rPr>
            </w:pPr>
          </w:p>
        </w:tc>
        <w:tc>
          <w:tcPr>
            <w:tcW w:w="1000" w:type="dxa"/>
            <w:vAlign w:val="bottom"/>
            <w:shd w:val="clear" w:color="auto" w:fill="F4F4E5"/>
          </w:tcPr>
          <w:p>
            <w:pPr>
              <w:jc w:val="right"/>
              <w:ind w:right="472"/>
              <w:spacing w:after="0"/>
              <w:rPr>
                <w:sz w:val="20"/>
                <w:szCs w:val="20"/>
                <w:color w:val="auto"/>
              </w:rPr>
            </w:pPr>
            <w:r>
              <w:rPr>
                <w:rFonts w:ascii="Arial" w:cs="Arial" w:eastAsia="Arial" w:hAnsi="Arial"/>
                <w:sz w:val="13"/>
                <w:szCs w:val="13"/>
                <w:b w:val="1"/>
                <w:bCs w:val="1"/>
                <w:color w:val="auto"/>
              </w:rPr>
              <w:t>BASE</w:t>
            </w:r>
          </w:p>
        </w:tc>
      </w:tr>
      <w:tr>
        <w:trPr>
          <w:trHeight w:val="204"/>
        </w:trPr>
        <w:tc>
          <w:tcPr>
            <w:tcW w:w="7600" w:type="dxa"/>
            <w:vAlign w:val="bottom"/>
            <w:tcBorders>
              <w:bottom w:val="single" w:sz="8" w:color="F4F4E5"/>
            </w:tcBorders>
            <w:shd w:val="clear" w:color="auto" w:fill="F4F4E5"/>
          </w:tcPr>
          <w:p>
            <w:pPr>
              <w:ind w:left="60"/>
              <w:spacing w:after="0"/>
              <w:rPr>
                <w:sz w:val="20"/>
                <w:szCs w:val="20"/>
                <w:color w:val="auto"/>
              </w:rPr>
            </w:pPr>
            <w:r>
              <w:rPr>
                <w:rFonts w:ascii="Arial" w:cs="Arial" w:eastAsia="Arial" w:hAnsi="Arial"/>
                <w:sz w:val="13"/>
                <w:szCs w:val="13"/>
                <w:b w:val="1"/>
                <w:bCs w:val="1"/>
                <w:color w:val="auto"/>
              </w:rPr>
              <w:t>NAME EXECUTIVE OFFICER</w:t>
            </w:r>
          </w:p>
        </w:tc>
        <w:tc>
          <w:tcPr>
            <w:tcW w:w="2040" w:type="dxa"/>
            <w:vAlign w:val="bottom"/>
            <w:tcBorders>
              <w:bottom w:val="single" w:sz="8" w:color="F4F4E5"/>
            </w:tcBorders>
            <w:gridSpan w:val="2"/>
            <w:shd w:val="clear" w:color="auto" w:fill="F4F4E5"/>
          </w:tcPr>
          <w:p>
            <w:pPr>
              <w:jc w:val="right"/>
              <w:ind w:right="228"/>
              <w:spacing w:after="0"/>
              <w:rPr>
                <w:sz w:val="20"/>
                <w:szCs w:val="20"/>
                <w:color w:val="auto"/>
              </w:rPr>
            </w:pPr>
            <w:r>
              <w:rPr>
                <w:rFonts w:ascii="Arial" w:cs="Arial" w:eastAsia="Arial" w:hAnsi="Arial"/>
                <w:sz w:val="13"/>
                <w:szCs w:val="13"/>
                <w:b w:val="1"/>
                <w:bCs w:val="1"/>
                <w:color w:val="auto"/>
              </w:rPr>
              <w:t>CONTRACT EXPIRATION</w:t>
            </w:r>
          </w:p>
        </w:tc>
        <w:tc>
          <w:tcPr>
            <w:tcW w:w="380" w:type="dxa"/>
            <w:vAlign w:val="bottom"/>
            <w:tcBorders>
              <w:bottom w:val="single" w:sz="8" w:color="F4F4E5"/>
            </w:tcBorders>
            <w:shd w:val="clear" w:color="auto" w:fill="F4F4E5"/>
          </w:tcPr>
          <w:p>
            <w:pPr>
              <w:spacing w:after="0"/>
              <w:rPr>
                <w:sz w:val="17"/>
                <w:szCs w:val="17"/>
                <w:color w:val="auto"/>
              </w:rPr>
            </w:pPr>
          </w:p>
        </w:tc>
        <w:tc>
          <w:tcPr>
            <w:tcW w:w="1000" w:type="dxa"/>
            <w:vAlign w:val="bottom"/>
            <w:tcBorders>
              <w:bottom w:val="single" w:sz="8" w:color="F4F4E5"/>
            </w:tcBorders>
            <w:shd w:val="clear" w:color="auto" w:fill="F4F4E5"/>
          </w:tcPr>
          <w:p>
            <w:pPr>
              <w:jc w:val="right"/>
              <w:ind w:right="392"/>
              <w:spacing w:after="0"/>
              <w:rPr>
                <w:sz w:val="20"/>
                <w:szCs w:val="20"/>
                <w:color w:val="auto"/>
              </w:rPr>
            </w:pPr>
            <w:r>
              <w:rPr>
                <w:rFonts w:ascii="Arial" w:cs="Arial" w:eastAsia="Arial" w:hAnsi="Arial"/>
                <w:sz w:val="13"/>
                <w:szCs w:val="13"/>
                <w:b w:val="1"/>
                <w:bCs w:val="1"/>
                <w:color w:val="auto"/>
                <w:w w:val="97"/>
              </w:rPr>
              <w:t>SALARY</w:t>
            </w:r>
          </w:p>
        </w:tc>
      </w:tr>
      <w:tr>
        <w:trPr>
          <w:trHeight w:val="236"/>
        </w:trPr>
        <w:tc>
          <w:tcPr>
            <w:tcW w:w="7600" w:type="dxa"/>
            <w:vAlign w:val="bottom"/>
            <w:tcBorders>
              <w:bottom w:val="single" w:sz="8" w:color="EAEFF2"/>
            </w:tcBorders>
            <w:shd w:val="clear" w:color="auto" w:fill="EAEFF2"/>
          </w:tcPr>
          <w:p>
            <w:pPr>
              <w:ind w:left="60"/>
              <w:spacing w:after="0"/>
              <w:rPr>
                <w:sz w:val="20"/>
                <w:szCs w:val="20"/>
                <w:color w:val="auto"/>
              </w:rPr>
            </w:pPr>
            <w:r>
              <w:rPr>
                <w:rFonts w:ascii="Arial" w:cs="Arial" w:eastAsia="Arial" w:hAnsi="Arial"/>
                <w:sz w:val="13"/>
                <w:szCs w:val="13"/>
                <w:b w:val="1"/>
                <w:bCs w:val="1"/>
                <w:color w:val="auto"/>
              </w:rPr>
              <w:t>MATT MADDOX</w:t>
            </w:r>
          </w:p>
        </w:tc>
        <w:tc>
          <w:tcPr>
            <w:tcW w:w="2040" w:type="dxa"/>
            <w:vAlign w:val="bottom"/>
            <w:tcBorders>
              <w:bottom w:val="single" w:sz="8" w:color="EAEFF2"/>
            </w:tcBorders>
            <w:gridSpan w:val="2"/>
            <w:shd w:val="clear" w:color="auto" w:fill="EAEFF2"/>
          </w:tcPr>
          <w:p>
            <w:pPr>
              <w:jc w:val="right"/>
              <w:ind w:right="188"/>
              <w:spacing w:after="0"/>
              <w:rPr>
                <w:sz w:val="20"/>
                <w:szCs w:val="20"/>
                <w:color w:val="auto"/>
              </w:rPr>
            </w:pPr>
            <w:r>
              <w:rPr>
                <w:rFonts w:ascii="Arial" w:cs="Arial" w:eastAsia="Arial" w:hAnsi="Arial"/>
                <w:sz w:val="14"/>
                <w:szCs w:val="14"/>
                <w:color w:val="auto"/>
              </w:rPr>
              <w:t>December 16, 2022</w:t>
            </w:r>
          </w:p>
        </w:tc>
        <w:tc>
          <w:tcPr>
            <w:tcW w:w="380" w:type="dxa"/>
            <w:vAlign w:val="bottom"/>
            <w:tcBorders>
              <w:bottom w:val="single" w:sz="8" w:color="EAEFF2"/>
            </w:tcBorders>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EAEFF2"/>
            </w:tcBorders>
            <w:shd w:val="clear" w:color="auto" w:fill="EAEFF2"/>
          </w:tcPr>
          <w:p>
            <w:pPr>
              <w:jc w:val="right"/>
              <w:ind w:right="272"/>
              <w:spacing w:after="0"/>
              <w:rPr>
                <w:sz w:val="20"/>
                <w:szCs w:val="20"/>
                <w:color w:val="auto"/>
              </w:rPr>
            </w:pPr>
            <w:r>
              <w:rPr>
                <w:rFonts w:ascii="Arial" w:cs="Arial" w:eastAsia="Arial" w:hAnsi="Arial"/>
                <w:sz w:val="14"/>
                <w:szCs w:val="14"/>
                <w:color w:val="auto"/>
              </w:rPr>
              <w:t>2,000,000</w:t>
            </w:r>
          </w:p>
        </w:tc>
      </w:tr>
      <w:tr>
        <w:trPr>
          <w:trHeight w:val="237"/>
        </w:trPr>
        <w:tc>
          <w:tcPr>
            <w:tcW w:w="7600" w:type="dxa"/>
            <w:vAlign w:val="bottom"/>
            <w:tcBorders>
              <w:bottom w:val="single" w:sz="8" w:color="F4F4E5"/>
            </w:tcBorders>
            <w:shd w:val="clear" w:color="auto" w:fill="F4F4E5"/>
          </w:tcPr>
          <w:p>
            <w:pPr>
              <w:ind w:left="60"/>
              <w:spacing w:after="0"/>
              <w:rPr>
                <w:sz w:val="20"/>
                <w:szCs w:val="20"/>
                <w:color w:val="auto"/>
              </w:rPr>
            </w:pPr>
            <w:r>
              <w:rPr>
                <w:rFonts w:ascii="Arial" w:cs="Arial" w:eastAsia="Arial" w:hAnsi="Arial"/>
                <w:sz w:val="13"/>
                <w:szCs w:val="13"/>
                <w:b w:val="1"/>
                <w:bCs w:val="1"/>
                <w:color w:val="auto"/>
              </w:rPr>
              <w:t>CRAIG BILLINGS</w:t>
            </w:r>
          </w:p>
        </w:tc>
        <w:tc>
          <w:tcPr>
            <w:tcW w:w="1440" w:type="dxa"/>
            <w:vAlign w:val="bottom"/>
            <w:tcBorders>
              <w:bottom w:val="single" w:sz="8" w:color="F4F4E5"/>
            </w:tcBorders>
            <w:shd w:val="clear" w:color="auto" w:fill="F4F4E5"/>
          </w:tcPr>
          <w:p>
            <w:pPr>
              <w:jc w:val="right"/>
              <w:spacing w:after="0"/>
              <w:rPr>
                <w:sz w:val="20"/>
                <w:szCs w:val="20"/>
                <w:color w:val="auto"/>
              </w:rPr>
            </w:pPr>
            <w:r>
              <w:rPr>
                <w:rFonts w:ascii="Arial" w:cs="Arial" w:eastAsia="Arial" w:hAnsi="Arial"/>
                <w:sz w:val="14"/>
                <w:szCs w:val="14"/>
                <w:color w:val="auto"/>
              </w:rPr>
              <w:t>March 1,</w:t>
            </w:r>
          </w:p>
        </w:tc>
        <w:tc>
          <w:tcPr>
            <w:tcW w:w="600" w:type="dxa"/>
            <w:vAlign w:val="bottom"/>
            <w:tcBorders>
              <w:bottom w:val="single" w:sz="8" w:color="F4F4E5"/>
            </w:tcBorders>
            <w:shd w:val="clear" w:color="auto" w:fill="F4F4E5"/>
          </w:tcPr>
          <w:p>
            <w:pPr>
              <w:jc w:val="right"/>
              <w:ind w:right="188"/>
              <w:spacing w:after="0"/>
              <w:rPr>
                <w:sz w:val="20"/>
                <w:szCs w:val="20"/>
                <w:color w:val="auto"/>
              </w:rPr>
            </w:pPr>
            <w:r>
              <w:rPr>
                <w:rFonts w:ascii="Arial" w:cs="Arial" w:eastAsia="Arial" w:hAnsi="Arial"/>
                <w:sz w:val="14"/>
                <w:szCs w:val="14"/>
                <w:color w:val="auto"/>
              </w:rPr>
              <w:t>2022</w:t>
            </w:r>
          </w:p>
        </w:tc>
        <w:tc>
          <w:tcPr>
            <w:tcW w:w="380" w:type="dxa"/>
            <w:vAlign w:val="bottom"/>
            <w:tcBorders>
              <w:bottom w:val="single" w:sz="8" w:color="F4F4E5"/>
            </w:tcBorders>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F4F4E5"/>
            </w:tcBorders>
            <w:shd w:val="clear" w:color="auto" w:fill="F4F4E5"/>
          </w:tcPr>
          <w:p>
            <w:pPr>
              <w:jc w:val="right"/>
              <w:ind w:right="272"/>
              <w:spacing w:after="0"/>
              <w:rPr>
                <w:sz w:val="20"/>
                <w:szCs w:val="20"/>
                <w:color w:val="auto"/>
              </w:rPr>
            </w:pPr>
            <w:r>
              <w:rPr>
                <w:rFonts w:ascii="Arial" w:cs="Arial" w:eastAsia="Arial" w:hAnsi="Arial"/>
                <w:sz w:val="14"/>
                <w:szCs w:val="14"/>
                <w:color w:val="auto"/>
              </w:rPr>
              <w:t>1,200,000</w:t>
            </w:r>
          </w:p>
        </w:tc>
      </w:tr>
      <w:tr>
        <w:trPr>
          <w:trHeight w:val="231"/>
        </w:trPr>
        <w:tc>
          <w:tcPr>
            <w:tcW w:w="7600" w:type="dxa"/>
            <w:vAlign w:val="bottom"/>
            <w:shd w:val="clear" w:color="auto" w:fill="F2F2FC"/>
          </w:tcPr>
          <w:p>
            <w:pPr>
              <w:ind w:left="60"/>
              <w:spacing w:after="0"/>
              <w:rPr>
                <w:sz w:val="20"/>
                <w:szCs w:val="20"/>
                <w:color w:val="auto"/>
              </w:rPr>
            </w:pPr>
            <w:r>
              <w:rPr>
                <w:rFonts w:ascii="Arial" w:cs="Arial" w:eastAsia="Arial" w:hAnsi="Arial"/>
                <w:sz w:val="13"/>
                <w:szCs w:val="13"/>
                <w:b w:val="1"/>
                <w:bCs w:val="1"/>
                <w:color w:val="auto"/>
              </w:rPr>
              <w:t>ELLEN F. WHITTEMORE</w:t>
            </w:r>
          </w:p>
        </w:tc>
        <w:tc>
          <w:tcPr>
            <w:tcW w:w="1440" w:type="dxa"/>
            <w:vAlign w:val="bottom"/>
            <w:shd w:val="clear" w:color="auto" w:fill="F2F2FC"/>
          </w:tcPr>
          <w:p>
            <w:pPr>
              <w:jc w:val="right"/>
              <w:spacing w:after="0"/>
              <w:rPr>
                <w:sz w:val="20"/>
                <w:szCs w:val="20"/>
                <w:color w:val="auto"/>
              </w:rPr>
            </w:pPr>
            <w:r>
              <w:rPr>
                <w:rFonts w:ascii="Arial" w:cs="Arial" w:eastAsia="Arial" w:hAnsi="Arial"/>
                <w:sz w:val="14"/>
                <w:szCs w:val="14"/>
                <w:color w:val="auto"/>
              </w:rPr>
              <w:t>July 16,</w:t>
            </w:r>
          </w:p>
        </w:tc>
        <w:tc>
          <w:tcPr>
            <w:tcW w:w="600" w:type="dxa"/>
            <w:vAlign w:val="bottom"/>
            <w:shd w:val="clear" w:color="auto" w:fill="F2F2FC"/>
          </w:tcPr>
          <w:p>
            <w:pPr>
              <w:jc w:val="right"/>
              <w:ind w:right="188"/>
              <w:spacing w:after="0"/>
              <w:rPr>
                <w:sz w:val="20"/>
                <w:szCs w:val="20"/>
                <w:color w:val="auto"/>
              </w:rPr>
            </w:pPr>
            <w:r>
              <w:rPr>
                <w:rFonts w:ascii="Arial" w:cs="Arial" w:eastAsia="Arial" w:hAnsi="Arial"/>
                <w:sz w:val="14"/>
                <w:szCs w:val="14"/>
                <w:color w:val="auto"/>
              </w:rPr>
              <w:t>2022</w:t>
            </w:r>
          </w:p>
        </w:tc>
        <w:tc>
          <w:tcPr>
            <w:tcW w:w="380" w:type="dxa"/>
            <w:vAlign w:val="bottom"/>
            <w:shd w:val="clear" w:color="auto" w:fill="F2F2FC"/>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F2F2FC"/>
          </w:tcPr>
          <w:p>
            <w:pPr>
              <w:jc w:val="right"/>
              <w:ind w:right="272"/>
              <w:spacing w:after="0"/>
              <w:rPr>
                <w:sz w:val="20"/>
                <w:szCs w:val="20"/>
                <w:color w:val="auto"/>
              </w:rPr>
            </w:pPr>
            <w:r>
              <w:rPr>
                <w:rFonts w:ascii="Arial" w:cs="Arial" w:eastAsia="Arial" w:hAnsi="Arial"/>
                <w:sz w:val="14"/>
                <w:szCs w:val="14"/>
                <w:color w:val="auto"/>
              </w:rPr>
              <w:t>700,000</w:t>
            </w:r>
          </w:p>
        </w:tc>
      </w:tr>
      <w:tr>
        <w:trPr>
          <w:trHeight w:val="25"/>
        </w:trPr>
        <w:tc>
          <w:tcPr>
            <w:tcW w:w="7600" w:type="dxa"/>
            <w:vAlign w:val="bottom"/>
            <w:shd w:val="clear" w:color="auto" w:fill="F2F2FC"/>
          </w:tcPr>
          <w:p>
            <w:pPr>
              <w:spacing w:after="0"/>
              <w:rPr>
                <w:sz w:val="2"/>
                <w:szCs w:val="2"/>
                <w:color w:val="auto"/>
              </w:rPr>
            </w:pPr>
          </w:p>
        </w:tc>
        <w:tc>
          <w:tcPr>
            <w:tcW w:w="1440" w:type="dxa"/>
            <w:vAlign w:val="bottom"/>
            <w:shd w:val="clear" w:color="auto" w:fill="F2F2FC"/>
          </w:tcPr>
          <w:p>
            <w:pPr>
              <w:spacing w:after="0"/>
              <w:rPr>
                <w:sz w:val="2"/>
                <w:szCs w:val="2"/>
                <w:color w:val="auto"/>
              </w:rPr>
            </w:pPr>
          </w:p>
        </w:tc>
        <w:tc>
          <w:tcPr>
            <w:tcW w:w="600" w:type="dxa"/>
            <w:vAlign w:val="bottom"/>
            <w:shd w:val="clear" w:color="auto" w:fill="F2F2FC"/>
          </w:tcPr>
          <w:p>
            <w:pPr>
              <w:spacing w:after="0"/>
              <w:rPr>
                <w:sz w:val="2"/>
                <w:szCs w:val="2"/>
                <w:color w:val="auto"/>
              </w:rPr>
            </w:pPr>
          </w:p>
        </w:tc>
        <w:tc>
          <w:tcPr>
            <w:tcW w:w="380" w:type="dxa"/>
            <w:vAlign w:val="bottom"/>
            <w:shd w:val="clear" w:color="auto" w:fill="F2F2FC"/>
          </w:tcPr>
          <w:p>
            <w:pPr>
              <w:spacing w:after="0"/>
              <w:rPr>
                <w:sz w:val="2"/>
                <w:szCs w:val="2"/>
                <w:color w:val="auto"/>
              </w:rPr>
            </w:pPr>
          </w:p>
        </w:tc>
        <w:tc>
          <w:tcPr>
            <w:tcW w:w="1000" w:type="dxa"/>
            <w:vAlign w:val="bottom"/>
            <w:shd w:val="clear" w:color="auto" w:fill="F2F2FC"/>
          </w:tcPr>
          <w:p>
            <w:pPr>
              <w:spacing w:after="0"/>
              <w:rPr>
                <w:sz w:val="2"/>
                <w:szCs w:val="2"/>
                <w:color w:val="auto"/>
              </w:rPr>
            </w:pPr>
          </w:p>
        </w:tc>
      </w:tr>
    </w:tbl>
    <w:p>
      <w:pPr>
        <w:spacing w:after="0" w:line="188" w:lineRule="exact"/>
        <w:rPr>
          <w:sz w:val="20"/>
          <w:szCs w:val="20"/>
          <w:color w:val="auto"/>
        </w:rPr>
      </w:pPr>
    </w:p>
    <w:p>
      <w:pPr>
        <w:ind w:left="120" w:right="220"/>
        <w:spacing w:after="0" w:line="238" w:lineRule="auto"/>
        <w:rPr>
          <w:sz w:val="20"/>
          <w:szCs w:val="20"/>
          <w:color w:val="auto"/>
        </w:rPr>
      </w:pPr>
      <w:r>
        <w:rPr>
          <w:rFonts w:ascii="Arial" w:cs="Arial" w:eastAsia="Arial" w:hAnsi="Arial"/>
          <w:sz w:val="18"/>
          <w:szCs w:val="18"/>
          <w:color w:val="auto"/>
        </w:rPr>
        <w:t>Each of the employment agreements provide that the executive will participate in Company profit sharing and retirement plans if offered, disability or life insurance plans, medical and/or hospitalization plans, vacation and expense reimbursement programs. In addition, the agreements provide for severance payments and benefits upon certain terminations of employment, including termination following a change in control, as discussed in the section below entitled “Potential Payments Upon Termination or Change in Control.”</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55</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31"/>
          <w:szCs w:val="31"/>
          <w:color w:val="0A1E42"/>
        </w:rPr>
        <w:t>2020 Grants of plan-based awards table</w:t>
      </w:r>
    </w:p>
    <w:p>
      <w:pPr>
        <w:spacing w:after="0" w:line="22" w:lineRule="exact"/>
        <w:rPr>
          <w:sz w:val="20"/>
          <w:szCs w:val="20"/>
          <w:color w:val="auto"/>
        </w:rPr>
      </w:pPr>
    </w:p>
    <w:p>
      <w:pPr>
        <w:ind w:left="120" w:right="280"/>
        <w:spacing w:after="0"/>
        <w:rPr>
          <w:sz w:val="20"/>
          <w:szCs w:val="20"/>
          <w:color w:val="auto"/>
        </w:rPr>
      </w:pPr>
      <w:r>
        <w:rPr>
          <w:rFonts w:ascii="Arial" w:cs="Arial" w:eastAsia="Arial" w:hAnsi="Arial"/>
          <w:sz w:val="18"/>
          <w:szCs w:val="18"/>
          <w:color w:val="auto"/>
        </w:rPr>
        <w:t>The Omnibus Plan rewards management for creation of superior return to shareholders, measured by the operating performance of our resorts. The amounts shown in the table below reflect potential payments. Actual payouts are reflected in the “Stock Awards” and “Non-Equity Incentive Plan” columns of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146050</wp:posOffset>
            </wp:positionV>
            <wp:extent cx="5194935" cy="34118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94935" cy="3411855"/>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33"/>
        </w:trPr>
        <w:tc>
          <w:tcPr>
            <w:tcW w:w="2840" w:type="dxa"/>
            <w:vAlign w:val="bottom"/>
            <w:shd w:val="clear" w:color="auto" w:fill="F4F4E5"/>
          </w:tcPr>
          <w:p>
            <w:pPr>
              <w:spacing w:after="0"/>
              <w:rPr>
                <w:sz w:val="11"/>
                <w:szCs w:val="11"/>
                <w:color w:val="auto"/>
              </w:rPr>
            </w:pPr>
          </w:p>
        </w:tc>
        <w:tc>
          <w:tcPr>
            <w:tcW w:w="80" w:type="dxa"/>
            <w:vAlign w:val="bottom"/>
            <w:shd w:val="clear" w:color="auto" w:fill="F4F4E5"/>
          </w:tcPr>
          <w:p>
            <w:pPr>
              <w:spacing w:after="0"/>
              <w:rPr>
                <w:sz w:val="11"/>
                <w:szCs w:val="11"/>
                <w:color w:val="auto"/>
              </w:rPr>
            </w:pPr>
          </w:p>
        </w:tc>
        <w:tc>
          <w:tcPr>
            <w:tcW w:w="740" w:type="dxa"/>
            <w:vAlign w:val="bottom"/>
            <w:shd w:val="clear" w:color="auto" w:fill="F4F4E5"/>
          </w:tcPr>
          <w:p>
            <w:pPr>
              <w:spacing w:after="0"/>
              <w:rPr>
                <w:sz w:val="11"/>
                <w:szCs w:val="11"/>
                <w:color w:val="auto"/>
              </w:rPr>
            </w:pPr>
          </w:p>
        </w:tc>
        <w:tc>
          <w:tcPr>
            <w:tcW w:w="80" w:type="dxa"/>
            <w:vAlign w:val="bottom"/>
            <w:shd w:val="clear" w:color="auto" w:fill="F4F4E5"/>
          </w:tcPr>
          <w:p>
            <w:pPr>
              <w:spacing w:after="0"/>
              <w:rPr>
                <w:sz w:val="11"/>
                <w:szCs w:val="11"/>
                <w:color w:val="auto"/>
              </w:rPr>
            </w:pPr>
          </w:p>
        </w:tc>
        <w:tc>
          <w:tcPr>
            <w:tcW w:w="140" w:type="dxa"/>
            <w:vAlign w:val="bottom"/>
            <w:shd w:val="clear" w:color="auto" w:fill="F4F4E5"/>
          </w:tcPr>
          <w:p>
            <w:pPr>
              <w:spacing w:after="0"/>
              <w:rPr>
                <w:sz w:val="11"/>
                <w:szCs w:val="11"/>
                <w:color w:val="auto"/>
              </w:rPr>
            </w:pPr>
          </w:p>
        </w:tc>
        <w:tc>
          <w:tcPr>
            <w:tcW w:w="720" w:type="dxa"/>
            <w:vAlign w:val="bottom"/>
            <w:shd w:val="clear" w:color="auto" w:fill="F4F4E5"/>
          </w:tcPr>
          <w:p>
            <w:pPr>
              <w:spacing w:after="0"/>
              <w:rPr>
                <w:sz w:val="11"/>
                <w:szCs w:val="11"/>
                <w:color w:val="auto"/>
              </w:rPr>
            </w:pPr>
          </w:p>
        </w:tc>
        <w:tc>
          <w:tcPr>
            <w:tcW w:w="200" w:type="dxa"/>
            <w:vAlign w:val="bottom"/>
            <w:shd w:val="clear" w:color="auto" w:fill="F4F4E5"/>
          </w:tcPr>
          <w:p>
            <w:pPr>
              <w:spacing w:after="0"/>
              <w:rPr>
                <w:sz w:val="11"/>
                <w:szCs w:val="11"/>
                <w:color w:val="auto"/>
              </w:rPr>
            </w:pPr>
          </w:p>
        </w:tc>
        <w:tc>
          <w:tcPr>
            <w:tcW w:w="680" w:type="dxa"/>
            <w:vAlign w:val="bottom"/>
            <w:shd w:val="clear" w:color="auto" w:fill="F4F4E5"/>
          </w:tcPr>
          <w:p>
            <w:pPr>
              <w:spacing w:after="0"/>
              <w:rPr>
                <w:sz w:val="11"/>
                <w:szCs w:val="11"/>
                <w:color w:val="auto"/>
              </w:rPr>
            </w:pPr>
          </w:p>
        </w:tc>
        <w:tc>
          <w:tcPr>
            <w:tcW w:w="160" w:type="dxa"/>
            <w:vAlign w:val="bottom"/>
            <w:shd w:val="clear" w:color="auto" w:fill="F4F4E5"/>
          </w:tcPr>
          <w:p>
            <w:pPr>
              <w:spacing w:after="0"/>
              <w:rPr>
                <w:sz w:val="11"/>
                <w:szCs w:val="11"/>
                <w:color w:val="auto"/>
              </w:rPr>
            </w:pPr>
          </w:p>
        </w:tc>
        <w:tc>
          <w:tcPr>
            <w:tcW w:w="720" w:type="dxa"/>
            <w:vAlign w:val="bottom"/>
            <w:shd w:val="clear" w:color="auto" w:fill="F4F4E5"/>
          </w:tcPr>
          <w:p>
            <w:pPr>
              <w:spacing w:after="0"/>
              <w:rPr>
                <w:sz w:val="11"/>
                <w:szCs w:val="11"/>
                <w:color w:val="auto"/>
              </w:rPr>
            </w:pPr>
          </w:p>
        </w:tc>
        <w:tc>
          <w:tcPr>
            <w:tcW w:w="840" w:type="dxa"/>
            <w:vAlign w:val="bottom"/>
            <w:shd w:val="clear" w:color="auto" w:fill="F4F4E5"/>
          </w:tcPr>
          <w:p>
            <w:pPr>
              <w:spacing w:after="0"/>
              <w:rPr>
                <w:sz w:val="11"/>
                <w:szCs w:val="11"/>
                <w:color w:val="auto"/>
              </w:rPr>
            </w:pPr>
          </w:p>
        </w:tc>
        <w:tc>
          <w:tcPr>
            <w:tcW w:w="740" w:type="dxa"/>
            <w:vAlign w:val="bottom"/>
            <w:shd w:val="clear" w:color="auto" w:fill="F4F4E5"/>
          </w:tcPr>
          <w:p>
            <w:pPr>
              <w:spacing w:after="0"/>
              <w:rPr>
                <w:sz w:val="11"/>
                <w:szCs w:val="11"/>
                <w:color w:val="auto"/>
              </w:rPr>
            </w:pPr>
          </w:p>
        </w:tc>
        <w:tc>
          <w:tcPr>
            <w:tcW w:w="700" w:type="dxa"/>
            <w:vAlign w:val="bottom"/>
            <w:shd w:val="clear" w:color="auto" w:fill="F4F4E5"/>
          </w:tcPr>
          <w:p>
            <w:pPr>
              <w:spacing w:after="0"/>
              <w:rPr>
                <w:sz w:val="11"/>
                <w:szCs w:val="11"/>
                <w:color w:val="auto"/>
              </w:rPr>
            </w:pPr>
          </w:p>
        </w:tc>
        <w:tc>
          <w:tcPr>
            <w:tcW w:w="1280" w:type="dxa"/>
            <w:vAlign w:val="bottom"/>
            <w:shd w:val="clear" w:color="auto" w:fill="F4F4E5"/>
          </w:tcPr>
          <w:p>
            <w:pPr>
              <w:jc w:val="center"/>
              <w:ind w:right="119"/>
              <w:spacing w:after="0"/>
              <w:rPr>
                <w:sz w:val="20"/>
                <w:szCs w:val="20"/>
                <w:color w:val="auto"/>
              </w:rPr>
            </w:pPr>
            <w:r>
              <w:rPr>
                <w:rFonts w:ascii="Arial" w:cs="Arial" w:eastAsia="Arial" w:hAnsi="Arial"/>
                <w:sz w:val="11"/>
                <w:szCs w:val="11"/>
                <w:b w:val="1"/>
                <w:bCs w:val="1"/>
                <w:color w:val="auto"/>
                <w:w w:val="98"/>
              </w:rPr>
              <w:t>ALL OTHER</w:t>
            </w:r>
          </w:p>
        </w:tc>
        <w:tc>
          <w:tcPr>
            <w:tcW w:w="160" w:type="dxa"/>
            <w:vAlign w:val="bottom"/>
            <w:shd w:val="clear" w:color="auto" w:fill="F4F4E5"/>
          </w:tcPr>
          <w:p>
            <w:pPr>
              <w:spacing w:after="0"/>
              <w:rPr>
                <w:sz w:val="11"/>
                <w:szCs w:val="11"/>
                <w:color w:val="auto"/>
              </w:rPr>
            </w:pPr>
          </w:p>
        </w:tc>
        <w:tc>
          <w:tcPr>
            <w:tcW w:w="200" w:type="dxa"/>
            <w:vAlign w:val="bottom"/>
            <w:shd w:val="clear" w:color="auto" w:fill="F4F4E5"/>
          </w:tcPr>
          <w:p>
            <w:pPr>
              <w:spacing w:after="0"/>
              <w:rPr>
                <w:sz w:val="11"/>
                <w:szCs w:val="11"/>
                <w:color w:val="auto"/>
              </w:rPr>
            </w:pPr>
          </w:p>
        </w:tc>
        <w:tc>
          <w:tcPr>
            <w:tcW w:w="740" w:type="dxa"/>
            <w:vAlign w:val="bottom"/>
            <w:shd w:val="clear" w:color="auto" w:fill="F4F4E5"/>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40" w:type="dxa"/>
            <w:vAlign w:val="bottom"/>
            <w:shd w:val="clear" w:color="auto" w:fill="F4F4E5"/>
          </w:tcPr>
          <w:p>
            <w:pPr>
              <w:spacing w:after="0"/>
              <w:rPr>
                <w:sz w:val="10"/>
                <w:szCs w:val="10"/>
                <w:color w:val="auto"/>
              </w:rPr>
            </w:pPr>
          </w:p>
        </w:tc>
        <w:tc>
          <w:tcPr>
            <w:tcW w:w="80" w:type="dxa"/>
            <w:vAlign w:val="bottom"/>
            <w:shd w:val="clear" w:color="auto" w:fill="F4F4E5"/>
          </w:tcPr>
          <w:p>
            <w:pPr>
              <w:spacing w:after="0"/>
              <w:rPr>
                <w:sz w:val="10"/>
                <w:szCs w:val="10"/>
                <w:color w:val="auto"/>
              </w:rPr>
            </w:pPr>
          </w:p>
        </w:tc>
        <w:tc>
          <w:tcPr>
            <w:tcW w:w="740" w:type="dxa"/>
            <w:vAlign w:val="bottom"/>
            <w:shd w:val="clear" w:color="auto" w:fill="F4F4E5"/>
          </w:tcPr>
          <w:p>
            <w:pPr>
              <w:spacing w:after="0"/>
              <w:rPr>
                <w:sz w:val="10"/>
                <w:szCs w:val="10"/>
                <w:color w:val="auto"/>
              </w:rPr>
            </w:pPr>
          </w:p>
        </w:tc>
        <w:tc>
          <w:tcPr>
            <w:tcW w:w="80" w:type="dxa"/>
            <w:vAlign w:val="bottom"/>
            <w:shd w:val="clear" w:color="auto" w:fill="F4F4E5"/>
          </w:tcPr>
          <w:p>
            <w:pPr>
              <w:spacing w:after="0"/>
              <w:rPr>
                <w:sz w:val="10"/>
                <w:szCs w:val="10"/>
                <w:color w:val="auto"/>
              </w:rPr>
            </w:pPr>
          </w:p>
        </w:tc>
        <w:tc>
          <w:tcPr>
            <w:tcW w:w="140" w:type="dxa"/>
            <w:vAlign w:val="bottom"/>
            <w:shd w:val="clear" w:color="auto" w:fill="F4F4E5"/>
          </w:tcPr>
          <w:p>
            <w:pPr>
              <w:spacing w:after="0"/>
              <w:rPr>
                <w:sz w:val="10"/>
                <w:szCs w:val="10"/>
                <w:color w:val="auto"/>
              </w:rPr>
            </w:pPr>
          </w:p>
        </w:tc>
        <w:tc>
          <w:tcPr>
            <w:tcW w:w="2480" w:type="dxa"/>
            <w:vAlign w:val="bottom"/>
            <w:gridSpan w:val="5"/>
            <w:vMerge w:val="restart"/>
            <w:shd w:val="clear" w:color="auto" w:fill="F4F4E5"/>
          </w:tcPr>
          <w:p>
            <w:pPr>
              <w:jc w:val="center"/>
              <w:ind w:right="70"/>
              <w:spacing w:after="0"/>
              <w:rPr>
                <w:sz w:val="20"/>
                <w:szCs w:val="20"/>
                <w:color w:val="auto"/>
              </w:rPr>
            </w:pPr>
            <w:r>
              <w:rPr>
                <w:rFonts w:ascii="Arial" w:cs="Arial" w:eastAsia="Arial" w:hAnsi="Arial"/>
                <w:sz w:val="11"/>
                <w:szCs w:val="11"/>
                <w:b w:val="1"/>
                <w:bCs w:val="1"/>
                <w:color w:val="auto"/>
                <w:w w:val="96"/>
              </w:rPr>
              <w:t>ESTIMATED FUTURE PAYOUTS</w:t>
            </w:r>
          </w:p>
        </w:tc>
        <w:tc>
          <w:tcPr>
            <w:tcW w:w="2280" w:type="dxa"/>
            <w:vAlign w:val="bottom"/>
            <w:gridSpan w:val="3"/>
            <w:vMerge w:val="restart"/>
            <w:shd w:val="clear" w:color="auto" w:fill="F4F4E5"/>
          </w:tcPr>
          <w:p>
            <w:pPr>
              <w:jc w:val="center"/>
              <w:spacing w:after="0"/>
              <w:rPr>
                <w:sz w:val="20"/>
                <w:szCs w:val="20"/>
                <w:color w:val="auto"/>
              </w:rPr>
            </w:pPr>
            <w:r>
              <w:rPr>
                <w:rFonts w:ascii="Arial" w:cs="Arial" w:eastAsia="Arial" w:hAnsi="Arial"/>
                <w:sz w:val="11"/>
                <w:szCs w:val="11"/>
                <w:b w:val="1"/>
                <w:bCs w:val="1"/>
                <w:color w:val="auto"/>
                <w:w w:val="96"/>
              </w:rPr>
              <w:t>ESTIMATED FUTURE PAYOUTS</w:t>
            </w:r>
          </w:p>
        </w:tc>
        <w:tc>
          <w:tcPr>
            <w:tcW w:w="1280" w:type="dxa"/>
            <w:vAlign w:val="bottom"/>
            <w:shd w:val="clear" w:color="auto" w:fill="F4F4E5"/>
          </w:tcPr>
          <w:p>
            <w:pPr>
              <w:jc w:val="center"/>
              <w:ind w:right="119"/>
              <w:spacing w:after="0" w:line="122" w:lineRule="exact"/>
              <w:rPr>
                <w:sz w:val="20"/>
                <w:szCs w:val="20"/>
                <w:color w:val="auto"/>
              </w:rPr>
            </w:pPr>
            <w:r>
              <w:rPr>
                <w:rFonts w:ascii="Arial" w:cs="Arial" w:eastAsia="Arial" w:hAnsi="Arial"/>
                <w:sz w:val="11"/>
                <w:szCs w:val="11"/>
                <w:b w:val="1"/>
                <w:bCs w:val="1"/>
                <w:color w:val="auto"/>
                <w:w w:val="98"/>
              </w:rPr>
              <w:t>STOCK</w:t>
            </w:r>
          </w:p>
        </w:tc>
        <w:tc>
          <w:tcPr>
            <w:tcW w:w="160" w:type="dxa"/>
            <w:vAlign w:val="bottom"/>
            <w:shd w:val="clear" w:color="auto" w:fill="F4F4E5"/>
          </w:tcPr>
          <w:p>
            <w:pPr>
              <w:spacing w:after="0"/>
              <w:rPr>
                <w:sz w:val="10"/>
                <w:szCs w:val="10"/>
                <w:color w:val="auto"/>
              </w:rPr>
            </w:pPr>
          </w:p>
        </w:tc>
        <w:tc>
          <w:tcPr>
            <w:tcW w:w="200" w:type="dxa"/>
            <w:vAlign w:val="bottom"/>
            <w:shd w:val="clear" w:color="auto" w:fill="F4F4E5"/>
          </w:tcPr>
          <w:p>
            <w:pPr>
              <w:spacing w:after="0"/>
              <w:rPr>
                <w:sz w:val="10"/>
                <w:szCs w:val="10"/>
                <w:color w:val="auto"/>
              </w:rPr>
            </w:pPr>
          </w:p>
        </w:tc>
        <w:tc>
          <w:tcPr>
            <w:tcW w:w="740" w:type="dxa"/>
            <w:vAlign w:val="bottom"/>
            <w:shd w:val="clear" w:color="auto" w:fill="F4F4E5"/>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840" w:type="dxa"/>
            <w:vAlign w:val="bottom"/>
            <w:shd w:val="clear" w:color="auto" w:fill="F4F4E5"/>
          </w:tcPr>
          <w:p>
            <w:pPr>
              <w:spacing w:after="0"/>
              <w:rPr>
                <w:sz w:val="9"/>
                <w:szCs w:val="9"/>
                <w:color w:val="auto"/>
              </w:rPr>
            </w:pPr>
          </w:p>
        </w:tc>
        <w:tc>
          <w:tcPr>
            <w:tcW w:w="80" w:type="dxa"/>
            <w:vAlign w:val="bottom"/>
            <w:shd w:val="clear" w:color="auto" w:fill="F4F4E5"/>
          </w:tcPr>
          <w:p>
            <w:pPr>
              <w:spacing w:after="0"/>
              <w:rPr>
                <w:sz w:val="9"/>
                <w:szCs w:val="9"/>
                <w:color w:val="auto"/>
              </w:rPr>
            </w:pPr>
          </w:p>
        </w:tc>
        <w:tc>
          <w:tcPr>
            <w:tcW w:w="740" w:type="dxa"/>
            <w:vAlign w:val="bottom"/>
            <w:shd w:val="clear" w:color="auto" w:fill="F4F4E5"/>
          </w:tcPr>
          <w:p>
            <w:pPr>
              <w:spacing w:after="0"/>
              <w:rPr>
                <w:sz w:val="9"/>
                <w:szCs w:val="9"/>
                <w:color w:val="auto"/>
              </w:rPr>
            </w:pPr>
          </w:p>
        </w:tc>
        <w:tc>
          <w:tcPr>
            <w:tcW w:w="80" w:type="dxa"/>
            <w:vAlign w:val="bottom"/>
            <w:shd w:val="clear" w:color="auto" w:fill="F4F4E5"/>
          </w:tcPr>
          <w:p>
            <w:pPr>
              <w:spacing w:after="0"/>
              <w:rPr>
                <w:sz w:val="9"/>
                <w:szCs w:val="9"/>
                <w:color w:val="auto"/>
              </w:rPr>
            </w:pPr>
          </w:p>
        </w:tc>
        <w:tc>
          <w:tcPr>
            <w:tcW w:w="140" w:type="dxa"/>
            <w:vAlign w:val="bottom"/>
            <w:shd w:val="clear" w:color="auto" w:fill="F4F4E5"/>
          </w:tcPr>
          <w:p>
            <w:pPr>
              <w:spacing w:after="0"/>
              <w:rPr>
                <w:sz w:val="9"/>
                <w:szCs w:val="9"/>
                <w:color w:val="auto"/>
              </w:rPr>
            </w:pPr>
          </w:p>
        </w:tc>
        <w:tc>
          <w:tcPr>
            <w:tcW w:w="2480" w:type="dxa"/>
            <w:vAlign w:val="bottom"/>
            <w:gridSpan w:val="5"/>
            <w:vMerge w:val="continue"/>
            <w:shd w:val="clear" w:color="auto" w:fill="F4F4E5"/>
          </w:tcPr>
          <w:p>
            <w:pPr>
              <w:spacing w:after="0"/>
              <w:rPr>
                <w:sz w:val="9"/>
                <w:szCs w:val="9"/>
                <w:color w:val="auto"/>
              </w:rPr>
            </w:pPr>
          </w:p>
        </w:tc>
        <w:tc>
          <w:tcPr>
            <w:tcW w:w="2280" w:type="dxa"/>
            <w:vAlign w:val="bottom"/>
            <w:gridSpan w:val="3"/>
            <w:vMerge w:val="continue"/>
            <w:shd w:val="clear" w:color="auto" w:fill="F4F4E5"/>
          </w:tcPr>
          <w:p>
            <w:pPr>
              <w:spacing w:after="0"/>
              <w:rPr>
                <w:sz w:val="9"/>
                <w:szCs w:val="9"/>
                <w:color w:val="auto"/>
              </w:rPr>
            </w:pPr>
          </w:p>
        </w:tc>
        <w:tc>
          <w:tcPr>
            <w:tcW w:w="1280" w:type="dxa"/>
            <w:vAlign w:val="bottom"/>
            <w:shd w:val="clear" w:color="auto" w:fill="F4F4E5"/>
          </w:tcPr>
          <w:p>
            <w:pPr>
              <w:jc w:val="center"/>
              <w:ind w:right="139"/>
              <w:spacing w:after="0" w:line="110" w:lineRule="exact"/>
              <w:rPr>
                <w:sz w:val="20"/>
                <w:szCs w:val="20"/>
                <w:color w:val="auto"/>
              </w:rPr>
            </w:pPr>
            <w:r>
              <w:rPr>
                <w:rFonts w:ascii="Arial" w:cs="Arial" w:eastAsia="Arial" w:hAnsi="Arial"/>
                <w:sz w:val="11"/>
                <w:szCs w:val="11"/>
                <w:b w:val="1"/>
                <w:bCs w:val="1"/>
                <w:color w:val="auto"/>
                <w:w w:val="97"/>
              </w:rPr>
              <w:t>AWARDS:</w:t>
            </w:r>
          </w:p>
        </w:tc>
        <w:tc>
          <w:tcPr>
            <w:tcW w:w="160" w:type="dxa"/>
            <w:vAlign w:val="bottom"/>
            <w:shd w:val="clear" w:color="auto" w:fill="F4F4E5"/>
          </w:tcPr>
          <w:p>
            <w:pPr>
              <w:spacing w:after="0"/>
              <w:rPr>
                <w:sz w:val="9"/>
                <w:szCs w:val="9"/>
                <w:color w:val="auto"/>
              </w:rPr>
            </w:pPr>
          </w:p>
        </w:tc>
        <w:tc>
          <w:tcPr>
            <w:tcW w:w="200" w:type="dxa"/>
            <w:vAlign w:val="bottom"/>
            <w:shd w:val="clear" w:color="auto" w:fill="F4F4E5"/>
          </w:tcPr>
          <w:p>
            <w:pPr>
              <w:spacing w:after="0"/>
              <w:rPr>
                <w:sz w:val="9"/>
                <w:szCs w:val="9"/>
                <w:color w:val="auto"/>
              </w:rPr>
            </w:pPr>
          </w:p>
        </w:tc>
        <w:tc>
          <w:tcPr>
            <w:tcW w:w="740" w:type="dxa"/>
            <w:vAlign w:val="bottom"/>
            <w:shd w:val="clear" w:color="auto" w:fill="F4F4E5"/>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840" w:type="dxa"/>
            <w:vAlign w:val="bottom"/>
            <w:shd w:val="clear" w:color="auto" w:fill="F4F4E5"/>
          </w:tcPr>
          <w:p>
            <w:pPr>
              <w:spacing w:after="0"/>
              <w:rPr>
                <w:sz w:val="10"/>
                <w:szCs w:val="10"/>
                <w:color w:val="auto"/>
              </w:rPr>
            </w:pPr>
          </w:p>
        </w:tc>
        <w:tc>
          <w:tcPr>
            <w:tcW w:w="80" w:type="dxa"/>
            <w:vAlign w:val="bottom"/>
            <w:shd w:val="clear" w:color="auto" w:fill="F4F4E5"/>
          </w:tcPr>
          <w:p>
            <w:pPr>
              <w:spacing w:after="0"/>
              <w:rPr>
                <w:sz w:val="10"/>
                <w:szCs w:val="10"/>
                <w:color w:val="auto"/>
              </w:rPr>
            </w:pPr>
          </w:p>
        </w:tc>
        <w:tc>
          <w:tcPr>
            <w:tcW w:w="740" w:type="dxa"/>
            <w:vAlign w:val="bottom"/>
            <w:shd w:val="clear" w:color="auto" w:fill="F4F4E5"/>
          </w:tcPr>
          <w:p>
            <w:pPr>
              <w:spacing w:after="0"/>
              <w:rPr>
                <w:sz w:val="10"/>
                <w:szCs w:val="10"/>
                <w:color w:val="auto"/>
              </w:rPr>
            </w:pPr>
          </w:p>
        </w:tc>
        <w:tc>
          <w:tcPr>
            <w:tcW w:w="80" w:type="dxa"/>
            <w:vAlign w:val="bottom"/>
            <w:shd w:val="clear" w:color="auto" w:fill="F4F4E5"/>
          </w:tcPr>
          <w:p>
            <w:pPr>
              <w:spacing w:after="0"/>
              <w:rPr>
                <w:sz w:val="10"/>
                <w:szCs w:val="10"/>
                <w:color w:val="auto"/>
              </w:rPr>
            </w:pPr>
          </w:p>
        </w:tc>
        <w:tc>
          <w:tcPr>
            <w:tcW w:w="140" w:type="dxa"/>
            <w:vAlign w:val="bottom"/>
            <w:shd w:val="clear" w:color="auto" w:fill="F4F4E5"/>
          </w:tcPr>
          <w:p>
            <w:pPr>
              <w:spacing w:after="0"/>
              <w:rPr>
                <w:sz w:val="10"/>
                <w:szCs w:val="10"/>
                <w:color w:val="auto"/>
              </w:rPr>
            </w:pPr>
          </w:p>
        </w:tc>
        <w:tc>
          <w:tcPr>
            <w:tcW w:w="2480" w:type="dxa"/>
            <w:vAlign w:val="bottom"/>
            <w:gridSpan w:val="5"/>
            <w:shd w:val="clear" w:color="auto" w:fill="F4F4E5"/>
          </w:tcPr>
          <w:p>
            <w:pPr>
              <w:jc w:val="center"/>
              <w:ind w:right="70"/>
              <w:spacing w:after="0" w:line="122" w:lineRule="exact"/>
              <w:rPr>
                <w:sz w:val="20"/>
                <w:szCs w:val="20"/>
                <w:color w:val="auto"/>
              </w:rPr>
            </w:pPr>
            <w:r>
              <w:rPr>
                <w:rFonts w:ascii="Arial" w:cs="Arial" w:eastAsia="Arial" w:hAnsi="Arial"/>
                <w:sz w:val="11"/>
                <w:szCs w:val="11"/>
                <w:b w:val="1"/>
                <w:bCs w:val="1"/>
                <w:color w:val="auto"/>
                <w:w w:val="98"/>
              </w:rPr>
              <w:t>UNDER NON-EQUITY INCENTIVE PLAN</w:t>
            </w:r>
          </w:p>
        </w:tc>
        <w:tc>
          <w:tcPr>
            <w:tcW w:w="2280" w:type="dxa"/>
            <w:vAlign w:val="bottom"/>
            <w:gridSpan w:val="3"/>
            <w:shd w:val="clear" w:color="auto" w:fill="F4F4E5"/>
          </w:tcPr>
          <w:p>
            <w:pPr>
              <w:jc w:val="center"/>
              <w:spacing w:after="0" w:line="122" w:lineRule="exact"/>
              <w:rPr>
                <w:sz w:val="20"/>
                <w:szCs w:val="20"/>
                <w:color w:val="auto"/>
              </w:rPr>
            </w:pPr>
            <w:r>
              <w:rPr>
                <w:rFonts w:ascii="Arial" w:cs="Arial" w:eastAsia="Arial" w:hAnsi="Arial"/>
                <w:sz w:val="11"/>
                <w:szCs w:val="11"/>
                <w:b w:val="1"/>
                <w:bCs w:val="1"/>
                <w:color w:val="auto"/>
                <w:w w:val="97"/>
              </w:rPr>
              <w:t>UNDER EQUITY INCENTIVE PLAN</w:t>
            </w:r>
          </w:p>
        </w:tc>
        <w:tc>
          <w:tcPr>
            <w:tcW w:w="1280" w:type="dxa"/>
            <w:vAlign w:val="bottom"/>
            <w:shd w:val="clear" w:color="auto" w:fill="F4F4E5"/>
          </w:tcPr>
          <w:p>
            <w:pPr>
              <w:spacing w:after="0"/>
              <w:rPr>
                <w:sz w:val="10"/>
                <w:szCs w:val="10"/>
                <w:color w:val="auto"/>
              </w:rPr>
            </w:pPr>
          </w:p>
        </w:tc>
        <w:tc>
          <w:tcPr>
            <w:tcW w:w="160" w:type="dxa"/>
            <w:vAlign w:val="bottom"/>
            <w:shd w:val="clear" w:color="auto" w:fill="F4F4E5"/>
          </w:tcPr>
          <w:p>
            <w:pPr>
              <w:spacing w:after="0"/>
              <w:rPr>
                <w:sz w:val="10"/>
                <w:szCs w:val="10"/>
                <w:color w:val="auto"/>
              </w:rPr>
            </w:pPr>
          </w:p>
        </w:tc>
        <w:tc>
          <w:tcPr>
            <w:tcW w:w="940" w:type="dxa"/>
            <w:vAlign w:val="bottom"/>
            <w:gridSpan w:val="2"/>
            <w:shd w:val="clear" w:color="auto" w:fill="F4F4E5"/>
          </w:tcPr>
          <w:p>
            <w:pPr>
              <w:ind w:left="20"/>
              <w:spacing w:after="0" w:line="122" w:lineRule="exact"/>
              <w:rPr>
                <w:sz w:val="20"/>
                <w:szCs w:val="20"/>
                <w:color w:val="auto"/>
              </w:rPr>
            </w:pPr>
            <w:r>
              <w:rPr>
                <w:rFonts w:ascii="Arial" w:cs="Arial" w:eastAsia="Arial" w:hAnsi="Arial"/>
                <w:sz w:val="11"/>
                <w:szCs w:val="11"/>
                <w:b w:val="1"/>
                <w:bCs w:val="1"/>
                <w:color w:val="auto"/>
              </w:rPr>
              <w:t>GRANT DATE</w:t>
            </w:r>
          </w:p>
        </w:tc>
        <w:tc>
          <w:tcPr>
            <w:tcW w:w="0" w:type="dxa"/>
            <w:vAlign w:val="bottom"/>
          </w:tcPr>
          <w:p>
            <w:pPr>
              <w:spacing w:after="0"/>
              <w:rPr>
                <w:sz w:val="1"/>
                <w:szCs w:val="1"/>
                <w:color w:val="auto"/>
              </w:rPr>
            </w:pPr>
          </w:p>
        </w:tc>
      </w:tr>
      <w:tr>
        <w:trPr>
          <w:trHeight w:val="133"/>
        </w:trPr>
        <w:tc>
          <w:tcPr>
            <w:tcW w:w="2840" w:type="dxa"/>
            <w:vAlign w:val="bottom"/>
            <w:shd w:val="clear" w:color="auto" w:fill="F4F4E5"/>
          </w:tcPr>
          <w:p>
            <w:pPr>
              <w:spacing w:after="0"/>
              <w:rPr>
                <w:sz w:val="11"/>
                <w:szCs w:val="11"/>
                <w:color w:val="auto"/>
              </w:rPr>
            </w:pPr>
          </w:p>
        </w:tc>
        <w:tc>
          <w:tcPr>
            <w:tcW w:w="80" w:type="dxa"/>
            <w:vAlign w:val="bottom"/>
            <w:shd w:val="clear" w:color="auto" w:fill="F4F4E5"/>
          </w:tcPr>
          <w:p>
            <w:pPr>
              <w:spacing w:after="0"/>
              <w:rPr>
                <w:sz w:val="11"/>
                <w:szCs w:val="11"/>
                <w:color w:val="auto"/>
              </w:rPr>
            </w:pPr>
          </w:p>
        </w:tc>
        <w:tc>
          <w:tcPr>
            <w:tcW w:w="740" w:type="dxa"/>
            <w:vAlign w:val="bottom"/>
            <w:shd w:val="clear" w:color="auto" w:fill="F4F4E5"/>
          </w:tcPr>
          <w:p>
            <w:pPr>
              <w:spacing w:after="0"/>
              <w:rPr>
                <w:sz w:val="11"/>
                <w:szCs w:val="11"/>
                <w:color w:val="auto"/>
              </w:rPr>
            </w:pPr>
          </w:p>
        </w:tc>
        <w:tc>
          <w:tcPr>
            <w:tcW w:w="80" w:type="dxa"/>
            <w:vAlign w:val="bottom"/>
            <w:shd w:val="clear" w:color="auto" w:fill="F4F4E5"/>
          </w:tcPr>
          <w:p>
            <w:pPr>
              <w:spacing w:after="0"/>
              <w:rPr>
                <w:sz w:val="11"/>
                <w:szCs w:val="11"/>
                <w:color w:val="auto"/>
              </w:rPr>
            </w:pPr>
          </w:p>
        </w:tc>
        <w:tc>
          <w:tcPr>
            <w:tcW w:w="140" w:type="dxa"/>
            <w:vAlign w:val="bottom"/>
            <w:shd w:val="clear" w:color="auto" w:fill="F4F4E5"/>
          </w:tcPr>
          <w:p>
            <w:pPr>
              <w:spacing w:after="0"/>
              <w:rPr>
                <w:sz w:val="11"/>
                <w:szCs w:val="11"/>
                <w:color w:val="auto"/>
              </w:rPr>
            </w:pPr>
          </w:p>
        </w:tc>
        <w:tc>
          <w:tcPr>
            <w:tcW w:w="720" w:type="dxa"/>
            <w:vAlign w:val="bottom"/>
            <w:shd w:val="clear" w:color="auto" w:fill="F4F4E5"/>
          </w:tcPr>
          <w:p>
            <w:pPr>
              <w:spacing w:after="0"/>
              <w:rPr>
                <w:sz w:val="11"/>
                <w:szCs w:val="11"/>
                <w:color w:val="auto"/>
              </w:rPr>
            </w:pPr>
          </w:p>
        </w:tc>
        <w:tc>
          <w:tcPr>
            <w:tcW w:w="880" w:type="dxa"/>
            <w:vAlign w:val="bottom"/>
            <w:gridSpan w:val="2"/>
            <w:shd w:val="clear" w:color="auto" w:fill="F4F4E5"/>
          </w:tcPr>
          <w:p>
            <w:pPr>
              <w:jc w:val="center"/>
              <w:spacing w:after="0"/>
              <w:rPr>
                <w:sz w:val="20"/>
                <w:szCs w:val="20"/>
                <w:color w:val="auto"/>
              </w:rPr>
            </w:pPr>
            <w:r>
              <w:rPr>
                <w:rFonts w:ascii="Arial" w:cs="Arial" w:eastAsia="Arial" w:hAnsi="Arial"/>
                <w:sz w:val="11"/>
                <w:szCs w:val="11"/>
                <w:b w:val="1"/>
                <w:bCs w:val="1"/>
                <w:color w:val="auto"/>
                <w:w w:val="97"/>
              </w:rPr>
              <w:t>AWARDS($)</w:t>
            </w:r>
            <w:r>
              <w:rPr>
                <w:rFonts w:ascii="Arial" w:cs="Arial" w:eastAsia="Arial" w:hAnsi="Arial"/>
                <w:sz w:val="9"/>
                <w:szCs w:val="9"/>
                <w:b w:val="1"/>
                <w:bCs w:val="1"/>
                <w:color w:val="auto"/>
                <w:w w:val="97"/>
              </w:rPr>
              <w:t>(1)</w:t>
            </w:r>
          </w:p>
        </w:tc>
        <w:tc>
          <w:tcPr>
            <w:tcW w:w="160" w:type="dxa"/>
            <w:vAlign w:val="bottom"/>
            <w:shd w:val="clear" w:color="auto" w:fill="F4F4E5"/>
          </w:tcPr>
          <w:p>
            <w:pPr>
              <w:spacing w:after="0"/>
              <w:rPr>
                <w:sz w:val="11"/>
                <w:szCs w:val="11"/>
                <w:color w:val="auto"/>
              </w:rPr>
            </w:pPr>
          </w:p>
        </w:tc>
        <w:tc>
          <w:tcPr>
            <w:tcW w:w="720" w:type="dxa"/>
            <w:vAlign w:val="bottom"/>
            <w:shd w:val="clear" w:color="auto" w:fill="F4F4E5"/>
          </w:tcPr>
          <w:p>
            <w:pPr>
              <w:spacing w:after="0"/>
              <w:rPr>
                <w:sz w:val="11"/>
                <w:szCs w:val="11"/>
                <w:color w:val="auto"/>
              </w:rPr>
            </w:pPr>
          </w:p>
        </w:tc>
        <w:tc>
          <w:tcPr>
            <w:tcW w:w="1580" w:type="dxa"/>
            <w:vAlign w:val="bottom"/>
            <w:gridSpan w:val="2"/>
            <w:shd w:val="clear" w:color="auto" w:fill="F4F4E5"/>
          </w:tcPr>
          <w:p>
            <w:pPr>
              <w:jc w:val="center"/>
              <w:ind w:left="612"/>
              <w:spacing w:after="0"/>
              <w:rPr>
                <w:sz w:val="20"/>
                <w:szCs w:val="20"/>
                <w:color w:val="auto"/>
              </w:rPr>
            </w:pPr>
            <w:r>
              <w:rPr>
                <w:rFonts w:ascii="Arial" w:cs="Arial" w:eastAsia="Arial" w:hAnsi="Arial"/>
                <w:sz w:val="11"/>
                <w:szCs w:val="11"/>
                <w:b w:val="1"/>
                <w:bCs w:val="1"/>
                <w:color w:val="auto"/>
                <w:w w:val="96"/>
              </w:rPr>
              <w:t>AWARDS(#)</w:t>
            </w:r>
            <w:r>
              <w:rPr>
                <w:rFonts w:ascii="Arial" w:cs="Arial" w:eastAsia="Arial" w:hAnsi="Arial"/>
                <w:sz w:val="9"/>
                <w:szCs w:val="9"/>
                <w:b w:val="1"/>
                <w:bCs w:val="1"/>
                <w:color w:val="auto"/>
                <w:w w:val="96"/>
              </w:rPr>
              <w:t>(2)(7)</w:t>
            </w:r>
          </w:p>
        </w:tc>
        <w:tc>
          <w:tcPr>
            <w:tcW w:w="700" w:type="dxa"/>
            <w:vAlign w:val="bottom"/>
            <w:shd w:val="clear" w:color="auto" w:fill="F4F4E5"/>
          </w:tcPr>
          <w:p>
            <w:pPr>
              <w:spacing w:after="0"/>
              <w:rPr>
                <w:sz w:val="11"/>
                <w:szCs w:val="11"/>
                <w:color w:val="auto"/>
              </w:rPr>
            </w:pPr>
          </w:p>
        </w:tc>
        <w:tc>
          <w:tcPr>
            <w:tcW w:w="1280" w:type="dxa"/>
            <w:vAlign w:val="bottom"/>
            <w:shd w:val="clear" w:color="auto" w:fill="F4F4E5"/>
          </w:tcPr>
          <w:p>
            <w:pPr>
              <w:jc w:val="center"/>
              <w:ind w:right="159"/>
              <w:spacing w:after="0"/>
              <w:rPr>
                <w:sz w:val="20"/>
                <w:szCs w:val="20"/>
                <w:color w:val="auto"/>
              </w:rPr>
            </w:pPr>
            <w:r>
              <w:rPr>
                <w:rFonts w:ascii="Arial" w:cs="Arial" w:eastAsia="Arial" w:hAnsi="Arial"/>
                <w:sz w:val="11"/>
                <w:szCs w:val="11"/>
                <w:b w:val="1"/>
                <w:bCs w:val="1"/>
                <w:color w:val="auto"/>
                <w:w w:val="99"/>
              </w:rPr>
              <w:t>NUMBER OF</w:t>
            </w:r>
          </w:p>
        </w:tc>
        <w:tc>
          <w:tcPr>
            <w:tcW w:w="160" w:type="dxa"/>
            <w:vAlign w:val="bottom"/>
            <w:shd w:val="clear" w:color="auto" w:fill="F4F4E5"/>
          </w:tcPr>
          <w:p>
            <w:pPr>
              <w:spacing w:after="0"/>
              <w:rPr>
                <w:sz w:val="11"/>
                <w:szCs w:val="11"/>
                <w:color w:val="auto"/>
              </w:rPr>
            </w:pPr>
          </w:p>
        </w:tc>
        <w:tc>
          <w:tcPr>
            <w:tcW w:w="940" w:type="dxa"/>
            <w:vAlign w:val="bottom"/>
            <w:gridSpan w:val="2"/>
            <w:shd w:val="clear" w:color="auto" w:fill="F4F4E5"/>
          </w:tcPr>
          <w:p>
            <w:pPr>
              <w:jc w:val="right"/>
              <w:ind w:right="191"/>
              <w:spacing w:after="0"/>
              <w:rPr>
                <w:sz w:val="20"/>
                <w:szCs w:val="20"/>
                <w:color w:val="auto"/>
              </w:rPr>
            </w:pPr>
            <w:r>
              <w:rPr>
                <w:rFonts w:ascii="Arial" w:cs="Arial" w:eastAsia="Arial" w:hAnsi="Arial"/>
                <w:sz w:val="11"/>
                <w:szCs w:val="11"/>
                <w:b w:val="1"/>
                <w:bCs w:val="1"/>
                <w:color w:val="auto"/>
                <w:w w:val="99"/>
              </w:rPr>
              <w:t>FAIR VALUE</w:t>
            </w:r>
          </w:p>
        </w:tc>
        <w:tc>
          <w:tcPr>
            <w:tcW w:w="0" w:type="dxa"/>
            <w:vAlign w:val="bottom"/>
          </w:tcPr>
          <w:p>
            <w:pPr>
              <w:spacing w:after="0"/>
              <w:rPr>
                <w:sz w:val="1"/>
                <w:szCs w:val="1"/>
                <w:color w:val="auto"/>
              </w:rPr>
            </w:pPr>
          </w:p>
        </w:tc>
      </w:tr>
      <w:tr>
        <w:trPr>
          <w:trHeight w:val="122"/>
        </w:trPr>
        <w:tc>
          <w:tcPr>
            <w:tcW w:w="2840" w:type="dxa"/>
            <w:vAlign w:val="bottom"/>
            <w:shd w:val="clear" w:color="auto" w:fill="F4F4E5"/>
          </w:tcPr>
          <w:p>
            <w:pPr>
              <w:spacing w:after="0"/>
              <w:rPr>
                <w:sz w:val="10"/>
                <w:szCs w:val="10"/>
                <w:color w:val="auto"/>
              </w:rPr>
            </w:pPr>
          </w:p>
        </w:tc>
        <w:tc>
          <w:tcPr>
            <w:tcW w:w="80" w:type="dxa"/>
            <w:vAlign w:val="bottom"/>
            <w:shd w:val="clear" w:color="auto" w:fill="F4F4E5"/>
          </w:tcPr>
          <w:p>
            <w:pPr>
              <w:spacing w:after="0"/>
              <w:rPr>
                <w:sz w:val="10"/>
                <w:szCs w:val="10"/>
                <w:color w:val="auto"/>
              </w:rPr>
            </w:pPr>
          </w:p>
        </w:tc>
        <w:tc>
          <w:tcPr>
            <w:tcW w:w="740" w:type="dxa"/>
            <w:vAlign w:val="bottom"/>
            <w:shd w:val="clear" w:color="auto" w:fill="F4F4E5"/>
          </w:tcPr>
          <w:p>
            <w:pPr>
              <w:spacing w:after="0"/>
              <w:rPr>
                <w:sz w:val="10"/>
                <w:szCs w:val="10"/>
                <w:color w:val="auto"/>
              </w:rPr>
            </w:pPr>
          </w:p>
        </w:tc>
        <w:tc>
          <w:tcPr>
            <w:tcW w:w="80" w:type="dxa"/>
            <w:vAlign w:val="bottom"/>
            <w:shd w:val="clear" w:color="auto" w:fill="F4F4E5"/>
          </w:tcPr>
          <w:p>
            <w:pPr>
              <w:spacing w:after="0"/>
              <w:rPr>
                <w:sz w:val="10"/>
                <w:szCs w:val="10"/>
                <w:color w:val="auto"/>
              </w:rPr>
            </w:pPr>
          </w:p>
        </w:tc>
        <w:tc>
          <w:tcPr>
            <w:tcW w:w="140" w:type="dxa"/>
            <w:vAlign w:val="bottom"/>
            <w:shd w:val="clear" w:color="auto" w:fill="F4F4E5"/>
          </w:tcPr>
          <w:p>
            <w:pPr>
              <w:spacing w:after="0"/>
              <w:rPr>
                <w:sz w:val="10"/>
                <w:szCs w:val="10"/>
                <w:color w:val="auto"/>
              </w:rPr>
            </w:pPr>
          </w:p>
        </w:tc>
        <w:tc>
          <w:tcPr>
            <w:tcW w:w="720" w:type="dxa"/>
            <w:vAlign w:val="bottom"/>
            <w:shd w:val="clear" w:color="auto" w:fill="F4F4E5"/>
          </w:tcPr>
          <w:p>
            <w:pPr>
              <w:spacing w:after="0"/>
              <w:rPr>
                <w:sz w:val="10"/>
                <w:szCs w:val="10"/>
                <w:color w:val="auto"/>
              </w:rPr>
            </w:pPr>
          </w:p>
        </w:tc>
        <w:tc>
          <w:tcPr>
            <w:tcW w:w="200" w:type="dxa"/>
            <w:vAlign w:val="bottom"/>
            <w:shd w:val="clear" w:color="auto" w:fill="F4F4E5"/>
          </w:tcPr>
          <w:p>
            <w:pPr>
              <w:spacing w:after="0"/>
              <w:rPr>
                <w:sz w:val="10"/>
                <w:szCs w:val="10"/>
                <w:color w:val="auto"/>
              </w:rPr>
            </w:pPr>
          </w:p>
        </w:tc>
        <w:tc>
          <w:tcPr>
            <w:tcW w:w="680" w:type="dxa"/>
            <w:vAlign w:val="bottom"/>
            <w:shd w:val="clear" w:color="auto" w:fill="F4F4E5"/>
          </w:tcPr>
          <w:p>
            <w:pPr>
              <w:spacing w:after="0"/>
              <w:rPr>
                <w:sz w:val="10"/>
                <w:szCs w:val="10"/>
                <w:color w:val="auto"/>
              </w:rPr>
            </w:pPr>
          </w:p>
        </w:tc>
        <w:tc>
          <w:tcPr>
            <w:tcW w:w="160" w:type="dxa"/>
            <w:vAlign w:val="bottom"/>
            <w:shd w:val="clear" w:color="auto" w:fill="F4F4E5"/>
          </w:tcPr>
          <w:p>
            <w:pPr>
              <w:spacing w:after="0"/>
              <w:rPr>
                <w:sz w:val="10"/>
                <w:szCs w:val="10"/>
                <w:color w:val="auto"/>
              </w:rPr>
            </w:pPr>
          </w:p>
        </w:tc>
        <w:tc>
          <w:tcPr>
            <w:tcW w:w="720" w:type="dxa"/>
            <w:vAlign w:val="bottom"/>
            <w:shd w:val="clear" w:color="auto" w:fill="F4F4E5"/>
          </w:tcPr>
          <w:p>
            <w:pPr>
              <w:spacing w:after="0"/>
              <w:rPr>
                <w:sz w:val="10"/>
                <w:szCs w:val="10"/>
                <w:color w:val="auto"/>
              </w:rPr>
            </w:pPr>
          </w:p>
        </w:tc>
        <w:tc>
          <w:tcPr>
            <w:tcW w:w="840" w:type="dxa"/>
            <w:vAlign w:val="bottom"/>
            <w:shd w:val="clear" w:color="auto" w:fill="F4F4E5"/>
          </w:tcPr>
          <w:p>
            <w:pPr>
              <w:spacing w:after="0"/>
              <w:rPr>
                <w:sz w:val="10"/>
                <w:szCs w:val="10"/>
                <w:color w:val="auto"/>
              </w:rPr>
            </w:pPr>
          </w:p>
        </w:tc>
        <w:tc>
          <w:tcPr>
            <w:tcW w:w="740" w:type="dxa"/>
            <w:vAlign w:val="bottom"/>
            <w:shd w:val="clear" w:color="auto" w:fill="F4F4E5"/>
          </w:tcPr>
          <w:p>
            <w:pPr>
              <w:spacing w:after="0"/>
              <w:rPr>
                <w:sz w:val="10"/>
                <w:szCs w:val="10"/>
                <w:color w:val="auto"/>
              </w:rPr>
            </w:pPr>
          </w:p>
        </w:tc>
        <w:tc>
          <w:tcPr>
            <w:tcW w:w="700" w:type="dxa"/>
            <w:vAlign w:val="bottom"/>
            <w:shd w:val="clear" w:color="auto" w:fill="F4F4E5"/>
          </w:tcPr>
          <w:p>
            <w:pPr>
              <w:spacing w:after="0"/>
              <w:rPr>
                <w:sz w:val="10"/>
                <w:szCs w:val="10"/>
                <w:color w:val="auto"/>
              </w:rPr>
            </w:pPr>
          </w:p>
        </w:tc>
        <w:tc>
          <w:tcPr>
            <w:tcW w:w="1280" w:type="dxa"/>
            <w:vAlign w:val="bottom"/>
            <w:shd w:val="clear" w:color="auto" w:fill="F4F4E5"/>
          </w:tcPr>
          <w:p>
            <w:pPr>
              <w:jc w:val="center"/>
              <w:ind w:right="119"/>
              <w:spacing w:after="0" w:line="122" w:lineRule="exact"/>
              <w:rPr>
                <w:sz w:val="20"/>
                <w:szCs w:val="20"/>
                <w:color w:val="auto"/>
              </w:rPr>
            </w:pPr>
            <w:r>
              <w:rPr>
                <w:rFonts w:ascii="Arial" w:cs="Arial" w:eastAsia="Arial" w:hAnsi="Arial"/>
                <w:sz w:val="11"/>
                <w:szCs w:val="11"/>
                <w:b w:val="1"/>
                <w:bCs w:val="1"/>
                <w:color w:val="auto"/>
                <w:w w:val="96"/>
              </w:rPr>
              <w:t>SHARES OF</w:t>
            </w:r>
          </w:p>
        </w:tc>
        <w:tc>
          <w:tcPr>
            <w:tcW w:w="160" w:type="dxa"/>
            <w:vAlign w:val="bottom"/>
            <w:shd w:val="clear" w:color="auto" w:fill="F4F4E5"/>
          </w:tcPr>
          <w:p>
            <w:pPr>
              <w:spacing w:after="0"/>
              <w:rPr>
                <w:sz w:val="10"/>
                <w:szCs w:val="10"/>
                <w:color w:val="auto"/>
              </w:rPr>
            </w:pPr>
          </w:p>
        </w:tc>
        <w:tc>
          <w:tcPr>
            <w:tcW w:w="200" w:type="dxa"/>
            <w:vAlign w:val="bottom"/>
            <w:shd w:val="clear" w:color="auto" w:fill="F4F4E5"/>
          </w:tcPr>
          <w:p>
            <w:pPr>
              <w:ind w:left="40"/>
              <w:spacing w:after="0" w:line="122" w:lineRule="exact"/>
              <w:rPr>
                <w:sz w:val="20"/>
                <w:szCs w:val="20"/>
                <w:color w:val="auto"/>
              </w:rPr>
            </w:pPr>
            <w:r>
              <w:rPr>
                <w:rFonts w:ascii="Arial" w:cs="Arial" w:eastAsia="Arial" w:hAnsi="Arial"/>
                <w:sz w:val="11"/>
                <w:szCs w:val="11"/>
                <w:b w:val="1"/>
                <w:bCs w:val="1"/>
                <w:color w:val="auto"/>
                <w:w w:val="91"/>
              </w:rPr>
              <w:t>OF</w:t>
            </w:r>
          </w:p>
        </w:tc>
        <w:tc>
          <w:tcPr>
            <w:tcW w:w="740" w:type="dxa"/>
            <w:vAlign w:val="bottom"/>
            <w:shd w:val="clear" w:color="auto" w:fill="F4F4E5"/>
          </w:tcPr>
          <w:p>
            <w:pPr>
              <w:jc w:val="right"/>
              <w:ind w:right="231"/>
              <w:spacing w:after="0" w:line="122" w:lineRule="exact"/>
              <w:rPr>
                <w:sz w:val="20"/>
                <w:szCs w:val="20"/>
                <w:color w:val="auto"/>
              </w:rPr>
            </w:pPr>
            <w:r>
              <w:rPr>
                <w:rFonts w:ascii="Arial" w:cs="Arial" w:eastAsia="Arial" w:hAnsi="Arial"/>
                <w:sz w:val="11"/>
                <w:szCs w:val="11"/>
                <w:b w:val="1"/>
                <w:bCs w:val="1"/>
                <w:color w:val="auto"/>
              </w:rPr>
              <w:t>STOCK</w:t>
            </w:r>
          </w:p>
        </w:tc>
        <w:tc>
          <w:tcPr>
            <w:tcW w:w="0" w:type="dxa"/>
            <w:vAlign w:val="bottom"/>
          </w:tcPr>
          <w:p>
            <w:pPr>
              <w:spacing w:after="0"/>
              <w:rPr>
                <w:sz w:val="1"/>
                <w:szCs w:val="1"/>
                <w:color w:val="auto"/>
              </w:rPr>
            </w:pPr>
          </w:p>
        </w:tc>
      </w:tr>
      <w:tr>
        <w:trPr>
          <w:trHeight w:val="122"/>
        </w:trPr>
        <w:tc>
          <w:tcPr>
            <w:tcW w:w="2840" w:type="dxa"/>
            <w:vAlign w:val="bottom"/>
            <w:shd w:val="clear" w:color="auto" w:fill="F4F4E5"/>
          </w:tcPr>
          <w:p>
            <w:pPr>
              <w:spacing w:after="0"/>
              <w:rPr>
                <w:sz w:val="10"/>
                <w:szCs w:val="10"/>
                <w:color w:val="auto"/>
              </w:rPr>
            </w:pPr>
          </w:p>
        </w:tc>
        <w:tc>
          <w:tcPr>
            <w:tcW w:w="80" w:type="dxa"/>
            <w:vAlign w:val="bottom"/>
            <w:shd w:val="clear" w:color="auto" w:fill="F4F4E5"/>
          </w:tcPr>
          <w:p>
            <w:pPr>
              <w:spacing w:after="0"/>
              <w:rPr>
                <w:sz w:val="10"/>
                <w:szCs w:val="10"/>
                <w:color w:val="auto"/>
              </w:rPr>
            </w:pPr>
          </w:p>
        </w:tc>
        <w:tc>
          <w:tcPr>
            <w:tcW w:w="740" w:type="dxa"/>
            <w:vAlign w:val="bottom"/>
            <w:shd w:val="clear" w:color="auto" w:fill="F4F4E5"/>
          </w:tcPr>
          <w:p>
            <w:pPr>
              <w:spacing w:after="0"/>
              <w:rPr>
                <w:sz w:val="10"/>
                <w:szCs w:val="10"/>
                <w:color w:val="auto"/>
              </w:rPr>
            </w:pPr>
          </w:p>
        </w:tc>
        <w:tc>
          <w:tcPr>
            <w:tcW w:w="80" w:type="dxa"/>
            <w:vAlign w:val="bottom"/>
            <w:shd w:val="clear" w:color="auto" w:fill="F4F4E5"/>
          </w:tcPr>
          <w:p>
            <w:pPr>
              <w:spacing w:after="0"/>
              <w:rPr>
                <w:sz w:val="10"/>
                <w:szCs w:val="10"/>
                <w:color w:val="auto"/>
              </w:rPr>
            </w:pPr>
          </w:p>
        </w:tc>
        <w:tc>
          <w:tcPr>
            <w:tcW w:w="860" w:type="dxa"/>
            <w:vAlign w:val="bottom"/>
            <w:gridSpan w:val="2"/>
            <w:shd w:val="clear" w:color="auto" w:fill="F4F4E5"/>
          </w:tcPr>
          <w:p>
            <w:pPr>
              <w:jc w:val="right"/>
              <w:ind w:right="31"/>
              <w:spacing w:after="0" w:line="122" w:lineRule="exact"/>
              <w:rPr>
                <w:sz w:val="20"/>
                <w:szCs w:val="20"/>
                <w:color w:val="auto"/>
              </w:rPr>
            </w:pPr>
            <w:r>
              <w:rPr>
                <w:rFonts w:ascii="Arial" w:cs="Arial" w:eastAsia="Arial" w:hAnsi="Arial"/>
                <w:sz w:val="11"/>
                <w:szCs w:val="11"/>
                <w:b w:val="1"/>
                <w:bCs w:val="1"/>
                <w:color w:val="auto"/>
              </w:rPr>
              <w:t>THRESHOLD</w:t>
            </w:r>
          </w:p>
        </w:tc>
        <w:tc>
          <w:tcPr>
            <w:tcW w:w="200" w:type="dxa"/>
            <w:vAlign w:val="bottom"/>
            <w:shd w:val="clear" w:color="auto" w:fill="F4F4E5"/>
          </w:tcPr>
          <w:p>
            <w:pPr>
              <w:spacing w:after="0"/>
              <w:rPr>
                <w:sz w:val="10"/>
                <w:szCs w:val="10"/>
                <w:color w:val="auto"/>
              </w:rPr>
            </w:pPr>
          </w:p>
        </w:tc>
        <w:tc>
          <w:tcPr>
            <w:tcW w:w="680" w:type="dxa"/>
            <w:vAlign w:val="bottom"/>
            <w:shd w:val="clear" w:color="auto" w:fill="F4F4E5"/>
          </w:tcPr>
          <w:p>
            <w:pPr>
              <w:jc w:val="center"/>
              <w:ind w:right="130"/>
              <w:spacing w:after="0" w:line="122" w:lineRule="exact"/>
              <w:rPr>
                <w:sz w:val="20"/>
                <w:szCs w:val="20"/>
                <w:color w:val="auto"/>
              </w:rPr>
            </w:pPr>
            <w:r>
              <w:rPr>
                <w:rFonts w:ascii="Arial" w:cs="Arial" w:eastAsia="Arial" w:hAnsi="Arial"/>
                <w:sz w:val="11"/>
                <w:szCs w:val="11"/>
                <w:b w:val="1"/>
                <w:bCs w:val="1"/>
                <w:color w:val="auto"/>
                <w:w w:val="97"/>
              </w:rPr>
              <w:t>TARGET</w:t>
            </w:r>
          </w:p>
        </w:tc>
        <w:tc>
          <w:tcPr>
            <w:tcW w:w="160" w:type="dxa"/>
            <w:vAlign w:val="bottom"/>
            <w:shd w:val="clear" w:color="auto" w:fill="F4F4E5"/>
          </w:tcPr>
          <w:p>
            <w:pPr>
              <w:spacing w:after="0"/>
              <w:rPr>
                <w:sz w:val="10"/>
                <w:szCs w:val="10"/>
                <w:color w:val="auto"/>
              </w:rPr>
            </w:pPr>
          </w:p>
        </w:tc>
        <w:tc>
          <w:tcPr>
            <w:tcW w:w="720" w:type="dxa"/>
            <w:vAlign w:val="bottom"/>
            <w:shd w:val="clear" w:color="auto" w:fill="F4F4E5"/>
          </w:tcPr>
          <w:p>
            <w:pPr>
              <w:jc w:val="right"/>
              <w:ind w:right="110"/>
              <w:spacing w:after="0" w:line="122" w:lineRule="exact"/>
              <w:rPr>
                <w:sz w:val="20"/>
                <w:szCs w:val="20"/>
                <w:color w:val="auto"/>
              </w:rPr>
            </w:pPr>
            <w:r>
              <w:rPr>
                <w:rFonts w:ascii="Arial" w:cs="Arial" w:eastAsia="Arial" w:hAnsi="Arial"/>
                <w:sz w:val="11"/>
                <w:szCs w:val="11"/>
                <w:b w:val="1"/>
                <w:bCs w:val="1"/>
                <w:color w:val="auto"/>
                <w:w w:val="96"/>
              </w:rPr>
              <w:t>MAXIMUM</w:t>
            </w:r>
          </w:p>
        </w:tc>
        <w:tc>
          <w:tcPr>
            <w:tcW w:w="840" w:type="dxa"/>
            <w:vAlign w:val="bottom"/>
            <w:shd w:val="clear" w:color="auto" w:fill="F4F4E5"/>
          </w:tcPr>
          <w:p>
            <w:pPr>
              <w:jc w:val="right"/>
              <w:ind w:right="32"/>
              <w:spacing w:after="0" w:line="122" w:lineRule="exact"/>
              <w:rPr>
                <w:sz w:val="20"/>
                <w:szCs w:val="20"/>
                <w:color w:val="auto"/>
              </w:rPr>
            </w:pPr>
            <w:r>
              <w:rPr>
                <w:rFonts w:ascii="Arial" w:cs="Arial" w:eastAsia="Arial" w:hAnsi="Arial"/>
                <w:sz w:val="11"/>
                <w:szCs w:val="11"/>
                <w:b w:val="1"/>
                <w:bCs w:val="1"/>
                <w:color w:val="auto"/>
              </w:rPr>
              <w:t>THRESHOLD</w:t>
            </w:r>
          </w:p>
        </w:tc>
        <w:tc>
          <w:tcPr>
            <w:tcW w:w="740" w:type="dxa"/>
            <w:vAlign w:val="bottom"/>
            <w:shd w:val="clear" w:color="auto" w:fill="F4F4E5"/>
          </w:tcPr>
          <w:p>
            <w:pPr>
              <w:jc w:val="right"/>
              <w:ind w:right="110"/>
              <w:spacing w:after="0" w:line="122" w:lineRule="exact"/>
              <w:rPr>
                <w:sz w:val="20"/>
                <w:szCs w:val="20"/>
                <w:color w:val="auto"/>
              </w:rPr>
            </w:pPr>
            <w:r>
              <w:rPr>
                <w:rFonts w:ascii="Arial" w:cs="Arial" w:eastAsia="Arial" w:hAnsi="Arial"/>
                <w:sz w:val="11"/>
                <w:szCs w:val="11"/>
                <w:b w:val="1"/>
                <w:bCs w:val="1"/>
                <w:color w:val="auto"/>
              </w:rPr>
              <w:t>TARGET</w:t>
            </w:r>
          </w:p>
        </w:tc>
        <w:tc>
          <w:tcPr>
            <w:tcW w:w="700" w:type="dxa"/>
            <w:vAlign w:val="bottom"/>
            <w:shd w:val="clear" w:color="auto" w:fill="F4F4E5"/>
          </w:tcPr>
          <w:p>
            <w:pPr>
              <w:jc w:val="right"/>
              <w:ind w:right="50"/>
              <w:spacing w:after="0" w:line="122" w:lineRule="exact"/>
              <w:rPr>
                <w:sz w:val="20"/>
                <w:szCs w:val="20"/>
                <w:color w:val="auto"/>
              </w:rPr>
            </w:pPr>
            <w:r>
              <w:rPr>
                <w:rFonts w:ascii="Arial" w:cs="Arial" w:eastAsia="Arial" w:hAnsi="Arial"/>
                <w:sz w:val="11"/>
                <w:szCs w:val="11"/>
                <w:b w:val="1"/>
                <w:bCs w:val="1"/>
                <w:color w:val="auto"/>
              </w:rPr>
              <w:t>MAXIMUM</w:t>
            </w:r>
          </w:p>
        </w:tc>
        <w:tc>
          <w:tcPr>
            <w:tcW w:w="1280" w:type="dxa"/>
            <w:vAlign w:val="bottom"/>
            <w:shd w:val="clear" w:color="auto" w:fill="F4F4E5"/>
          </w:tcPr>
          <w:p>
            <w:pPr>
              <w:jc w:val="center"/>
              <w:ind w:right="139"/>
              <w:spacing w:after="0" w:line="122" w:lineRule="exact"/>
              <w:rPr>
                <w:sz w:val="20"/>
                <w:szCs w:val="20"/>
                <w:color w:val="auto"/>
              </w:rPr>
            </w:pPr>
            <w:r>
              <w:rPr>
                <w:rFonts w:ascii="Arial" w:cs="Arial" w:eastAsia="Arial" w:hAnsi="Arial"/>
                <w:sz w:val="11"/>
                <w:szCs w:val="11"/>
                <w:b w:val="1"/>
                <w:bCs w:val="1"/>
                <w:color w:val="auto"/>
                <w:w w:val="96"/>
              </w:rPr>
              <w:t>STOCK OR</w:t>
            </w:r>
          </w:p>
        </w:tc>
        <w:tc>
          <w:tcPr>
            <w:tcW w:w="360" w:type="dxa"/>
            <w:vAlign w:val="bottom"/>
            <w:gridSpan w:val="2"/>
            <w:shd w:val="clear" w:color="auto" w:fill="F4F4E5"/>
          </w:tcPr>
          <w:p>
            <w:pPr>
              <w:ind w:left="140"/>
              <w:spacing w:after="0" w:line="122" w:lineRule="exact"/>
              <w:rPr>
                <w:sz w:val="20"/>
                <w:szCs w:val="20"/>
                <w:color w:val="auto"/>
              </w:rPr>
            </w:pPr>
            <w:r>
              <w:rPr>
                <w:rFonts w:ascii="Arial" w:cs="Arial" w:eastAsia="Arial" w:hAnsi="Arial"/>
                <w:sz w:val="11"/>
                <w:szCs w:val="11"/>
                <w:b w:val="1"/>
                <w:bCs w:val="1"/>
                <w:color w:val="auto"/>
                <w:w w:val="83"/>
              </w:rPr>
              <w:t>AND</w:t>
            </w:r>
          </w:p>
        </w:tc>
        <w:tc>
          <w:tcPr>
            <w:tcW w:w="740" w:type="dxa"/>
            <w:vAlign w:val="bottom"/>
            <w:shd w:val="clear" w:color="auto" w:fill="F4F4E5"/>
          </w:tcPr>
          <w:p>
            <w:pPr>
              <w:jc w:val="right"/>
              <w:ind w:right="171"/>
              <w:spacing w:after="0" w:line="122" w:lineRule="exact"/>
              <w:rPr>
                <w:sz w:val="20"/>
                <w:szCs w:val="20"/>
                <w:color w:val="auto"/>
              </w:rPr>
            </w:pPr>
            <w:r>
              <w:rPr>
                <w:rFonts w:ascii="Arial" w:cs="Arial" w:eastAsia="Arial" w:hAnsi="Arial"/>
                <w:sz w:val="11"/>
                <w:szCs w:val="11"/>
                <w:b w:val="1"/>
                <w:bCs w:val="1"/>
                <w:color w:val="auto"/>
              </w:rPr>
              <w:t>OPTION</w:t>
            </w:r>
          </w:p>
        </w:tc>
        <w:tc>
          <w:tcPr>
            <w:tcW w:w="0" w:type="dxa"/>
            <w:vAlign w:val="bottom"/>
          </w:tcPr>
          <w:p>
            <w:pPr>
              <w:spacing w:after="0"/>
              <w:rPr>
                <w:sz w:val="1"/>
                <w:szCs w:val="1"/>
                <w:color w:val="auto"/>
              </w:rPr>
            </w:pPr>
          </w:p>
        </w:tc>
      </w:tr>
      <w:tr>
        <w:trPr>
          <w:trHeight w:val="146"/>
        </w:trPr>
        <w:tc>
          <w:tcPr>
            <w:tcW w:w="2840" w:type="dxa"/>
            <w:vAlign w:val="bottom"/>
            <w:shd w:val="clear" w:color="auto" w:fill="F4F4E5"/>
          </w:tcPr>
          <w:p>
            <w:pPr>
              <w:ind w:left="60"/>
              <w:spacing w:after="0"/>
              <w:rPr>
                <w:sz w:val="20"/>
                <w:szCs w:val="20"/>
                <w:color w:val="auto"/>
              </w:rPr>
            </w:pPr>
            <w:r>
              <w:rPr>
                <w:rFonts w:ascii="Arial" w:cs="Arial" w:eastAsia="Arial" w:hAnsi="Arial"/>
                <w:sz w:val="11"/>
                <w:szCs w:val="11"/>
                <w:b w:val="1"/>
                <w:bCs w:val="1"/>
                <w:color w:val="auto"/>
              </w:rPr>
              <w:t>NAMED EXECUTIVE OFFICER</w:t>
            </w:r>
          </w:p>
        </w:tc>
        <w:tc>
          <w:tcPr>
            <w:tcW w:w="900" w:type="dxa"/>
            <w:vAlign w:val="bottom"/>
            <w:gridSpan w:val="3"/>
            <w:shd w:val="clear" w:color="auto" w:fill="F4F4E5"/>
          </w:tcPr>
          <w:p>
            <w:pPr>
              <w:ind w:left="80"/>
              <w:spacing w:after="0"/>
              <w:rPr>
                <w:sz w:val="20"/>
                <w:szCs w:val="20"/>
                <w:color w:val="auto"/>
              </w:rPr>
            </w:pPr>
            <w:r>
              <w:rPr>
                <w:rFonts w:ascii="Arial" w:cs="Arial" w:eastAsia="Arial" w:hAnsi="Arial"/>
                <w:sz w:val="11"/>
                <w:szCs w:val="11"/>
                <w:b w:val="1"/>
                <w:bCs w:val="1"/>
                <w:color w:val="auto"/>
              </w:rPr>
              <w:t>GRANT DATE</w:t>
            </w:r>
          </w:p>
        </w:tc>
        <w:tc>
          <w:tcPr>
            <w:tcW w:w="140" w:type="dxa"/>
            <w:vAlign w:val="bottom"/>
            <w:shd w:val="clear" w:color="auto" w:fill="F4F4E5"/>
          </w:tcPr>
          <w:p>
            <w:pPr>
              <w:spacing w:after="0"/>
              <w:rPr>
                <w:sz w:val="12"/>
                <w:szCs w:val="12"/>
                <w:color w:val="auto"/>
              </w:rPr>
            </w:pPr>
          </w:p>
        </w:tc>
        <w:tc>
          <w:tcPr>
            <w:tcW w:w="720" w:type="dxa"/>
            <w:vAlign w:val="bottom"/>
            <w:shd w:val="clear" w:color="auto" w:fill="F4F4E5"/>
          </w:tcPr>
          <w:p>
            <w:pPr>
              <w:jc w:val="right"/>
              <w:ind w:right="251"/>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9"/>
                <w:szCs w:val="9"/>
                <w:b w:val="1"/>
                <w:bCs w:val="1"/>
                <w:color w:val="auto"/>
              </w:rPr>
              <w:t>(4)</w:t>
            </w:r>
          </w:p>
        </w:tc>
        <w:tc>
          <w:tcPr>
            <w:tcW w:w="200" w:type="dxa"/>
            <w:vAlign w:val="bottom"/>
            <w:shd w:val="clear" w:color="auto" w:fill="F4F4E5"/>
          </w:tcPr>
          <w:p>
            <w:pPr>
              <w:spacing w:after="0"/>
              <w:rPr>
                <w:sz w:val="12"/>
                <w:szCs w:val="12"/>
                <w:color w:val="auto"/>
              </w:rPr>
            </w:pPr>
          </w:p>
        </w:tc>
        <w:tc>
          <w:tcPr>
            <w:tcW w:w="680" w:type="dxa"/>
            <w:vAlign w:val="bottom"/>
            <w:shd w:val="clear" w:color="auto" w:fill="F4F4E5"/>
          </w:tcPr>
          <w:p>
            <w:pPr>
              <w:jc w:val="center"/>
              <w:ind w:right="130"/>
              <w:spacing w:after="0"/>
              <w:rPr>
                <w:sz w:val="20"/>
                <w:szCs w:val="20"/>
                <w:color w:val="auto"/>
              </w:rPr>
            </w:pPr>
            <w:r>
              <w:rPr>
                <w:rFonts w:ascii="Arial" w:cs="Arial" w:eastAsia="Arial" w:hAnsi="Arial"/>
                <w:sz w:val="11"/>
                <w:szCs w:val="11"/>
                <w:b w:val="1"/>
                <w:bCs w:val="1"/>
                <w:color w:val="auto"/>
                <w:w w:val="97"/>
              </w:rPr>
              <w:t>($)</w:t>
            </w:r>
            <w:r>
              <w:rPr>
                <w:rFonts w:ascii="Arial" w:cs="Arial" w:eastAsia="Arial" w:hAnsi="Arial"/>
                <w:sz w:val="9"/>
                <w:szCs w:val="9"/>
                <w:b w:val="1"/>
                <w:bCs w:val="1"/>
                <w:color w:val="auto"/>
                <w:w w:val="97"/>
              </w:rPr>
              <w:t>(5)</w:t>
            </w:r>
          </w:p>
        </w:tc>
        <w:tc>
          <w:tcPr>
            <w:tcW w:w="160" w:type="dxa"/>
            <w:vAlign w:val="bottom"/>
            <w:shd w:val="clear" w:color="auto" w:fill="F4F4E5"/>
          </w:tcPr>
          <w:p>
            <w:pPr>
              <w:spacing w:after="0"/>
              <w:rPr>
                <w:sz w:val="12"/>
                <w:szCs w:val="12"/>
                <w:color w:val="auto"/>
              </w:rPr>
            </w:pPr>
          </w:p>
        </w:tc>
        <w:tc>
          <w:tcPr>
            <w:tcW w:w="720" w:type="dxa"/>
            <w:vAlign w:val="bottom"/>
            <w:shd w:val="clear" w:color="auto" w:fill="F4F4E5"/>
          </w:tcPr>
          <w:p>
            <w:pPr>
              <w:jc w:val="right"/>
              <w:ind w:right="25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9"/>
                <w:szCs w:val="9"/>
                <w:b w:val="1"/>
                <w:bCs w:val="1"/>
                <w:color w:val="auto"/>
              </w:rPr>
              <w:t>(6)</w:t>
            </w:r>
          </w:p>
        </w:tc>
        <w:tc>
          <w:tcPr>
            <w:tcW w:w="840" w:type="dxa"/>
            <w:vAlign w:val="bottom"/>
            <w:shd w:val="clear" w:color="auto" w:fill="F4F4E5"/>
          </w:tcPr>
          <w:p>
            <w:pPr>
              <w:jc w:val="right"/>
              <w:ind w:right="232"/>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9"/>
                <w:szCs w:val="9"/>
                <w:b w:val="1"/>
                <w:bCs w:val="1"/>
                <w:color w:val="auto"/>
              </w:rPr>
              <w:t>(2)</w:t>
            </w:r>
          </w:p>
        </w:tc>
        <w:tc>
          <w:tcPr>
            <w:tcW w:w="740" w:type="dxa"/>
            <w:vAlign w:val="bottom"/>
            <w:shd w:val="clear" w:color="auto" w:fill="F4F4E5"/>
          </w:tcPr>
          <w:p>
            <w:pPr>
              <w:jc w:val="right"/>
              <w:ind w:right="21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9"/>
                <w:szCs w:val="9"/>
                <w:b w:val="1"/>
                <w:bCs w:val="1"/>
                <w:color w:val="auto"/>
              </w:rPr>
              <w:t>(2)</w:t>
            </w:r>
          </w:p>
        </w:tc>
        <w:tc>
          <w:tcPr>
            <w:tcW w:w="700" w:type="dxa"/>
            <w:vAlign w:val="bottom"/>
            <w:shd w:val="clear" w:color="auto" w:fill="F4F4E5"/>
          </w:tcPr>
          <w:p>
            <w:pPr>
              <w:jc w:val="right"/>
              <w:ind w:right="190"/>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9"/>
                <w:szCs w:val="9"/>
                <w:b w:val="1"/>
                <w:bCs w:val="1"/>
                <w:color w:val="auto"/>
              </w:rPr>
              <w:t>(2)</w:t>
            </w:r>
          </w:p>
        </w:tc>
        <w:tc>
          <w:tcPr>
            <w:tcW w:w="1280" w:type="dxa"/>
            <w:vAlign w:val="bottom"/>
            <w:shd w:val="clear" w:color="auto" w:fill="F4F4E5"/>
          </w:tcPr>
          <w:p>
            <w:pPr>
              <w:jc w:val="center"/>
              <w:ind w:right="119"/>
              <w:spacing w:after="0"/>
              <w:rPr>
                <w:sz w:val="20"/>
                <w:szCs w:val="20"/>
                <w:color w:val="auto"/>
              </w:rPr>
            </w:pPr>
            <w:r>
              <w:rPr>
                <w:rFonts w:ascii="Arial" w:cs="Arial" w:eastAsia="Arial" w:hAnsi="Arial"/>
                <w:sz w:val="11"/>
                <w:szCs w:val="11"/>
                <w:b w:val="1"/>
                <w:bCs w:val="1"/>
                <w:color w:val="auto"/>
                <w:w w:val="98"/>
              </w:rPr>
              <w:t>UNITS(#)</w:t>
            </w:r>
          </w:p>
        </w:tc>
        <w:tc>
          <w:tcPr>
            <w:tcW w:w="160" w:type="dxa"/>
            <w:vAlign w:val="bottom"/>
            <w:shd w:val="clear" w:color="auto" w:fill="F4F4E5"/>
          </w:tcPr>
          <w:p>
            <w:pPr>
              <w:spacing w:after="0"/>
              <w:rPr>
                <w:sz w:val="12"/>
                <w:szCs w:val="12"/>
                <w:color w:val="auto"/>
              </w:rPr>
            </w:pPr>
          </w:p>
        </w:tc>
        <w:tc>
          <w:tcPr>
            <w:tcW w:w="940" w:type="dxa"/>
            <w:vAlign w:val="bottom"/>
            <w:gridSpan w:val="2"/>
            <w:shd w:val="clear" w:color="auto" w:fill="F4F4E5"/>
          </w:tcPr>
          <w:p>
            <w:pPr>
              <w:ind w:left="20"/>
              <w:spacing w:after="0"/>
              <w:rPr>
                <w:sz w:val="20"/>
                <w:szCs w:val="20"/>
                <w:color w:val="auto"/>
              </w:rPr>
            </w:pPr>
            <w:r>
              <w:rPr>
                <w:rFonts w:ascii="Arial" w:cs="Arial" w:eastAsia="Arial" w:hAnsi="Arial"/>
                <w:sz w:val="11"/>
                <w:szCs w:val="11"/>
                <w:b w:val="1"/>
                <w:bCs w:val="1"/>
                <w:color w:val="auto"/>
              </w:rPr>
              <w:t>AWARDS($)</w:t>
            </w:r>
            <w:r>
              <w:rPr>
                <w:rFonts w:ascii="Arial" w:cs="Arial" w:eastAsia="Arial" w:hAnsi="Arial"/>
                <w:sz w:val="9"/>
                <w:szCs w:val="9"/>
                <w:b w:val="1"/>
                <w:bCs w:val="1"/>
                <w:color w:val="auto"/>
              </w:rPr>
              <w:t>(3)</w:t>
            </w:r>
          </w:p>
        </w:tc>
        <w:tc>
          <w:tcPr>
            <w:tcW w:w="0" w:type="dxa"/>
            <w:vAlign w:val="bottom"/>
          </w:tcPr>
          <w:p>
            <w:pPr>
              <w:spacing w:after="0"/>
              <w:rPr>
                <w:sz w:val="1"/>
                <w:szCs w:val="1"/>
                <w:color w:val="auto"/>
              </w:rPr>
            </w:pPr>
          </w:p>
        </w:tc>
      </w:tr>
      <w:tr>
        <w:trPr>
          <w:trHeight w:val="222"/>
        </w:trPr>
        <w:tc>
          <w:tcPr>
            <w:tcW w:w="2840" w:type="dxa"/>
            <w:vAlign w:val="bottom"/>
            <w:shd w:val="clear" w:color="auto" w:fill="EAEFF2"/>
          </w:tcPr>
          <w:p>
            <w:pPr>
              <w:spacing w:after="0"/>
              <w:rPr>
                <w:sz w:val="19"/>
                <w:szCs w:val="19"/>
                <w:color w:val="auto"/>
              </w:rPr>
            </w:pPr>
          </w:p>
        </w:tc>
        <w:tc>
          <w:tcPr>
            <w:tcW w:w="80" w:type="dxa"/>
            <w:vAlign w:val="bottom"/>
            <w:shd w:val="clear" w:color="auto" w:fill="EAEFF2"/>
          </w:tcPr>
          <w:p>
            <w:pPr>
              <w:spacing w:after="0"/>
              <w:rPr>
                <w:sz w:val="19"/>
                <w:szCs w:val="19"/>
                <w:color w:val="auto"/>
              </w:rPr>
            </w:pPr>
          </w:p>
        </w:tc>
        <w:tc>
          <w:tcPr>
            <w:tcW w:w="820" w:type="dxa"/>
            <w:vAlign w:val="bottom"/>
            <w:gridSpan w:val="2"/>
            <w:shd w:val="clear" w:color="auto" w:fill="EAEFF2"/>
          </w:tcPr>
          <w:p>
            <w:pPr>
              <w:ind w:left="5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1,600,000</w:t>
            </w:r>
          </w:p>
        </w:tc>
        <w:tc>
          <w:tcPr>
            <w:tcW w:w="880" w:type="dxa"/>
            <w:vAlign w:val="bottom"/>
            <w:gridSpan w:val="2"/>
            <w:shd w:val="clear" w:color="auto" w:fill="EAEFF2"/>
          </w:tcPr>
          <w:p>
            <w:pPr>
              <w:jc w:val="right"/>
              <w:ind w:right="10"/>
              <w:spacing w:after="0"/>
              <w:rPr>
                <w:sz w:val="20"/>
                <w:szCs w:val="20"/>
                <w:color w:val="auto"/>
              </w:rPr>
            </w:pPr>
            <w:r>
              <w:rPr>
                <w:rFonts w:ascii="Arial" w:cs="Arial" w:eastAsia="Arial" w:hAnsi="Arial"/>
                <w:sz w:val="14"/>
                <w:szCs w:val="14"/>
                <w:color w:val="auto"/>
              </w:rPr>
              <w:t>$2,000,000</w:t>
            </w:r>
          </w:p>
        </w:tc>
        <w:tc>
          <w:tcPr>
            <w:tcW w:w="16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w w:val="99"/>
              </w:rPr>
              <w:t>2,400,000</w:t>
            </w:r>
          </w:p>
        </w:tc>
        <w:tc>
          <w:tcPr>
            <w:tcW w:w="840" w:type="dxa"/>
            <w:vAlign w:val="bottom"/>
            <w:shd w:val="clear" w:color="auto" w:fill="EAEFF2"/>
          </w:tcPr>
          <w:p>
            <w:pPr>
              <w:spacing w:after="0"/>
              <w:rPr>
                <w:sz w:val="19"/>
                <w:szCs w:val="19"/>
                <w:color w:val="auto"/>
              </w:rPr>
            </w:pPr>
          </w:p>
        </w:tc>
        <w:tc>
          <w:tcPr>
            <w:tcW w:w="740" w:type="dxa"/>
            <w:vAlign w:val="bottom"/>
            <w:shd w:val="clear" w:color="auto" w:fill="EAEFF2"/>
          </w:tcPr>
          <w:p>
            <w:pPr>
              <w:spacing w:after="0"/>
              <w:rPr>
                <w:sz w:val="19"/>
                <w:szCs w:val="19"/>
                <w:color w:val="auto"/>
              </w:rPr>
            </w:pPr>
          </w:p>
        </w:tc>
        <w:tc>
          <w:tcPr>
            <w:tcW w:w="700" w:type="dxa"/>
            <w:vAlign w:val="bottom"/>
            <w:shd w:val="clear" w:color="auto" w:fill="EAEFF2"/>
          </w:tcPr>
          <w:p>
            <w:pPr>
              <w:spacing w:after="0"/>
              <w:rPr>
                <w:sz w:val="19"/>
                <w:szCs w:val="19"/>
                <w:color w:val="auto"/>
              </w:rPr>
            </w:pPr>
          </w:p>
        </w:tc>
        <w:tc>
          <w:tcPr>
            <w:tcW w:w="1280" w:type="dxa"/>
            <w:vAlign w:val="bottom"/>
            <w:shd w:val="clear" w:color="auto" w:fill="EAEFF2"/>
          </w:tcPr>
          <w:p>
            <w:pPr>
              <w:spacing w:after="0"/>
              <w:rPr>
                <w:sz w:val="19"/>
                <w:szCs w:val="19"/>
                <w:color w:val="auto"/>
              </w:rPr>
            </w:pPr>
          </w:p>
        </w:tc>
        <w:tc>
          <w:tcPr>
            <w:tcW w:w="160" w:type="dxa"/>
            <w:vAlign w:val="bottom"/>
            <w:shd w:val="clear" w:color="auto" w:fill="EAEFF2"/>
          </w:tcPr>
          <w:p>
            <w:pPr>
              <w:spacing w:after="0"/>
              <w:rPr>
                <w:sz w:val="19"/>
                <w:szCs w:val="19"/>
                <w:color w:val="auto"/>
              </w:rPr>
            </w:pPr>
          </w:p>
        </w:tc>
        <w:tc>
          <w:tcPr>
            <w:tcW w:w="200" w:type="dxa"/>
            <w:vAlign w:val="bottom"/>
            <w:shd w:val="clear" w:color="auto" w:fill="EAEFF2"/>
          </w:tcPr>
          <w:p>
            <w:pPr>
              <w:spacing w:after="0"/>
              <w:rPr>
                <w:sz w:val="19"/>
                <w:szCs w:val="19"/>
                <w:color w:val="auto"/>
              </w:rPr>
            </w:pPr>
          </w:p>
        </w:tc>
        <w:tc>
          <w:tcPr>
            <w:tcW w:w="740" w:type="dxa"/>
            <w:vAlign w:val="bottom"/>
            <w:shd w:val="clear" w:color="auto" w:fill="EAEFF2"/>
          </w:tcPr>
          <w:p>
            <w:pPr>
              <w:jc w:val="right"/>
              <w:ind w:right="1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840" w:type="dxa"/>
            <w:vAlign w:val="bottom"/>
            <w:shd w:val="clear" w:color="auto" w:fill="EAEFF2"/>
          </w:tcPr>
          <w:p>
            <w:pPr>
              <w:spacing w:after="0"/>
              <w:rPr>
                <w:sz w:val="24"/>
                <w:szCs w:val="24"/>
                <w:color w:val="auto"/>
              </w:rPr>
            </w:pPr>
          </w:p>
        </w:tc>
        <w:tc>
          <w:tcPr>
            <w:tcW w:w="80" w:type="dxa"/>
            <w:vAlign w:val="bottom"/>
            <w:shd w:val="clear" w:color="auto" w:fill="EAEFF2"/>
          </w:tcPr>
          <w:p>
            <w:pPr>
              <w:spacing w:after="0"/>
              <w:rPr>
                <w:sz w:val="24"/>
                <w:szCs w:val="24"/>
                <w:color w:val="auto"/>
              </w:rPr>
            </w:pPr>
          </w:p>
        </w:tc>
        <w:tc>
          <w:tcPr>
            <w:tcW w:w="820" w:type="dxa"/>
            <w:vAlign w:val="bottom"/>
            <w:gridSpan w:val="2"/>
            <w:shd w:val="clear" w:color="auto" w:fill="EAEFF2"/>
          </w:tcPr>
          <w:p>
            <w:pPr>
              <w:jc w:val="right"/>
              <w:ind w:right="80"/>
              <w:spacing w:after="0"/>
              <w:rPr>
                <w:sz w:val="20"/>
                <w:szCs w:val="20"/>
                <w:color w:val="auto"/>
              </w:rPr>
            </w:pPr>
            <w:r>
              <w:rPr>
                <w:rFonts w:ascii="Arial" w:cs="Arial" w:eastAsia="Arial" w:hAnsi="Arial"/>
                <w:sz w:val="14"/>
                <w:szCs w:val="14"/>
                <w:color w:val="auto"/>
              </w:rPr>
              <w:t>1/14/2020</w:t>
            </w:r>
          </w:p>
        </w:tc>
        <w:tc>
          <w:tcPr>
            <w:tcW w:w="140" w:type="dxa"/>
            <w:vAlign w:val="bottom"/>
            <w:shd w:val="clear" w:color="auto" w:fill="EAEFF2"/>
          </w:tcPr>
          <w:p>
            <w:pPr>
              <w:spacing w:after="0"/>
              <w:rPr>
                <w:sz w:val="24"/>
                <w:szCs w:val="24"/>
                <w:color w:val="auto"/>
              </w:rPr>
            </w:pPr>
          </w:p>
        </w:tc>
        <w:tc>
          <w:tcPr>
            <w:tcW w:w="7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4"/>
                <w:szCs w:val="24"/>
                <w:color w:val="auto"/>
              </w:rPr>
            </w:pPr>
          </w:p>
        </w:tc>
        <w:tc>
          <w:tcPr>
            <w:tcW w:w="68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EFF2"/>
          </w:tcPr>
          <w:p>
            <w:pPr>
              <w:spacing w:after="0"/>
              <w:rPr>
                <w:sz w:val="24"/>
                <w:szCs w:val="24"/>
                <w:color w:val="auto"/>
              </w:rPr>
            </w:pPr>
          </w:p>
        </w:tc>
        <w:tc>
          <w:tcPr>
            <w:tcW w:w="72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FF2"/>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EAEFF2"/>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FF2"/>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AEFF2"/>
          </w:tcPr>
          <w:p>
            <w:pPr>
              <w:jc w:val="right"/>
              <w:ind w:right="59"/>
              <w:spacing w:after="0"/>
              <w:rPr>
                <w:sz w:val="20"/>
                <w:szCs w:val="20"/>
                <w:color w:val="auto"/>
              </w:rPr>
            </w:pPr>
            <w:r>
              <w:rPr>
                <w:rFonts w:ascii="Arial" w:cs="Arial" w:eastAsia="Arial" w:hAnsi="Arial"/>
                <w:sz w:val="14"/>
                <w:szCs w:val="14"/>
                <w:color w:val="auto"/>
              </w:rPr>
              <w:t>39,994</w:t>
            </w:r>
            <w:r>
              <w:rPr>
                <w:rFonts w:ascii="Arial" w:cs="Arial" w:eastAsia="Arial" w:hAnsi="Arial"/>
                <w:sz w:val="24"/>
                <w:szCs w:val="24"/>
                <w:color w:val="auto"/>
                <w:vertAlign w:val="superscript"/>
              </w:rPr>
              <w:t>(7)(8)</w:t>
            </w:r>
          </w:p>
        </w:tc>
        <w:tc>
          <w:tcPr>
            <w:tcW w:w="16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EFF2"/>
          </w:tcPr>
          <w:p>
            <w:pPr>
              <w:jc w:val="right"/>
              <w:ind w:right="151"/>
              <w:spacing w:after="0"/>
              <w:rPr>
                <w:sz w:val="20"/>
                <w:szCs w:val="20"/>
                <w:color w:val="auto"/>
              </w:rPr>
            </w:pPr>
            <w:r>
              <w:rPr>
                <w:rFonts w:ascii="Arial" w:cs="Arial" w:eastAsia="Arial" w:hAnsi="Arial"/>
                <w:sz w:val="14"/>
                <w:szCs w:val="14"/>
                <w:color w:val="auto"/>
              </w:rPr>
              <w:t>6,000,300</w:t>
            </w:r>
          </w:p>
        </w:tc>
        <w:tc>
          <w:tcPr>
            <w:tcW w:w="0" w:type="dxa"/>
            <w:vAlign w:val="bottom"/>
          </w:tcPr>
          <w:p>
            <w:pPr>
              <w:spacing w:after="0"/>
              <w:rPr>
                <w:sz w:val="1"/>
                <w:szCs w:val="1"/>
                <w:color w:val="auto"/>
              </w:rPr>
            </w:pPr>
          </w:p>
        </w:tc>
      </w:tr>
      <w:tr>
        <w:trPr>
          <w:trHeight w:val="257"/>
        </w:trPr>
        <w:tc>
          <w:tcPr>
            <w:tcW w:w="2840" w:type="dxa"/>
            <w:vAlign w:val="bottom"/>
            <w:vMerge w:val="restart"/>
            <w:shd w:val="clear" w:color="auto" w:fill="EAEFF2"/>
          </w:tcPr>
          <w:p>
            <w:pPr>
              <w:ind w:left="60"/>
              <w:spacing w:after="0"/>
              <w:rPr>
                <w:sz w:val="20"/>
                <w:szCs w:val="20"/>
                <w:color w:val="auto"/>
              </w:rPr>
            </w:pPr>
            <w:r>
              <w:rPr>
                <w:rFonts w:ascii="Arial" w:cs="Arial" w:eastAsia="Arial" w:hAnsi="Arial"/>
                <w:sz w:val="13"/>
                <w:szCs w:val="13"/>
                <w:b w:val="1"/>
                <w:bCs w:val="1"/>
                <w:color w:val="auto"/>
              </w:rPr>
              <w:t>MATT MADDOX</w:t>
            </w:r>
          </w:p>
        </w:tc>
        <w:tc>
          <w:tcPr>
            <w:tcW w:w="80" w:type="dxa"/>
            <w:vAlign w:val="bottom"/>
            <w:shd w:val="clear" w:color="auto" w:fill="EAEFF2"/>
          </w:tcPr>
          <w:p>
            <w:pPr>
              <w:spacing w:after="0"/>
              <w:rPr>
                <w:sz w:val="22"/>
                <w:szCs w:val="22"/>
                <w:color w:val="auto"/>
              </w:rPr>
            </w:pPr>
          </w:p>
        </w:tc>
        <w:tc>
          <w:tcPr>
            <w:tcW w:w="740" w:type="dxa"/>
            <w:vAlign w:val="bottom"/>
            <w:shd w:val="clear" w:color="auto" w:fill="EAEFF2"/>
          </w:tcPr>
          <w:p>
            <w:pPr>
              <w:jc w:val="right"/>
              <w:spacing w:after="0"/>
              <w:rPr>
                <w:sz w:val="20"/>
                <w:szCs w:val="20"/>
                <w:color w:val="auto"/>
              </w:rPr>
            </w:pPr>
            <w:r>
              <w:rPr>
                <w:rFonts w:ascii="Arial" w:cs="Arial" w:eastAsia="Arial" w:hAnsi="Arial"/>
                <w:sz w:val="14"/>
                <w:szCs w:val="14"/>
                <w:color w:val="auto"/>
              </w:rPr>
              <w:t>2/26/2020</w:t>
            </w:r>
          </w:p>
        </w:tc>
        <w:tc>
          <w:tcPr>
            <w:tcW w:w="80" w:type="dxa"/>
            <w:vAlign w:val="bottom"/>
            <w:shd w:val="clear" w:color="auto" w:fill="EAEFF2"/>
          </w:tcPr>
          <w:p>
            <w:pPr>
              <w:spacing w:after="0"/>
              <w:rPr>
                <w:sz w:val="22"/>
                <w:szCs w:val="22"/>
                <w:color w:val="auto"/>
              </w:rPr>
            </w:pPr>
          </w:p>
        </w:tc>
        <w:tc>
          <w:tcPr>
            <w:tcW w:w="140" w:type="dxa"/>
            <w:vAlign w:val="bottom"/>
            <w:shd w:val="clear" w:color="auto" w:fill="EAEFF2"/>
          </w:tcPr>
          <w:p>
            <w:pPr>
              <w:spacing w:after="0"/>
              <w:rPr>
                <w:sz w:val="22"/>
                <w:szCs w:val="22"/>
                <w:color w:val="auto"/>
              </w:rPr>
            </w:pPr>
          </w:p>
        </w:tc>
        <w:tc>
          <w:tcPr>
            <w:tcW w:w="7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2"/>
                <w:szCs w:val="22"/>
                <w:color w:val="auto"/>
              </w:rPr>
            </w:pPr>
          </w:p>
        </w:tc>
        <w:tc>
          <w:tcPr>
            <w:tcW w:w="68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EFF2"/>
          </w:tcPr>
          <w:p>
            <w:pPr>
              <w:spacing w:after="0"/>
              <w:rPr>
                <w:sz w:val="22"/>
                <w:szCs w:val="22"/>
                <w:color w:val="auto"/>
              </w:rPr>
            </w:pPr>
          </w:p>
        </w:tc>
        <w:tc>
          <w:tcPr>
            <w:tcW w:w="72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FF2"/>
          </w:tcPr>
          <w:p>
            <w:pPr>
              <w:jc w:val="right"/>
              <w:ind w:right="12"/>
              <w:spacing w:after="0"/>
              <w:rPr>
                <w:sz w:val="20"/>
                <w:szCs w:val="20"/>
                <w:color w:val="auto"/>
              </w:rPr>
            </w:pPr>
            <w:r>
              <w:rPr>
                <w:rFonts w:ascii="Arial" w:cs="Arial" w:eastAsia="Arial" w:hAnsi="Arial"/>
                <w:sz w:val="14"/>
                <w:szCs w:val="14"/>
                <w:color w:val="auto"/>
              </w:rPr>
              <w:t>45,000</w:t>
            </w:r>
          </w:p>
        </w:tc>
        <w:tc>
          <w:tcPr>
            <w:tcW w:w="740" w:type="dxa"/>
            <w:vAlign w:val="bottom"/>
            <w:shd w:val="clear" w:color="auto" w:fill="EAEFF2"/>
          </w:tcPr>
          <w:p>
            <w:pPr>
              <w:jc w:val="right"/>
              <w:ind w:right="50"/>
              <w:spacing w:after="0"/>
              <w:rPr>
                <w:sz w:val="20"/>
                <w:szCs w:val="20"/>
                <w:color w:val="auto"/>
              </w:rPr>
            </w:pPr>
            <w:r>
              <w:rPr>
                <w:rFonts w:ascii="Arial" w:cs="Arial" w:eastAsia="Arial" w:hAnsi="Arial"/>
                <w:sz w:val="14"/>
                <w:szCs w:val="14"/>
                <w:color w:val="auto"/>
              </w:rPr>
              <w:t>100,000</w:t>
            </w:r>
          </w:p>
        </w:tc>
        <w:tc>
          <w:tcPr>
            <w:tcW w:w="700" w:type="dxa"/>
            <w:vAlign w:val="bottom"/>
            <w:shd w:val="clear" w:color="auto" w:fill="EAEFF2"/>
          </w:tcPr>
          <w:p>
            <w:pPr>
              <w:jc w:val="right"/>
              <w:ind w:right="30"/>
              <w:spacing w:after="0"/>
              <w:rPr>
                <w:sz w:val="20"/>
                <w:szCs w:val="20"/>
                <w:color w:val="auto"/>
              </w:rPr>
            </w:pPr>
            <w:r>
              <w:rPr>
                <w:rFonts w:ascii="Arial" w:cs="Arial" w:eastAsia="Arial" w:hAnsi="Arial"/>
                <w:sz w:val="14"/>
                <w:szCs w:val="14"/>
                <w:color w:val="auto"/>
              </w:rPr>
              <w:t>180,000</w:t>
            </w:r>
          </w:p>
        </w:tc>
        <w:tc>
          <w:tcPr>
            <w:tcW w:w="1280" w:type="dxa"/>
            <w:vAlign w:val="bottom"/>
            <w:shd w:val="clear" w:color="auto" w:fill="EAEFF2"/>
          </w:tcPr>
          <w:p>
            <w:pPr>
              <w:jc w:val="right"/>
              <w:ind w:right="359"/>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EAEFF2"/>
          </w:tcPr>
          <w:p>
            <w:pPr>
              <w:jc w:val="right"/>
              <w:spacing w:after="0" w:line="257" w:lineRule="exact"/>
              <w:rPr>
                <w:sz w:val="20"/>
                <w:szCs w:val="20"/>
                <w:color w:val="auto"/>
              </w:rPr>
            </w:pPr>
            <w:r>
              <w:rPr>
                <w:rFonts w:ascii="Arial" w:cs="Arial" w:eastAsia="Arial" w:hAnsi="Arial"/>
                <w:sz w:val="14"/>
                <w:szCs w:val="14"/>
                <w:color w:val="auto"/>
              </w:rPr>
              <w:t>$ 10,798,125</w:t>
            </w:r>
            <w:r>
              <w:rPr>
                <w:rFonts w:ascii="Arial" w:cs="Arial" w:eastAsia="Arial" w:hAnsi="Arial"/>
                <w:sz w:val="24"/>
                <w:szCs w:val="24"/>
                <w:color w:val="auto"/>
                <w:vertAlign w:val="superscript"/>
              </w:rPr>
              <w:t>(2)</w:t>
            </w:r>
          </w:p>
        </w:tc>
        <w:tc>
          <w:tcPr>
            <w:tcW w:w="0" w:type="dxa"/>
            <w:vAlign w:val="bottom"/>
          </w:tcPr>
          <w:p>
            <w:pPr>
              <w:spacing w:after="0"/>
              <w:rPr>
                <w:sz w:val="1"/>
                <w:szCs w:val="1"/>
                <w:color w:val="auto"/>
              </w:rPr>
            </w:pPr>
          </w:p>
        </w:tc>
      </w:tr>
      <w:tr>
        <w:trPr>
          <w:trHeight w:val="79"/>
        </w:trPr>
        <w:tc>
          <w:tcPr>
            <w:tcW w:w="2840" w:type="dxa"/>
            <w:vAlign w:val="bottom"/>
            <w:vMerge w:val="continue"/>
            <w:shd w:val="clear" w:color="auto" w:fill="EAEFF2"/>
          </w:tcPr>
          <w:p>
            <w:pPr>
              <w:spacing w:after="0"/>
              <w:rPr>
                <w:sz w:val="6"/>
                <w:szCs w:val="6"/>
                <w:color w:val="auto"/>
              </w:rPr>
            </w:pPr>
          </w:p>
        </w:tc>
        <w:tc>
          <w:tcPr>
            <w:tcW w:w="80" w:type="dxa"/>
            <w:vAlign w:val="bottom"/>
            <w:shd w:val="clear" w:color="auto" w:fill="EAEFF2"/>
          </w:tcPr>
          <w:p>
            <w:pPr>
              <w:spacing w:after="0"/>
              <w:rPr>
                <w:sz w:val="6"/>
                <w:szCs w:val="6"/>
                <w:color w:val="auto"/>
              </w:rPr>
            </w:pPr>
          </w:p>
        </w:tc>
        <w:tc>
          <w:tcPr>
            <w:tcW w:w="740" w:type="dxa"/>
            <w:vAlign w:val="bottom"/>
            <w:vMerge w:val="restart"/>
            <w:shd w:val="clear" w:color="auto" w:fill="EAEFF2"/>
          </w:tcPr>
          <w:p>
            <w:pPr>
              <w:jc w:val="right"/>
              <w:spacing w:after="0"/>
              <w:rPr>
                <w:sz w:val="20"/>
                <w:szCs w:val="20"/>
                <w:color w:val="auto"/>
              </w:rPr>
            </w:pPr>
            <w:r>
              <w:rPr>
                <w:rFonts w:ascii="Arial" w:cs="Arial" w:eastAsia="Arial" w:hAnsi="Arial"/>
                <w:sz w:val="14"/>
                <w:szCs w:val="14"/>
                <w:color w:val="auto"/>
              </w:rPr>
              <w:t>3/23/2020</w:t>
            </w:r>
          </w:p>
        </w:tc>
        <w:tc>
          <w:tcPr>
            <w:tcW w:w="80" w:type="dxa"/>
            <w:vAlign w:val="bottom"/>
            <w:shd w:val="clear" w:color="auto" w:fill="EAEFF2"/>
          </w:tcPr>
          <w:p>
            <w:pPr>
              <w:spacing w:after="0"/>
              <w:rPr>
                <w:sz w:val="6"/>
                <w:szCs w:val="6"/>
                <w:color w:val="auto"/>
              </w:rPr>
            </w:pPr>
          </w:p>
        </w:tc>
        <w:tc>
          <w:tcPr>
            <w:tcW w:w="140" w:type="dxa"/>
            <w:vAlign w:val="bottom"/>
            <w:shd w:val="clear" w:color="auto" w:fill="EAEFF2"/>
          </w:tcPr>
          <w:p>
            <w:pPr>
              <w:spacing w:after="0"/>
              <w:rPr>
                <w:sz w:val="6"/>
                <w:szCs w:val="6"/>
                <w:color w:val="auto"/>
              </w:rPr>
            </w:pPr>
          </w:p>
        </w:tc>
        <w:tc>
          <w:tcPr>
            <w:tcW w:w="720" w:type="dxa"/>
            <w:vAlign w:val="bottom"/>
            <w:vMerge w:val="restart"/>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6"/>
                <w:szCs w:val="6"/>
                <w:color w:val="auto"/>
              </w:rPr>
            </w:pPr>
          </w:p>
        </w:tc>
        <w:tc>
          <w:tcPr>
            <w:tcW w:w="680" w:type="dxa"/>
            <w:vAlign w:val="bottom"/>
            <w:vMerge w:val="restart"/>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EFF2"/>
          </w:tcPr>
          <w:p>
            <w:pPr>
              <w:spacing w:after="0"/>
              <w:rPr>
                <w:sz w:val="6"/>
                <w:szCs w:val="6"/>
                <w:color w:val="auto"/>
              </w:rPr>
            </w:pPr>
          </w:p>
        </w:tc>
        <w:tc>
          <w:tcPr>
            <w:tcW w:w="720" w:type="dxa"/>
            <w:vAlign w:val="bottom"/>
            <w:vMerge w:val="restart"/>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EAEFF2"/>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EAEFF2"/>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EAEFF2"/>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EAEFF2"/>
          </w:tcPr>
          <w:p>
            <w:pPr>
              <w:jc w:val="right"/>
              <w:spacing w:after="0" w:line="257" w:lineRule="exact"/>
              <w:rPr>
                <w:sz w:val="20"/>
                <w:szCs w:val="20"/>
                <w:color w:val="auto"/>
              </w:rPr>
            </w:pPr>
            <w:r>
              <w:rPr>
                <w:rFonts w:ascii="Arial" w:cs="Arial" w:eastAsia="Arial" w:hAnsi="Arial"/>
                <w:sz w:val="28"/>
                <w:szCs w:val="28"/>
                <w:color w:val="auto"/>
                <w:vertAlign w:val="subscript"/>
              </w:rPr>
              <w:t>32,071</w:t>
            </w:r>
            <w:r>
              <w:rPr>
                <w:rFonts w:ascii="Arial" w:cs="Arial" w:eastAsia="Arial" w:hAnsi="Arial"/>
                <w:sz w:val="12"/>
                <w:szCs w:val="12"/>
                <w:color w:val="auto"/>
              </w:rPr>
              <w:t>(7)(10)</w:t>
            </w:r>
          </w:p>
        </w:tc>
        <w:tc>
          <w:tcPr>
            <w:tcW w:w="160" w:type="dxa"/>
            <w:vAlign w:val="bottom"/>
            <w:vMerge w:val="restart"/>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EAEFF2"/>
          </w:tcPr>
          <w:p>
            <w:pPr>
              <w:jc w:val="right"/>
              <w:ind w:right="151"/>
              <w:spacing w:after="0"/>
              <w:rPr>
                <w:sz w:val="20"/>
                <w:szCs w:val="20"/>
                <w:color w:val="auto"/>
              </w:rPr>
            </w:pPr>
            <w:r>
              <w:rPr>
                <w:rFonts w:ascii="Arial" w:cs="Arial" w:eastAsia="Arial" w:hAnsi="Arial"/>
                <w:sz w:val="14"/>
                <w:szCs w:val="14"/>
                <w:color w:val="auto"/>
              </w:rPr>
              <w:t>1,846,327</w:t>
            </w:r>
          </w:p>
        </w:tc>
        <w:tc>
          <w:tcPr>
            <w:tcW w:w="0" w:type="dxa"/>
            <w:vAlign w:val="bottom"/>
          </w:tcPr>
          <w:p>
            <w:pPr>
              <w:spacing w:after="0"/>
              <w:rPr>
                <w:sz w:val="1"/>
                <w:szCs w:val="1"/>
                <w:color w:val="auto"/>
              </w:rPr>
            </w:pPr>
          </w:p>
        </w:tc>
      </w:tr>
      <w:tr>
        <w:trPr>
          <w:trHeight w:val="178"/>
        </w:trPr>
        <w:tc>
          <w:tcPr>
            <w:tcW w:w="2840" w:type="dxa"/>
            <w:vAlign w:val="bottom"/>
            <w:shd w:val="clear" w:color="auto" w:fill="EAEFF2"/>
          </w:tcPr>
          <w:p>
            <w:pPr>
              <w:spacing w:after="0"/>
              <w:rPr>
                <w:sz w:val="15"/>
                <w:szCs w:val="15"/>
                <w:color w:val="auto"/>
              </w:rPr>
            </w:pPr>
          </w:p>
        </w:tc>
        <w:tc>
          <w:tcPr>
            <w:tcW w:w="80" w:type="dxa"/>
            <w:vAlign w:val="bottom"/>
            <w:shd w:val="clear" w:color="auto" w:fill="EAEFF2"/>
          </w:tcPr>
          <w:p>
            <w:pPr>
              <w:spacing w:after="0"/>
              <w:rPr>
                <w:sz w:val="15"/>
                <w:szCs w:val="15"/>
                <w:color w:val="auto"/>
              </w:rPr>
            </w:pPr>
          </w:p>
        </w:tc>
        <w:tc>
          <w:tcPr>
            <w:tcW w:w="740" w:type="dxa"/>
            <w:vAlign w:val="bottom"/>
            <w:vMerge w:val="continue"/>
            <w:shd w:val="clear" w:color="auto" w:fill="EAEFF2"/>
          </w:tcPr>
          <w:p>
            <w:pPr>
              <w:spacing w:after="0"/>
              <w:rPr>
                <w:sz w:val="15"/>
                <w:szCs w:val="15"/>
                <w:color w:val="auto"/>
              </w:rPr>
            </w:pPr>
          </w:p>
        </w:tc>
        <w:tc>
          <w:tcPr>
            <w:tcW w:w="80" w:type="dxa"/>
            <w:vAlign w:val="bottom"/>
            <w:shd w:val="clear" w:color="auto" w:fill="EAEFF2"/>
          </w:tcPr>
          <w:p>
            <w:pPr>
              <w:spacing w:after="0"/>
              <w:rPr>
                <w:sz w:val="15"/>
                <w:szCs w:val="15"/>
                <w:color w:val="auto"/>
              </w:rPr>
            </w:pPr>
          </w:p>
        </w:tc>
        <w:tc>
          <w:tcPr>
            <w:tcW w:w="140" w:type="dxa"/>
            <w:vAlign w:val="bottom"/>
            <w:shd w:val="clear" w:color="auto" w:fill="EAEFF2"/>
          </w:tcPr>
          <w:p>
            <w:pPr>
              <w:spacing w:after="0"/>
              <w:rPr>
                <w:sz w:val="15"/>
                <w:szCs w:val="15"/>
                <w:color w:val="auto"/>
              </w:rPr>
            </w:pPr>
          </w:p>
        </w:tc>
        <w:tc>
          <w:tcPr>
            <w:tcW w:w="720" w:type="dxa"/>
            <w:vAlign w:val="bottom"/>
            <w:vMerge w:val="continue"/>
            <w:shd w:val="clear" w:color="auto" w:fill="EAEFF2"/>
          </w:tcPr>
          <w:p>
            <w:pPr>
              <w:spacing w:after="0"/>
              <w:rPr>
                <w:sz w:val="15"/>
                <w:szCs w:val="15"/>
                <w:color w:val="auto"/>
              </w:rPr>
            </w:pPr>
          </w:p>
        </w:tc>
        <w:tc>
          <w:tcPr>
            <w:tcW w:w="200" w:type="dxa"/>
            <w:vAlign w:val="bottom"/>
            <w:shd w:val="clear" w:color="auto" w:fill="EAEFF2"/>
          </w:tcPr>
          <w:p>
            <w:pPr>
              <w:spacing w:after="0"/>
              <w:rPr>
                <w:sz w:val="15"/>
                <w:szCs w:val="15"/>
                <w:color w:val="auto"/>
              </w:rPr>
            </w:pPr>
          </w:p>
        </w:tc>
        <w:tc>
          <w:tcPr>
            <w:tcW w:w="680" w:type="dxa"/>
            <w:vAlign w:val="bottom"/>
            <w:vMerge w:val="continue"/>
            <w:shd w:val="clear" w:color="auto" w:fill="EAEFF2"/>
          </w:tcPr>
          <w:p>
            <w:pPr>
              <w:spacing w:after="0"/>
              <w:rPr>
                <w:sz w:val="15"/>
                <w:szCs w:val="15"/>
                <w:color w:val="auto"/>
              </w:rPr>
            </w:pPr>
          </w:p>
        </w:tc>
        <w:tc>
          <w:tcPr>
            <w:tcW w:w="160" w:type="dxa"/>
            <w:vAlign w:val="bottom"/>
            <w:shd w:val="clear" w:color="auto" w:fill="EAEFF2"/>
          </w:tcPr>
          <w:p>
            <w:pPr>
              <w:spacing w:after="0"/>
              <w:rPr>
                <w:sz w:val="15"/>
                <w:szCs w:val="15"/>
                <w:color w:val="auto"/>
              </w:rPr>
            </w:pPr>
          </w:p>
        </w:tc>
        <w:tc>
          <w:tcPr>
            <w:tcW w:w="720" w:type="dxa"/>
            <w:vAlign w:val="bottom"/>
            <w:vMerge w:val="continue"/>
            <w:shd w:val="clear" w:color="auto" w:fill="EAEFF2"/>
          </w:tcPr>
          <w:p>
            <w:pPr>
              <w:spacing w:after="0"/>
              <w:rPr>
                <w:sz w:val="15"/>
                <w:szCs w:val="15"/>
                <w:color w:val="auto"/>
              </w:rPr>
            </w:pPr>
          </w:p>
        </w:tc>
        <w:tc>
          <w:tcPr>
            <w:tcW w:w="840" w:type="dxa"/>
            <w:vAlign w:val="bottom"/>
            <w:vMerge w:val="continue"/>
            <w:shd w:val="clear" w:color="auto" w:fill="EAEFF2"/>
          </w:tcPr>
          <w:p>
            <w:pPr>
              <w:spacing w:after="0"/>
              <w:rPr>
                <w:sz w:val="15"/>
                <w:szCs w:val="15"/>
                <w:color w:val="auto"/>
              </w:rPr>
            </w:pPr>
          </w:p>
        </w:tc>
        <w:tc>
          <w:tcPr>
            <w:tcW w:w="740" w:type="dxa"/>
            <w:vAlign w:val="bottom"/>
            <w:vMerge w:val="continue"/>
            <w:shd w:val="clear" w:color="auto" w:fill="EAEFF2"/>
          </w:tcPr>
          <w:p>
            <w:pPr>
              <w:spacing w:after="0"/>
              <w:rPr>
                <w:sz w:val="15"/>
                <w:szCs w:val="15"/>
                <w:color w:val="auto"/>
              </w:rPr>
            </w:pPr>
          </w:p>
        </w:tc>
        <w:tc>
          <w:tcPr>
            <w:tcW w:w="700" w:type="dxa"/>
            <w:vAlign w:val="bottom"/>
            <w:vMerge w:val="continue"/>
            <w:shd w:val="clear" w:color="auto" w:fill="EAEFF2"/>
          </w:tcPr>
          <w:p>
            <w:pPr>
              <w:spacing w:after="0"/>
              <w:rPr>
                <w:sz w:val="15"/>
                <w:szCs w:val="15"/>
                <w:color w:val="auto"/>
              </w:rPr>
            </w:pPr>
          </w:p>
        </w:tc>
        <w:tc>
          <w:tcPr>
            <w:tcW w:w="1280" w:type="dxa"/>
            <w:vAlign w:val="bottom"/>
            <w:vMerge w:val="continue"/>
            <w:shd w:val="clear" w:color="auto" w:fill="EAEFF2"/>
          </w:tcPr>
          <w:p>
            <w:pPr>
              <w:spacing w:after="0"/>
              <w:rPr>
                <w:sz w:val="15"/>
                <w:szCs w:val="15"/>
                <w:color w:val="auto"/>
              </w:rPr>
            </w:pPr>
          </w:p>
        </w:tc>
        <w:tc>
          <w:tcPr>
            <w:tcW w:w="160" w:type="dxa"/>
            <w:vAlign w:val="bottom"/>
            <w:vMerge w:val="continue"/>
            <w:shd w:val="clear" w:color="auto" w:fill="EAEFF2"/>
          </w:tcPr>
          <w:p>
            <w:pPr>
              <w:spacing w:after="0"/>
              <w:rPr>
                <w:sz w:val="15"/>
                <w:szCs w:val="15"/>
                <w:color w:val="auto"/>
              </w:rPr>
            </w:pPr>
          </w:p>
        </w:tc>
        <w:tc>
          <w:tcPr>
            <w:tcW w:w="940" w:type="dxa"/>
            <w:vAlign w:val="bottom"/>
            <w:gridSpan w:val="2"/>
            <w:vMerge w:val="continue"/>
            <w:shd w:val="clear" w:color="auto" w:fill="EAEFF2"/>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40" w:type="dxa"/>
            <w:vAlign w:val="bottom"/>
            <w:shd w:val="clear" w:color="auto" w:fill="EAEFF2"/>
          </w:tcPr>
          <w:p>
            <w:pPr>
              <w:spacing w:after="0"/>
              <w:rPr>
                <w:sz w:val="22"/>
                <w:szCs w:val="22"/>
                <w:color w:val="auto"/>
              </w:rPr>
            </w:pPr>
          </w:p>
        </w:tc>
        <w:tc>
          <w:tcPr>
            <w:tcW w:w="80" w:type="dxa"/>
            <w:vAlign w:val="bottom"/>
            <w:shd w:val="clear" w:color="auto" w:fill="EAEFF2"/>
          </w:tcPr>
          <w:p>
            <w:pPr>
              <w:spacing w:after="0"/>
              <w:rPr>
                <w:sz w:val="22"/>
                <w:szCs w:val="22"/>
                <w:color w:val="auto"/>
              </w:rPr>
            </w:pPr>
          </w:p>
        </w:tc>
        <w:tc>
          <w:tcPr>
            <w:tcW w:w="740" w:type="dxa"/>
            <w:vAlign w:val="bottom"/>
            <w:shd w:val="clear" w:color="auto" w:fill="EAEFF2"/>
          </w:tcPr>
          <w:p>
            <w:pPr>
              <w:jc w:val="right"/>
              <w:spacing w:after="0"/>
              <w:rPr>
                <w:sz w:val="20"/>
                <w:szCs w:val="20"/>
                <w:color w:val="auto"/>
              </w:rPr>
            </w:pPr>
            <w:r>
              <w:rPr>
                <w:rFonts w:ascii="Arial" w:cs="Arial" w:eastAsia="Arial" w:hAnsi="Arial"/>
                <w:sz w:val="14"/>
                <w:szCs w:val="14"/>
                <w:color w:val="auto"/>
              </w:rPr>
              <w:t>8/18/2020</w:t>
            </w:r>
          </w:p>
        </w:tc>
        <w:tc>
          <w:tcPr>
            <w:tcW w:w="80" w:type="dxa"/>
            <w:vAlign w:val="bottom"/>
            <w:shd w:val="clear" w:color="auto" w:fill="EAEFF2"/>
          </w:tcPr>
          <w:p>
            <w:pPr>
              <w:spacing w:after="0"/>
              <w:rPr>
                <w:sz w:val="22"/>
                <w:szCs w:val="22"/>
                <w:color w:val="auto"/>
              </w:rPr>
            </w:pPr>
          </w:p>
        </w:tc>
        <w:tc>
          <w:tcPr>
            <w:tcW w:w="140" w:type="dxa"/>
            <w:vAlign w:val="bottom"/>
            <w:shd w:val="clear" w:color="auto" w:fill="EAEFF2"/>
          </w:tcPr>
          <w:p>
            <w:pPr>
              <w:spacing w:after="0"/>
              <w:rPr>
                <w:sz w:val="22"/>
                <w:szCs w:val="22"/>
                <w:color w:val="auto"/>
              </w:rPr>
            </w:pPr>
          </w:p>
        </w:tc>
        <w:tc>
          <w:tcPr>
            <w:tcW w:w="7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2"/>
                <w:szCs w:val="22"/>
                <w:color w:val="auto"/>
              </w:rPr>
            </w:pPr>
          </w:p>
        </w:tc>
        <w:tc>
          <w:tcPr>
            <w:tcW w:w="68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EFF2"/>
          </w:tcPr>
          <w:p>
            <w:pPr>
              <w:spacing w:after="0"/>
              <w:rPr>
                <w:sz w:val="22"/>
                <w:szCs w:val="22"/>
                <w:color w:val="auto"/>
              </w:rPr>
            </w:pPr>
          </w:p>
        </w:tc>
        <w:tc>
          <w:tcPr>
            <w:tcW w:w="72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FF2"/>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EAEFF2"/>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FF2"/>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AEFF2"/>
          </w:tcPr>
          <w:p>
            <w:pPr>
              <w:jc w:val="right"/>
              <w:spacing w:after="0" w:line="257" w:lineRule="exact"/>
              <w:rPr>
                <w:sz w:val="20"/>
                <w:szCs w:val="20"/>
                <w:color w:val="auto"/>
              </w:rPr>
            </w:pPr>
            <w:r>
              <w:rPr>
                <w:rFonts w:ascii="Arial" w:cs="Arial" w:eastAsia="Arial" w:hAnsi="Arial"/>
                <w:sz w:val="28"/>
                <w:szCs w:val="28"/>
                <w:color w:val="auto"/>
                <w:vertAlign w:val="subscript"/>
              </w:rPr>
              <w:t>24,501</w:t>
            </w:r>
            <w:r>
              <w:rPr>
                <w:rFonts w:ascii="Arial" w:cs="Arial" w:eastAsia="Arial" w:hAnsi="Arial"/>
                <w:sz w:val="12"/>
                <w:szCs w:val="12"/>
                <w:color w:val="auto"/>
              </w:rPr>
              <w:t>(7)(11)</w:t>
            </w:r>
          </w:p>
        </w:tc>
        <w:tc>
          <w:tcPr>
            <w:tcW w:w="16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EFF2"/>
          </w:tcPr>
          <w:p>
            <w:pPr>
              <w:jc w:val="right"/>
              <w:ind w:right="151"/>
              <w:spacing w:after="0"/>
              <w:rPr>
                <w:sz w:val="20"/>
                <w:szCs w:val="20"/>
                <w:color w:val="auto"/>
              </w:rPr>
            </w:pPr>
            <w:r>
              <w:rPr>
                <w:rFonts w:ascii="Arial" w:cs="Arial" w:eastAsia="Arial" w:hAnsi="Arial"/>
                <w:sz w:val="14"/>
                <w:szCs w:val="14"/>
                <w:color w:val="auto"/>
              </w:rPr>
              <w:t>2,000,017</w:t>
            </w:r>
          </w:p>
        </w:tc>
        <w:tc>
          <w:tcPr>
            <w:tcW w:w="0" w:type="dxa"/>
            <w:vAlign w:val="bottom"/>
          </w:tcPr>
          <w:p>
            <w:pPr>
              <w:spacing w:after="0"/>
              <w:rPr>
                <w:sz w:val="1"/>
                <w:szCs w:val="1"/>
                <w:color w:val="auto"/>
              </w:rPr>
            </w:pPr>
          </w:p>
        </w:tc>
      </w:tr>
      <w:tr>
        <w:trPr>
          <w:trHeight w:val="257"/>
        </w:trPr>
        <w:tc>
          <w:tcPr>
            <w:tcW w:w="2840" w:type="dxa"/>
            <w:vAlign w:val="bottom"/>
            <w:shd w:val="clear" w:color="auto" w:fill="EAEFF2"/>
          </w:tcPr>
          <w:p>
            <w:pPr>
              <w:spacing w:after="0"/>
              <w:rPr>
                <w:sz w:val="22"/>
                <w:szCs w:val="22"/>
                <w:color w:val="auto"/>
              </w:rPr>
            </w:pPr>
          </w:p>
        </w:tc>
        <w:tc>
          <w:tcPr>
            <w:tcW w:w="80" w:type="dxa"/>
            <w:vAlign w:val="bottom"/>
            <w:shd w:val="clear" w:color="auto" w:fill="EAEFF2"/>
          </w:tcPr>
          <w:p>
            <w:pPr>
              <w:spacing w:after="0"/>
              <w:rPr>
                <w:sz w:val="22"/>
                <w:szCs w:val="22"/>
                <w:color w:val="auto"/>
              </w:rPr>
            </w:pPr>
          </w:p>
        </w:tc>
        <w:tc>
          <w:tcPr>
            <w:tcW w:w="740" w:type="dxa"/>
            <w:vAlign w:val="bottom"/>
            <w:shd w:val="clear" w:color="auto" w:fill="EAEFF2"/>
          </w:tcPr>
          <w:p>
            <w:pPr>
              <w:jc w:val="right"/>
              <w:spacing w:after="0"/>
              <w:rPr>
                <w:sz w:val="20"/>
                <w:szCs w:val="20"/>
                <w:color w:val="auto"/>
              </w:rPr>
            </w:pPr>
            <w:r>
              <w:rPr>
                <w:rFonts w:ascii="Arial" w:cs="Arial" w:eastAsia="Arial" w:hAnsi="Arial"/>
                <w:sz w:val="14"/>
                <w:szCs w:val="14"/>
                <w:color w:val="auto"/>
              </w:rPr>
              <w:t>12/11/2020</w:t>
            </w:r>
          </w:p>
        </w:tc>
        <w:tc>
          <w:tcPr>
            <w:tcW w:w="80" w:type="dxa"/>
            <w:vAlign w:val="bottom"/>
            <w:shd w:val="clear" w:color="auto" w:fill="EAEFF2"/>
          </w:tcPr>
          <w:p>
            <w:pPr>
              <w:spacing w:after="0"/>
              <w:rPr>
                <w:sz w:val="22"/>
                <w:szCs w:val="22"/>
                <w:color w:val="auto"/>
              </w:rPr>
            </w:pPr>
          </w:p>
        </w:tc>
        <w:tc>
          <w:tcPr>
            <w:tcW w:w="140" w:type="dxa"/>
            <w:vAlign w:val="bottom"/>
            <w:shd w:val="clear" w:color="auto" w:fill="EAEFF2"/>
          </w:tcPr>
          <w:p>
            <w:pPr>
              <w:spacing w:after="0"/>
              <w:rPr>
                <w:sz w:val="22"/>
                <w:szCs w:val="22"/>
                <w:color w:val="auto"/>
              </w:rPr>
            </w:pPr>
          </w:p>
        </w:tc>
        <w:tc>
          <w:tcPr>
            <w:tcW w:w="7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2"/>
                <w:szCs w:val="22"/>
                <w:color w:val="auto"/>
              </w:rPr>
            </w:pPr>
          </w:p>
        </w:tc>
        <w:tc>
          <w:tcPr>
            <w:tcW w:w="68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EFF2"/>
          </w:tcPr>
          <w:p>
            <w:pPr>
              <w:spacing w:after="0"/>
              <w:rPr>
                <w:sz w:val="22"/>
                <w:szCs w:val="22"/>
                <w:color w:val="auto"/>
              </w:rPr>
            </w:pPr>
          </w:p>
        </w:tc>
        <w:tc>
          <w:tcPr>
            <w:tcW w:w="72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FF2"/>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EAEFF2"/>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FF2"/>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AEFF2"/>
          </w:tcPr>
          <w:p>
            <w:pPr>
              <w:jc w:val="right"/>
              <w:spacing w:after="0" w:line="257" w:lineRule="exact"/>
              <w:rPr>
                <w:sz w:val="20"/>
                <w:szCs w:val="20"/>
                <w:color w:val="auto"/>
              </w:rPr>
            </w:pPr>
            <w:r>
              <w:rPr>
                <w:rFonts w:ascii="Arial" w:cs="Arial" w:eastAsia="Arial" w:hAnsi="Arial"/>
                <w:sz w:val="28"/>
                <w:szCs w:val="28"/>
                <w:color w:val="auto"/>
                <w:vertAlign w:val="subscript"/>
              </w:rPr>
              <w:t>3,868</w:t>
            </w:r>
            <w:r>
              <w:rPr>
                <w:rFonts w:ascii="Arial" w:cs="Arial" w:eastAsia="Arial" w:hAnsi="Arial"/>
                <w:sz w:val="12"/>
                <w:szCs w:val="12"/>
                <w:color w:val="auto"/>
              </w:rPr>
              <w:t>(7)(12)</w:t>
            </w:r>
          </w:p>
        </w:tc>
        <w:tc>
          <w:tcPr>
            <w:tcW w:w="16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2"/>
                <w:szCs w:val="22"/>
                <w:color w:val="auto"/>
              </w:rPr>
            </w:pPr>
          </w:p>
        </w:tc>
        <w:tc>
          <w:tcPr>
            <w:tcW w:w="740" w:type="dxa"/>
            <w:vAlign w:val="bottom"/>
            <w:shd w:val="clear" w:color="auto" w:fill="EAEFF2"/>
          </w:tcPr>
          <w:p>
            <w:pPr>
              <w:jc w:val="right"/>
              <w:ind w:right="151"/>
              <w:spacing w:after="0"/>
              <w:rPr>
                <w:sz w:val="20"/>
                <w:szCs w:val="20"/>
                <w:color w:val="auto"/>
              </w:rPr>
            </w:pPr>
            <w:r>
              <w:rPr>
                <w:rFonts w:ascii="Arial" w:cs="Arial" w:eastAsia="Arial" w:hAnsi="Arial"/>
                <w:sz w:val="14"/>
                <w:szCs w:val="14"/>
                <w:color w:val="auto"/>
                <w:w w:val="98"/>
              </w:rPr>
              <w:t>699,218</w:t>
            </w:r>
          </w:p>
        </w:tc>
        <w:tc>
          <w:tcPr>
            <w:tcW w:w="0" w:type="dxa"/>
            <w:vAlign w:val="bottom"/>
          </w:tcPr>
          <w:p>
            <w:pPr>
              <w:spacing w:after="0"/>
              <w:rPr>
                <w:sz w:val="1"/>
                <w:szCs w:val="1"/>
                <w:color w:val="auto"/>
              </w:rPr>
            </w:pPr>
          </w:p>
        </w:tc>
      </w:tr>
      <w:tr>
        <w:trPr>
          <w:trHeight w:val="231"/>
        </w:trPr>
        <w:tc>
          <w:tcPr>
            <w:tcW w:w="2840" w:type="dxa"/>
            <w:vAlign w:val="bottom"/>
            <w:shd w:val="clear" w:color="auto" w:fill="F4F4E5"/>
          </w:tcPr>
          <w:p>
            <w:pPr>
              <w:spacing w:after="0"/>
              <w:rPr>
                <w:sz w:val="20"/>
                <w:szCs w:val="20"/>
                <w:color w:val="auto"/>
              </w:rPr>
            </w:pPr>
          </w:p>
        </w:tc>
        <w:tc>
          <w:tcPr>
            <w:tcW w:w="80" w:type="dxa"/>
            <w:vAlign w:val="bottom"/>
            <w:shd w:val="clear" w:color="auto" w:fill="F4F4E5"/>
          </w:tcPr>
          <w:p>
            <w:pPr>
              <w:spacing w:after="0"/>
              <w:rPr>
                <w:sz w:val="20"/>
                <w:szCs w:val="20"/>
                <w:color w:val="auto"/>
              </w:rPr>
            </w:pPr>
          </w:p>
        </w:tc>
        <w:tc>
          <w:tcPr>
            <w:tcW w:w="820" w:type="dxa"/>
            <w:vAlign w:val="bottom"/>
            <w:gridSpan w:val="2"/>
            <w:shd w:val="clear" w:color="auto" w:fill="F4F4E5"/>
          </w:tcPr>
          <w:p>
            <w:pPr>
              <w:ind w:left="5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4E5"/>
          </w:tcPr>
          <w:p>
            <w:pPr>
              <w:jc w:val="right"/>
              <w:spacing w:after="0"/>
              <w:rPr>
                <w:sz w:val="20"/>
                <w:szCs w:val="20"/>
                <w:color w:val="auto"/>
              </w:rPr>
            </w:pPr>
            <w:r>
              <w:rPr>
                <w:rFonts w:ascii="Arial" w:cs="Arial" w:eastAsia="Arial" w:hAnsi="Arial"/>
                <w:sz w:val="14"/>
                <w:szCs w:val="14"/>
                <w:color w:val="auto"/>
              </w:rPr>
              <w:t>768,000</w:t>
            </w:r>
          </w:p>
        </w:tc>
        <w:tc>
          <w:tcPr>
            <w:tcW w:w="20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F4F4E5"/>
          </w:tcPr>
          <w:p>
            <w:pPr>
              <w:jc w:val="right"/>
              <w:ind w:right="10"/>
              <w:spacing w:after="0"/>
              <w:rPr>
                <w:sz w:val="20"/>
                <w:szCs w:val="20"/>
                <w:color w:val="auto"/>
              </w:rPr>
            </w:pPr>
            <w:r>
              <w:rPr>
                <w:rFonts w:ascii="Arial" w:cs="Arial" w:eastAsia="Arial" w:hAnsi="Arial"/>
                <w:sz w:val="14"/>
                <w:szCs w:val="14"/>
                <w:color w:val="auto"/>
              </w:rPr>
              <w:t>960,000</w:t>
            </w:r>
          </w:p>
        </w:tc>
        <w:tc>
          <w:tcPr>
            <w:tcW w:w="16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4E5"/>
          </w:tcPr>
          <w:p>
            <w:pPr>
              <w:jc w:val="right"/>
              <w:ind w:right="10"/>
              <w:spacing w:after="0"/>
              <w:rPr>
                <w:sz w:val="20"/>
                <w:szCs w:val="20"/>
                <w:color w:val="auto"/>
              </w:rPr>
            </w:pPr>
            <w:r>
              <w:rPr>
                <w:rFonts w:ascii="Arial" w:cs="Arial" w:eastAsia="Arial" w:hAnsi="Arial"/>
                <w:sz w:val="14"/>
                <w:szCs w:val="14"/>
                <w:color w:val="auto"/>
                <w:w w:val="99"/>
              </w:rPr>
              <w:t>1,152,000</w:t>
            </w:r>
          </w:p>
        </w:tc>
        <w:tc>
          <w:tcPr>
            <w:tcW w:w="840" w:type="dxa"/>
            <w:vAlign w:val="bottom"/>
            <w:shd w:val="clear" w:color="auto" w:fill="F4F4E5"/>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E5"/>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4E5"/>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4F4E5"/>
          </w:tcPr>
          <w:p>
            <w:pPr>
              <w:jc w:val="right"/>
              <w:ind w:right="359"/>
              <w:spacing w:after="0"/>
              <w:rPr>
                <w:sz w:val="20"/>
                <w:szCs w:val="20"/>
                <w:color w:val="auto"/>
              </w:rPr>
            </w:pPr>
            <w:r>
              <w:rPr>
                <w:rFonts w:ascii="Arial" w:cs="Arial" w:eastAsia="Arial" w:hAnsi="Arial"/>
                <w:sz w:val="14"/>
                <w:szCs w:val="14"/>
                <w:color w:val="auto"/>
              </w:rPr>
              <w:t>-</w:t>
            </w:r>
          </w:p>
        </w:tc>
        <w:tc>
          <w:tcPr>
            <w:tcW w:w="160" w:type="dxa"/>
            <w:vAlign w:val="bottom"/>
            <w:shd w:val="clear" w:color="auto" w:fill="F4F4E5"/>
          </w:tcPr>
          <w:p>
            <w:pPr>
              <w:spacing w:after="0"/>
              <w:rPr>
                <w:sz w:val="20"/>
                <w:szCs w:val="20"/>
                <w:color w:val="auto"/>
              </w:rPr>
            </w:pPr>
          </w:p>
        </w:tc>
        <w:tc>
          <w:tcPr>
            <w:tcW w:w="200" w:type="dxa"/>
            <w:vAlign w:val="bottom"/>
            <w:shd w:val="clear" w:color="auto" w:fill="F4F4E5"/>
          </w:tcPr>
          <w:p>
            <w:pPr>
              <w:spacing w:after="0"/>
              <w:rPr>
                <w:sz w:val="20"/>
                <w:szCs w:val="20"/>
                <w:color w:val="auto"/>
              </w:rPr>
            </w:pPr>
          </w:p>
        </w:tc>
        <w:tc>
          <w:tcPr>
            <w:tcW w:w="740" w:type="dxa"/>
            <w:vAlign w:val="bottom"/>
            <w:shd w:val="clear" w:color="auto" w:fill="F4F4E5"/>
          </w:tcPr>
          <w:p>
            <w:pPr>
              <w:jc w:val="right"/>
              <w:ind w:right="1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840" w:type="dxa"/>
            <w:vAlign w:val="bottom"/>
            <w:shd w:val="clear" w:color="auto" w:fill="F4F4E5"/>
          </w:tcPr>
          <w:p>
            <w:pPr>
              <w:spacing w:after="0"/>
              <w:rPr>
                <w:sz w:val="24"/>
                <w:szCs w:val="24"/>
                <w:color w:val="auto"/>
              </w:rPr>
            </w:pPr>
          </w:p>
        </w:tc>
        <w:tc>
          <w:tcPr>
            <w:tcW w:w="80" w:type="dxa"/>
            <w:vAlign w:val="bottom"/>
            <w:shd w:val="clear" w:color="auto" w:fill="F4F4E5"/>
          </w:tcPr>
          <w:p>
            <w:pPr>
              <w:spacing w:after="0"/>
              <w:rPr>
                <w:sz w:val="24"/>
                <w:szCs w:val="24"/>
                <w:color w:val="auto"/>
              </w:rPr>
            </w:pPr>
          </w:p>
        </w:tc>
        <w:tc>
          <w:tcPr>
            <w:tcW w:w="820" w:type="dxa"/>
            <w:vAlign w:val="bottom"/>
            <w:gridSpan w:val="2"/>
            <w:shd w:val="clear" w:color="auto" w:fill="F4F4E5"/>
          </w:tcPr>
          <w:p>
            <w:pPr>
              <w:jc w:val="right"/>
              <w:ind w:right="80"/>
              <w:spacing w:after="0"/>
              <w:rPr>
                <w:sz w:val="20"/>
                <w:szCs w:val="20"/>
                <w:color w:val="auto"/>
              </w:rPr>
            </w:pPr>
            <w:r>
              <w:rPr>
                <w:rFonts w:ascii="Arial" w:cs="Arial" w:eastAsia="Arial" w:hAnsi="Arial"/>
                <w:sz w:val="14"/>
                <w:szCs w:val="14"/>
                <w:color w:val="auto"/>
              </w:rPr>
              <w:t>1/14/2020</w:t>
            </w:r>
          </w:p>
        </w:tc>
        <w:tc>
          <w:tcPr>
            <w:tcW w:w="140" w:type="dxa"/>
            <w:vAlign w:val="bottom"/>
            <w:shd w:val="clear" w:color="auto" w:fill="F4F4E5"/>
          </w:tcPr>
          <w:p>
            <w:pPr>
              <w:spacing w:after="0"/>
              <w:rPr>
                <w:sz w:val="24"/>
                <w:szCs w:val="24"/>
                <w:color w:val="auto"/>
              </w:rPr>
            </w:pPr>
          </w:p>
        </w:tc>
        <w:tc>
          <w:tcPr>
            <w:tcW w:w="72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4E5"/>
          </w:tcPr>
          <w:p>
            <w:pPr>
              <w:spacing w:after="0"/>
              <w:rPr>
                <w:sz w:val="24"/>
                <w:szCs w:val="24"/>
                <w:color w:val="auto"/>
              </w:rPr>
            </w:pPr>
          </w:p>
        </w:tc>
        <w:tc>
          <w:tcPr>
            <w:tcW w:w="680" w:type="dxa"/>
            <w:vAlign w:val="bottom"/>
            <w:shd w:val="clear" w:color="auto" w:fill="F4F4E5"/>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F4F4E5"/>
          </w:tcPr>
          <w:p>
            <w:pPr>
              <w:spacing w:after="0"/>
              <w:rPr>
                <w:sz w:val="24"/>
                <w:szCs w:val="24"/>
                <w:color w:val="auto"/>
              </w:rPr>
            </w:pPr>
          </w:p>
        </w:tc>
        <w:tc>
          <w:tcPr>
            <w:tcW w:w="720" w:type="dxa"/>
            <w:vAlign w:val="bottom"/>
            <w:shd w:val="clear" w:color="auto" w:fill="F4F4E5"/>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E5"/>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E5"/>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4E5"/>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4F4E5"/>
          </w:tcPr>
          <w:p>
            <w:pPr>
              <w:jc w:val="right"/>
              <w:ind w:right="59"/>
              <w:spacing w:after="0" w:line="282" w:lineRule="exact"/>
              <w:rPr>
                <w:sz w:val="20"/>
                <w:szCs w:val="20"/>
                <w:color w:val="auto"/>
              </w:rPr>
            </w:pPr>
            <w:r>
              <w:rPr>
                <w:rFonts w:ascii="Arial" w:cs="Arial" w:eastAsia="Arial" w:hAnsi="Arial"/>
                <w:sz w:val="28"/>
                <w:szCs w:val="28"/>
                <w:color w:val="auto"/>
                <w:vertAlign w:val="subscript"/>
              </w:rPr>
              <w:t>7,332</w:t>
            </w:r>
            <w:r>
              <w:rPr>
                <w:rFonts w:ascii="Arial" w:cs="Arial" w:eastAsia="Arial" w:hAnsi="Arial"/>
                <w:sz w:val="12"/>
                <w:szCs w:val="12"/>
                <w:color w:val="auto"/>
              </w:rPr>
              <w:t>(7)(8)</w:t>
            </w:r>
          </w:p>
        </w:tc>
        <w:tc>
          <w:tcPr>
            <w:tcW w:w="16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4F4E5"/>
          </w:tcPr>
          <w:p>
            <w:pPr>
              <w:jc w:val="right"/>
              <w:ind w:right="151"/>
              <w:spacing w:after="0"/>
              <w:rPr>
                <w:sz w:val="20"/>
                <w:szCs w:val="20"/>
                <w:color w:val="auto"/>
              </w:rPr>
            </w:pPr>
            <w:r>
              <w:rPr>
                <w:rFonts w:ascii="Arial" w:cs="Arial" w:eastAsia="Arial" w:hAnsi="Arial"/>
                <w:sz w:val="14"/>
                <w:szCs w:val="14"/>
                <w:color w:val="auto"/>
              </w:rPr>
              <w:t>1,100,020</w:t>
            </w:r>
          </w:p>
        </w:tc>
        <w:tc>
          <w:tcPr>
            <w:tcW w:w="0" w:type="dxa"/>
            <w:vAlign w:val="bottom"/>
          </w:tcPr>
          <w:p>
            <w:pPr>
              <w:spacing w:after="0"/>
              <w:rPr>
                <w:sz w:val="1"/>
                <w:szCs w:val="1"/>
                <w:color w:val="auto"/>
              </w:rPr>
            </w:pPr>
          </w:p>
        </w:tc>
      </w:tr>
      <w:tr>
        <w:trPr>
          <w:trHeight w:val="257"/>
        </w:trPr>
        <w:tc>
          <w:tcPr>
            <w:tcW w:w="2840" w:type="dxa"/>
            <w:vAlign w:val="bottom"/>
            <w:vMerge w:val="restart"/>
            <w:shd w:val="clear" w:color="auto" w:fill="F4F4E5"/>
          </w:tcPr>
          <w:p>
            <w:pPr>
              <w:ind w:left="60"/>
              <w:spacing w:after="0"/>
              <w:rPr>
                <w:sz w:val="20"/>
                <w:szCs w:val="20"/>
                <w:color w:val="auto"/>
              </w:rPr>
            </w:pPr>
            <w:r>
              <w:rPr>
                <w:rFonts w:ascii="Arial" w:cs="Arial" w:eastAsia="Arial" w:hAnsi="Arial"/>
                <w:sz w:val="13"/>
                <w:szCs w:val="13"/>
                <w:b w:val="1"/>
                <w:bCs w:val="1"/>
                <w:color w:val="auto"/>
              </w:rPr>
              <w:t>CRAIG BILLINGS</w:t>
            </w:r>
          </w:p>
        </w:tc>
        <w:tc>
          <w:tcPr>
            <w:tcW w:w="80" w:type="dxa"/>
            <w:vAlign w:val="bottom"/>
            <w:shd w:val="clear" w:color="auto" w:fill="F4F4E5"/>
          </w:tcPr>
          <w:p>
            <w:pPr>
              <w:spacing w:after="0"/>
              <w:rPr>
                <w:sz w:val="22"/>
                <w:szCs w:val="22"/>
                <w:color w:val="auto"/>
              </w:rPr>
            </w:pPr>
          </w:p>
        </w:tc>
        <w:tc>
          <w:tcPr>
            <w:tcW w:w="740" w:type="dxa"/>
            <w:vAlign w:val="bottom"/>
            <w:shd w:val="clear" w:color="auto" w:fill="F4F4E5"/>
          </w:tcPr>
          <w:p>
            <w:pPr>
              <w:jc w:val="right"/>
              <w:spacing w:after="0"/>
              <w:rPr>
                <w:sz w:val="20"/>
                <w:szCs w:val="20"/>
                <w:color w:val="auto"/>
              </w:rPr>
            </w:pPr>
            <w:r>
              <w:rPr>
                <w:rFonts w:ascii="Arial" w:cs="Arial" w:eastAsia="Arial" w:hAnsi="Arial"/>
                <w:sz w:val="14"/>
                <w:szCs w:val="14"/>
                <w:color w:val="auto"/>
              </w:rPr>
              <w:t>2/26/2020</w:t>
            </w:r>
          </w:p>
        </w:tc>
        <w:tc>
          <w:tcPr>
            <w:tcW w:w="80" w:type="dxa"/>
            <w:vAlign w:val="bottom"/>
            <w:shd w:val="clear" w:color="auto" w:fill="F4F4E5"/>
          </w:tcPr>
          <w:p>
            <w:pPr>
              <w:spacing w:after="0"/>
              <w:rPr>
                <w:sz w:val="22"/>
                <w:szCs w:val="22"/>
                <w:color w:val="auto"/>
              </w:rPr>
            </w:pPr>
          </w:p>
        </w:tc>
        <w:tc>
          <w:tcPr>
            <w:tcW w:w="140" w:type="dxa"/>
            <w:vAlign w:val="bottom"/>
            <w:shd w:val="clear" w:color="auto" w:fill="F4F4E5"/>
          </w:tcPr>
          <w:p>
            <w:pPr>
              <w:spacing w:after="0"/>
              <w:rPr>
                <w:sz w:val="22"/>
                <w:szCs w:val="22"/>
                <w:color w:val="auto"/>
              </w:rPr>
            </w:pPr>
          </w:p>
        </w:tc>
        <w:tc>
          <w:tcPr>
            <w:tcW w:w="72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4E5"/>
          </w:tcPr>
          <w:p>
            <w:pPr>
              <w:spacing w:after="0"/>
              <w:rPr>
                <w:sz w:val="22"/>
                <w:szCs w:val="22"/>
                <w:color w:val="auto"/>
              </w:rPr>
            </w:pPr>
          </w:p>
        </w:tc>
        <w:tc>
          <w:tcPr>
            <w:tcW w:w="680" w:type="dxa"/>
            <w:vAlign w:val="bottom"/>
            <w:shd w:val="clear" w:color="auto" w:fill="F4F4E5"/>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F4F4E5"/>
          </w:tcPr>
          <w:p>
            <w:pPr>
              <w:spacing w:after="0"/>
              <w:rPr>
                <w:sz w:val="22"/>
                <w:szCs w:val="22"/>
                <w:color w:val="auto"/>
              </w:rPr>
            </w:pPr>
          </w:p>
        </w:tc>
        <w:tc>
          <w:tcPr>
            <w:tcW w:w="720" w:type="dxa"/>
            <w:vAlign w:val="bottom"/>
            <w:shd w:val="clear" w:color="auto" w:fill="F4F4E5"/>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E5"/>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E5"/>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4E5"/>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4F4E5"/>
          </w:tcPr>
          <w:p>
            <w:pPr>
              <w:jc w:val="right"/>
              <w:ind w:right="59"/>
              <w:spacing w:after="0" w:line="257" w:lineRule="exact"/>
              <w:rPr>
                <w:sz w:val="20"/>
                <w:szCs w:val="20"/>
                <w:color w:val="auto"/>
              </w:rPr>
            </w:pPr>
            <w:r>
              <w:rPr>
                <w:rFonts w:ascii="Arial" w:cs="Arial" w:eastAsia="Arial" w:hAnsi="Arial"/>
                <w:sz w:val="28"/>
                <w:szCs w:val="28"/>
                <w:color w:val="auto"/>
                <w:vertAlign w:val="subscript"/>
              </w:rPr>
              <w:t>7,332</w:t>
            </w:r>
            <w:r>
              <w:rPr>
                <w:rFonts w:ascii="Arial" w:cs="Arial" w:eastAsia="Arial" w:hAnsi="Arial"/>
                <w:sz w:val="12"/>
                <w:szCs w:val="12"/>
                <w:color w:val="auto"/>
              </w:rPr>
              <w:t>(7)(9)</w:t>
            </w:r>
          </w:p>
        </w:tc>
        <w:tc>
          <w:tcPr>
            <w:tcW w:w="16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4E5"/>
          </w:tcPr>
          <w:p>
            <w:pPr>
              <w:spacing w:after="0"/>
              <w:rPr>
                <w:sz w:val="22"/>
                <w:szCs w:val="22"/>
                <w:color w:val="auto"/>
              </w:rPr>
            </w:pPr>
          </w:p>
        </w:tc>
        <w:tc>
          <w:tcPr>
            <w:tcW w:w="740" w:type="dxa"/>
            <w:vAlign w:val="bottom"/>
            <w:shd w:val="clear" w:color="auto" w:fill="F4F4E5"/>
          </w:tcPr>
          <w:p>
            <w:pPr>
              <w:jc w:val="right"/>
              <w:ind w:right="151"/>
              <w:spacing w:after="0"/>
              <w:rPr>
                <w:sz w:val="20"/>
                <w:szCs w:val="20"/>
                <w:color w:val="auto"/>
              </w:rPr>
            </w:pPr>
            <w:r>
              <w:rPr>
                <w:rFonts w:ascii="Arial" w:cs="Arial" w:eastAsia="Arial" w:hAnsi="Arial"/>
                <w:sz w:val="14"/>
                <w:szCs w:val="14"/>
                <w:color w:val="auto"/>
                <w:w w:val="98"/>
              </w:rPr>
              <w:t>812,019</w:t>
            </w:r>
          </w:p>
        </w:tc>
        <w:tc>
          <w:tcPr>
            <w:tcW w:w="0" w:type="dxa"/>
            <w:vAlign w:val="bottom"/>
          </w:tcPr>
          <w:p>
            <w:pPr>
              <w:spacing w:after="0"/>
              <w:rPr>
                <w:sz w:val="1"/>
                <w:szCs w:val="1"/>
                <w:color w:val="auto"/>
              </w:rPr>
            </w:pPr>
          </w:p>
        </w:tc>
      </w:tr>
      <w:tr>
        <w:trPr>
          <w:trHeight w:val="79"/>
        </w:trPr>
        <w:tc>
          <w:tcPr>
            <w:tcW w:w="2840" w:type="dxa"/>
            <w:vAlign w:val="bottom"/>
            <w:vMerge w:val="continue"/>
            <w:shd w:val="clear" w:color="auto" w:fill="F4F4E5"/>
          </w:tcPr>
          <w:p>
            <w:pPr>
              <w:spacing w:after="0"/>
              <w:rPr>
                <w:sz w:val="6"/>
                <w:szCs w:val="6"/>
                <w:color w:val="auto"/>
              </w:rPr>
            </w:pPr>
          </w:p>
        </w:tc>
        <w:tc>
          <w:tcPr>
            <w:tcW w:w="80" w:type="dxa"/>
            <w:vAlign w:val="bottom"/>
            <w:shd w:val="clear" w:color="auto" w:fill="F4F4E5"/>
          </w:tcPr>
          <w:p>
            <w:pPr>
              <w:spacing w:after="0"/>
              <w:rPr>
                <w:sz w:val="6"/>
                <w:szCs w:val="6"/>
                <w:color w:val="auto"/>
              </w:rPr>
            </w:pPr>
          </w:p>
        </w:tc>
        <w:tc>
          <w:tcPr>
            <w:tcW w:w="740" w:type="dxa"/>
            <w:vAlign w:val="bottom"/>
            <w:vMerge w:val="restart"/>
            <w:shd w:val="clear" w:color="auto" w:fill="F4F4E5"/>
          </w:tcPr>
          <w:p>
            <w:pPr>
              <w:jc w:val="right"/>
              <w:spacing w:after="0"/>
              <w:rPr>
                <w:sz w:val="20"/>
                <w:szCs w:val="20"/>
                <w:color w:val="auto"/>
              </w:rPr>
            </w:pPr>
            <w:r>
              <w:rPr>
                <w:rFonts w:ascii="Arial" w:cs="Arial" w:eastAsia="Arial" w:hAnsi="Arial"/>
                <w:sz w:val="14"/>
                <w:szCs w:val="14"/>
                <w:color w:val="auto"/>
              </w:rPr>
              <w:t>3/23/2020</w:t>
            </w:r>
          </w:p>
        </w:tc>
        <w:tc>
          <w:tcPr>
            <w:tcW w:w="80" w:type="dxa"/>
            <w:vAlign w:val="bottom"/>
            <w:shd w:val="clear" w:color="auto" w:fill="F4F4E5"/>
          </w:tcPr>
          <w:p>
            <w:pPr>
              <w:spacing w:after="0"/>
              <w:rPr>
                <w:sz w:val="6"/>
                <w:szCs w:val="6"/>
                <w:color w:val="auto"/>
              </w:rPr>
            </w:pPr>
          </w:p>
        </w:tc>
        <w:tc>
          <w:tcPr>
            <w:tcW w:w="140" w:type="dxa"/>
            <w:vAlign w:val="bottom"/>
            <w:shd w:val="clear" w:color="auto" w:fill="F4F4E5"/>
          </w:tcPr>
          <w:p>
            <w:pPr>
              <w:spacing w:after="0"/>
              <w:rPr>
                <w:sz w:val="6"/>
                <w:szCs w:val="6"/>
                <w:color w:val="auto"/>
              </w:rPr>
            </w:pPr>
          </w:p>
        </w:tc>
        <w:tc>
          <w:tcPr>
            <w:tcW w:w="720" w:type="dxa"/>
            <w:vAlign w:val="bottom"/>
            <w:vMerge w:val="restart"/>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4E5"/>
          </w:tcPr>
          <w:p>
            <w:pPr>
              <w:spacing w:after="0"/>
              <w:rPr>
                <w:sz w:val="6"/>
                <w:szCs w:val="6"/>
                <w:color w:val="auto"/>
              </w:rPr>
            </w:pPr>
          </w:p>
        </w:tc>
        <w:tc>
          <w:tcPr>
            <w:tcW w:w="680" w:type="dxa"/>
            <w:vAlign w:val="bottom"/>
            <w:vMerge w:val="restart"/>
            <w:shd w:val="clear" w:color="auto" w:fill="F4F4E5"/>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F4F4E5"/>
          </w:tcPr>
          <w:p>
            <w:pPr>
              <w:spacing w:after="0"/>
              <w:rPr>
                <w:sz w:val="6"/>
                <w:szCs w:val="6"/>
                <w:color w:val="auto"/>
              </w:rPr>
            </w:pPr>
          </w:p>
        </w:tc>
        <w:tc>
          <w:tcPr>
            <w:tcW w:w="720" w:type="dxa"/>
            <w:vAlign w:val="bottom"/>
            <w:vMerge w:val="restart"/>
            <w:shd w:val="clear" w:color="auto" w:fill="F4F4E5"/>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F4F4E5"/>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F4F4E5"/>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F4F4E5"/>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F4F4E5"/>
          </w:tcPr>
          <w:p>
            <w:pPr>
              <w:jc w:val="right"/>
              <w:spacing w:after="0" w:line="257" w:lineRule="exact"/>
              <w:rPr>
                <w:sz w:val="20"/>
                <w:szCs w:val="20"/>
                <w:color w:val="auto"/>
              </w:rPr>
            </w:pPr>
            <w:r>
              <w:rPr>
                <w:rFonts w:ascii="Arial" w:cs="Arial" w:eastAsia="Arial" w:hAnsi="Arial"/>
                <w:sz w:val="28"/>
                <w:szCs w:val="28"/>
                <w:color w:val="auto"/>
                <w:vertAlign w:val="subscript"/>
              </w:rPr>
              <w:t>9,621</w:t>
            </w:r>
            <w:r>
              <w:rPr>
                <w:rFonts w:ascii="Arial" w:cs="Arial" w:eastAsia="Arial" w:hAnsi="Arial"/>
                <w:sz w:val="12"/>
                <w:szCs w:val="12"/>
                <w:color w:val="auto"/>
              </w:rPr>
              <w:t>(7)(10)</w:t>
            </w:r>
          </w:p>
        </w:tc>
        <w:tc>
          <w:tcPr>
            <w:tcW w:w="160" w:type="dxa"/>
            <w:vAlign w:val="bottom"/>
            <w:vMerge w:val="restart"/>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4E5"/>
          </w:tcPr>
          <w:p>
            <w:pPr>
              <w:spacing w:after="0"/>
              <w:rPr>
                <w:sz w:val="6"/>
                <w:szCs w:val="6"/>
                <w:color w:val="auto"/>
              </w:rPr>
            </w:pPr>
          </w:p>
        </w:tc>
        <w:tc>
          <w:tcPr>
            <w:tcW w:w="740" w:type="dxa"/>
            <w:vAlign w:val="bottom"/>
            <w:vMerge w:val="restart"/>
            <w:shd w:val="clear" w:color="auto" w:fill="F4F4E5"/>
          </w:tcPr>
          <w:p>
            <w:pPr>
              <w:jc w:val="right"/>
              <w:ind w:right="151"/>
              <w:spacing w:after="0"/>
              <w:rPr>
                <w:sz w:val="20"/>
                <w:szCs w:val="20"/>
                <w:color w:val="auto"/>
              </w:rPr>
            </w:pPr>
            <w:r>
              <w:rPr>
                <w:rFonts w:ascii="Arial" w:cs="Arial" w:eastAsia="Arial" w:hAnsi="Arial"/>
                <w:sz w:val="14"/>
                <w:szCs w:val="14"/>
                <w:color w:val="auto"/>
                <w:w w:val="98"/>
              </w:rPr>
              <w:t>553,881</w:t>
            </w:r>
          </w:p>
        </w:tc>
        <w:tc>
          <w:tcPr>
            <w:tcW w:w="0" w:type="dxa"/>
            <w:vAlign w:val="bottom"/>
          </w:tcPr>
          <w:p>
            <w:pPr>
              <w:spacing w:after="0"/>
              <w:rPr>
                <w:sz w:val="1"/>
                <w:szCs w:val="1"/>
                <w:color w:val="auto"/>
              </w:rPr>
            </w:pPr>
          </w:p>
        </w:tc>
      </w:tr>
      <w:tr>
        <w:trPr>
          <w:trHeight w:val="178"/>
        </w:trPr>
        <w:tc>
          <w:tcPr>
            <w:tcW w:w="2840" w:type="dxa"/>
            <w:vAlign w:val="bottom"/>
            <w:shd w:val="clear" w:color="auto" w:fill="F4F4E5"/>
          </w:tcPr>
          <w:p>
            <w:pPr>
              <w:spacing w:after="0"/>
              <w:rPr>
                <w:sz w:val="15"/>
                <w:szCs w:val="15"/>
                <w:color w:val="auto"/>
              </w:rPr>
            </w:pPr>
          </w:p>
        </w:tc>
        <w:tc>
          <w:tcPr>
            <w:tcW w:w="80" w:type="dxa"/>
            <w:vAlign w:val="bottom"/>
            <w:shd w:val="clear" w:color="auto" w:fill="F4F4E5"/>
          </w:tcPr>
          <w:p>
            <w:pPr>
              <w:spacing w:after="0"/>
              <w:rPr>
                <w:sz w:val="15"/>
                <w:szCs w:val="15"/>
                <w:color w:val="auto"/>
              </w:rPr>
            </w:pPr>
          </w:p>
        </w:tc>
        <w:tc>
          <w:tcPr>
            <w:tcW w:w="740" w:type="dxa"/>
            <w:vAlign w:val="bottom"/>
            <w:vMerge w:val="continue"/>
            <w:shd w:val="clear" w:color="auto" w:fill="F4F4E5"/>
          </w:tcPr>
          <w:p>
            <w:pPr>
              <w:spacing w:after="0"/>
              <w:rPr>
                <w:sz w:val="15"/>
                <w:szCs w:val="15"/>
                <w:color w:val="auto"/>
              </w:rPr>
            </w:pPr>
          </w:p>
        </w:tc>
        <w:tc>
          <w:tcPr>
            <w:tcW w:w="80" w:type="dxa"/>
            <w:vAlign w:val="bottom"/>
            <w:shd w:val="clear" w:color="auto" w:fill="F4F4E5"/>
          </w:tcPr>
          <w:p>
            <w:pPr>
              <w:spacing w:after="0"/>
              <w:rPr>
                <w:sz w:val="15"/>
                <w:szCs w:val="15"/>
                <w:color w:val="auto"/>
              </w:rPr>
            </w:pPr>
          </w:p>
        </w:tc>
        <w:tc>
          <w:tcPr>
            <w:tcW w:w="140" w:type="dxa"/>
            <w:vAlign w:val="bottom"/>
            <w:shd w:val="clear" w:color="auto" w:fill="F4F4E5"/>
          </w:tcPr>
          <w:p>
            <w:pPr>
              <w:spacing w:after="0"/>
              <w:rPr>
                <w:sz w:val="15"/>
                <w:szCs w:val="15"/>
                <w:color w:val="auto"/>
              </w:rPr>
            </w:pPr>
          </w:p>
        </w:tc>
        <w:tc>
          <w:tcPr>
            <w:tcW w:w="720" w:type="dxa"/>
            <w:vAlign w:val="bottom"/>
            <w:vMerge w:val="continue"/>
            <w:shd w:val="clear" w:color="auto" w:fill="F4F4E5"/>
          </w:tcPr>
          <w:p>
            <w:pPr>
              <w:spacing w:after="0"/>
              <w:rPr>
                <w:sz w:val="15"/>
                <w:szCs w:val="15"/>
                <w:color w:val="auto"/>
              </w:rPr>
            </w:pPr>
          </w:p>
        </w:tc>
        <w:tc>
          <w:tcPr>
            <w:tcW w:w="200" w:type="dxa"/>
            <w:vAlign w:val="bottom"/>
            <w:shd w:val="clear" w:color="auto" w:fill="F4F4E5"/>
          </w:tcPr>
          <w:p>
            <w:pPr>
              <w:spacing w:after="0"/>
              <w:rPr>
                <w:sz w:val="15"/>
                <w:szCs w:val="15"/>
                <w:color w:val="auto"/>
              </w:rPr>
            </w:pPr>
          </w:p>
        </w:tc>
        <w:tc>
          <w:tcPr>
            <w:tcW w:w="680" w:type="dxa"/>
            <w:vAlign w:val="bottom"/>
            <w:vMerge w:val="continue"/>
            <w:shd w:val="clear" w:color="auto" w:fill="F4F4E5"/>
          </w:tcPr>
          <w:p>
            <w:pPr>
              <w:spacing w:after="0"/>
              <w:rPr>
                <w:sz w:val="15"/>
                <w:szCs w:val="15"/>
                <w:color w:val="auto"/>
              </w:rPr>
            </w:pPr>
          </w:p>
        </w:tc>
        <w:tc>
          <w:tcPr>
            <w:tcW w:w="160" w:type="dxa"/>
            <w:vAlign w:val="bottom"/>
            <w:shd w:val="clear" w:color="auto" w:fill="F4F4E5"/>
          </w:tcPr>
          <w:p>
            <w:pPr>
              <w:spacing w:after="0"/>
              <w:rPr>
                <w:sz w:val="15"/>
                <w:szCs w:val="15"/>
                <w:color w:val="auto"/>
              </w:rPr>
            </w:pPr>
          </w:p>
        </w:tc>
        <w:tc>
          <w:tcPr>
            <w:tcW w:w="720" w:type="dxa"/>
            <w:vAlign w:val="bottom"/>
            <w:vMerge w:val="continue"/>
            <w:shd w:val="clear" w:color="auto" w:fill="F4F4E5"/>
          </w:tcPr>
          <w:p>
            <w:pPr>
              <w:spacing w:after="0"/>
              <w:rPr>
                <w:sz w:val="15"/>
                <w:szCs w:val="15"/>
                <w:color w:val="auto"/>
              </w:rPr>
            </w:pPr>
          </w:p>
        </w:tc>
        <w:tc>
          <w:tcPr>
            <w:tcW w:w="840" w:type="dxa"/>
            <w:vAlign w:val="bottom"/>
            <w:vMerge w:val="continue"/>
            <w:shd w:val="clear" w:color="auto" w:fill="F4F4E5"/>
          </w:tcPr>
          <w:p>
            <w:pPr>
              <w:spacing w:after="0"/>
              <w:rPr>
                <w:sz w:val="15"/>
                <w:szCs w:val="15"/>
                <w:color w:val="auto"/>
              </w:rPr>
            </w:pPr>
          </w:p>
        </w:tc>
        <w:tc>
          <w:tcPr>
            <w:tcW w:w="740" w:type="dxa"/>
            <w:vAlign w:val="bottom"/>
            <w:vMerge w:val="continue"/>
            <w:shd w:val="clear" w:color="auto" w:fill="F4F4E5"/>
          </w:tcPr>
          <w:p>
            <w:pPr>
              <w:spacing w:after="0"/>
              <w:rPr>
                <w:sz w:val="15"/>
                <w:szCs w:val="15"/>
                <w:color w:val="auto"/>
              </w:rPr>
            </w:pPr>
          </w:p>
        </w:tc>
        <w:tc>
          <w:tcPr>
            <w:tcW w:w="700" w:type="dxa"/>
            <w:vAlign w:val="bottom"/>
            <w:vMerge w:val="continue"/>
            <w:shd w:val="clear" w:color="auto" w:fill="F4F4E5"/>
          </w:tcPr>
          <w:p>
            <w:pPr>
              <w:spacing w:after="0"/>
              <w:rPr>
                <w:sz w:val="15"/>
                <w:szCs w:val="15"/>
                <w:color w:val="auto"/>
              </w:rPr>
            </w:pPr>
          </w:p>
        </w:tc>
        <w:tc>
          <w:tcPr>
            <w:tcW w:w="1280" w:type="dxa"/>
            <w:vAlign w:val="bottom"/>
            <w:vMerge w:val="continue"/>
            <w:shd w:val="clear" w:color="auto" w:fill="F4F4E5"/>
          </w:tcPr>
          <w:p>
            <w:pPr>
              <w:spacing w:after="0"/>
              <w:rPr>
                <w:sz w:val="15"/>
                <w:szCs w:val="15"/>
                <w:color w:val="auto"/>
              </w:rPr>
            </w:pPr>
          </w:p>
        </w:tc>
        <w:tc>
          <w:tcPr>
            <w:tcW w:w="160" w:type="dxa"/>
            <w:vAlign w:val="bottom"/>
            <w:vMerge w:val="continue"/>
            <w:shd w:val="clear" w:color="auto" w:fill="F4F4E5"/>
          </w:tcPr>
          <w:p>
            <w:pPr>
              <w:spacing w:after="0"/>
              <w:rPr>
                <w:sz w:val="15"/>
                <w:szCs w:val="15"/>
                <w:color w:val="auto"/>
              </w:rPr>
            </w:pPr>
          </w:p>
        </w:tc>
        <w:tc>
          <w:tcPr>
            <w:tcW w:w="200" w:type="dxa"/>
            <w:vAlign w:val="bottom"/>
            <w:shd w:val="clear" w:color="auto" w:fill="F4F4E5"/>
          </w:tcPr>
          <w:p>
            <w:pPr>
              <w:spacing w:after="0"/>
              <w:rPr>
                <w:sz w:val="15"/>
                <w:szCs w:val="15"/>
                <w:color w:val="auto"/>
              </w:rPr>
            </w:pPr>
          </w:p>
        </w:tc>
        <w:tc>
          <w:tcPr>
            <w:tcW w:w="740" w:type="dxa"/>
            <w:vAlign w:val="bottom"/>
            <w:vMerge w:val="continue"/>
            <w:shd w:val="clear" w:color="auto" w:fill="F4F4E5"/>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2840" w:type="dxa"/>
            <w:vAlign w:val="bottom"/>
            <w:shd w:val="clear" w:color="auto" w:fill="F4F4E5"/>
          </w:tcPr>
          <w:p>
            <w:pPr>
              <w:spacing w:after="0"/>
              <w:rPr>
                <w:sz w:val="22"/>
                <w:szCs w:val="22"/>
                <w:color w:val="auto"/>
              </w:rPr>
            </w:pPr>
          </w:p>
        </w:tc>
        <w:tc>
          <w:tcPr>
            <w:tcW w:w="80" w:type="dxa"/>
            <w:vAlign w:val="bottom"/>
            <w:shd w:val="clear" w:color="auto" w:fill="F4F4E5"/>
          </w:tcPr>
          <w:p>
            <w:pPr>
              <w:spacing w:after="0"/>
              <w:rPr>
                <w:sz w:val="22"/>
                <w:szCs w:val="22"/>
                <w:color w:val="auto"/>
              </w:rPr>
            </w:pPr>
          </w:p>
        </w:tc>
        <w:tc>
          <w:tcPr>
            <w:tcW w:w="740" w:type="dxa"/>
            <w:vAlign w:val="bottom"/>
            <w:shd w:val="clear" w:color="auto" w:fill="F4F4E5"/>
          </w:tcPr>
          <w:p>
            <w:pPr>
              <w:jc w:val="right"/>
              <w:spacing w:after="0"/>
              <w:rPr>
                <w:sz w:val="20"/>
                <w:szCs w:val="20"/>
                <w:color w:val="auto"/>
              </w:rPr>
            </w:pPr>
            <w:r>
              <w:rPr>
                <w:rFonts w:ascii="Arial" w:cs="Arial" w:eastAsia="Arial" w:hAnsi="Arial"/>
                <w:sz w:val="14"/>
                <w:szCs w:val="14"/>
                <w:color w:val="auto"/>
              </w:rPr>
              <w:t>8/18/2020</w:t>
            </w:r>
          </w:p>
        </w:tc>
        <w:tc>
          <w:tcPr>
            <w:tcW w:w="80" w:type="dxa"/>
            <w:vAlign w:val="bottom"/>
            <w:shd w:val="clear" w:color="auto" w:fill="F4F4E5"/>
          </w:tcPr>
          <w:p>
            <w:pPr>
              <w:spacing w:after="0"/>
              <w:rPr>
                <w:sz w:val="22"/>
                <w:szCs w:val="22"/>
                <w:color w:val="auto"/>
              </w:rPr>
            </w:pPr>
          </w:p>
        </w:tc>
        <w:tc>
          <w:tcPr>
            <w:tcW w:w="140" w:type="dxa"/>
            <w:vAlign w:val="bottom"/>
            <w:shd w:val="clear" w:color="auto" w:fill="F4F4E5"/>
          </w:tcPr>
          <w:p>
            <w:pPr>
              <w:spacing w:after="0"/>
              <w:rPr>
                <w:sz w:val="22"/>
                <w:szCs w:val="22"/>
                <w:color w:val="auto"/>
              </w:rPr>
            </w:pPr>
          </w:p>
        </w:tc>
        <w:tc>
          <w:tcPr>
            <w:tcW w:w="72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4E5"/>
          </w:tcPr>
          <w:p>
            <w:pPr>
              <w:spacing w:after="0"/>
              <w:rPr>
                <w:sz w:val="22"/>
                <w:szCs w:val="22"/>
                <w:color w:val="auto"/>
              </w:rPr>
            </w:pPr>
          </w:p>
        </w:tc>
        <w:tc>
          <w:tcPr>
            <w:tcW w:w="680" w:type="dxa"/>
            <w:vAlign w:val="bottom"/>
            <w:shd w:val="clear" w:color="auto" w:fill="F4F4E5"/>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F4F4E5"/>
          </w:tcPr>
          <w:p>
            <w:pPr>
              <w:spacing w:after="0"/>
              <w:rPr>
                <w:sz w:val="22"/>
                <w:szCs w:val="22"/>
                <w:color w:val="auto"/>
              </w:rPr>
            </w:pPr>
          </w:p>
        </w:tc>
        <w:tc>
          <w:tcPr>
            <w:tcW w:w="720" w:type="dxa"/>
            <w:vAlign w:val="bottom"/>
            <w:shd w:val="clear" w:color="auto" w:fill="F4F4E5"/>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E5"/>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E5"/>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4E5"/>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4F4E5"/>
          </w:tcPr>
          <w:p>
            <w:pPr>
              <w:jc w:val="right"/>
              <w:spacing w:after="0" w:line="257" w:lineRule="exact"/>
              <w:rPr>
                <w:sz w:val="20"/>
                <w:szCs w:val="20"/>
                <w:color w:val="auto"/>
              </w:rPr>
            </w:pPr>
            <w:r>
              <w:rPr>
                <w:rFonts w:ascii="Arial" w:cs="Arial" w:eastAsia="Arial" w:hAnsi="Arial"/>
                <w:sz w:val="28"/>
                <w:szCs w:val="28"/>
                <w:color w:val="auto"/>
                <w:vertAlign w:val="subscript"/>
              </w:rPr>
              <w:t>13,476</w:t>
            </w:r>
            <w:r>
              <w:rPr>
                <w:rFonts w:ascii="Arial" w:cs="Arial" w:eastAsia="Arial" w:hAnsi="Arial"/>
                <w:sz w:val="12"/>
                <w:szCs w:val="12"/>
                <w:color w:val="auto"/>
              </w:rPr>
              <w:t>(7)(11)</w:t>
            </w:r>
          </w:p>
        </w:tc>
        <w:tc>
          <w:tcPr>
            <w:tcW w:w="16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4F4E5"/>
          </w:tcPr>
          <w:p>
            <w:pPr>
              <w:jc w:val="right"/>
              <w:ind w:right="151"/>
              <w:spacing w:after="0"/>
              <w:rPr>
                <w:sz w:val="20"/>
                <w:szCs w:val="20"/>
                <w:color w:val="auto"/>
              </w:rPr>
            </w:pPr>
            <w:r>
              <w:rPr>
                <w:rFonts w:ascii="Arial" w:cs="Arial" w:eastAsia="Arial" w:hAnsi="Arial"/>
                <w:sz w:val="14"/>
                <w:szCs w:val="14"/>
                <w:color w:val="auto"/>
              </w:rPr>
              <w:t>1,100,046</w:t>
            </w:r>
          </w:p>
        </w:tc>
        <w:tc>
          <w:tcPr>
            <w:tcW w:w="0" w:type="dxa"/>
            <w:vAlign w:val="bottom"/>
          </w:tcPr>
          <w:p>
            <w:pPr>
              <w:spacing w:after="0"/>
              <w:rPr>
                <w:sz w:val="1"/>
                <w:szCs w:val="1"/>
                <w:color w:val="auto"/>
              </w:rPr>
            </w:pPr>
          </w:p>
        </w:tc>
      </w:tr>
      <w:tr>
        <w:trPr>
          <w:trHeight w:val="257"/>
        </w:trPr>
        <w:tc>
          <w:tcPr>
            <w:tcW w:w="2840" w:type="dxa"/>
            <w:vAlign w:val="bottom"/>
            <w:shd w:val="clear" w:color="auto" w:fill="F4F4E5"/>
          </w:tcPr>
          <w:p>
            <w:pPr>
              <w:spacing w:after="0"/>
              <w:rPr>
                <w:sz w:val="22"/>
                <w:szCs w:val="22"/>
                <w:color w:val="auto"/>
              </w:rPr>
            </w:pPr>
          </w:p>
        </w:tc>
        <w:tc>
          <w:tcPr>
            <w:tcW w:w="80" w:type="dxa"/>
            <w:vAlign w:val="bottom"/>
            <w:shd w:val="clear" w:color="auto" w:fill="F4F4E5"/>
          </w:tcPr>
          <w:p>
            <w:pPr>
              <w:spacing w:after="0"/>
              <w:rPr>
                <w:sz w:val="22"/>
                <w:szCs w:val="22"/>
                <w:color w:val="auto"/>
              </w:rPr>
            </w:pPr>
          </w:p>
        </w:tc>
        <w:tc>
          <w:tcPr>
            <w:tcW w:w="740" w:type="dxa"/>
            <w:vAlign w:val="bottom"/>
            <w:shd w:val="clear" w:color="auto" w:fill="F4F4E5"/>
          </w:tcPr>
          <w:p>
            <w:pPr>
              <w:jc w:val="right"/>
              <w:spacing w:after="0"/>
              <w:rPr>
                <w:sz w:val="20"/>
                <w:szCs w:val="20"/>
                <w:color w:val="auto"/>
              </w:rPr>
            </w:pPr>
            <w:r>
              <w:rPr>
                <w:rFonts w:ascii="Arial" w:cs="Arial" w:eastAsia="Arial" w:hAnsi="Arial"/>
                <w:sz w:val="14"/>
                <w:szCs w:val="14"/>
                <w:color w:val="auto"/>
              </w:rPr>
              <w:t>12/11/2020</w:t>
            </w:r>
          </w:p>
        </w:tc>
        <w:tc>
          <w:tcPr>
            <w:tcW w:w="80" w:type="dxa"/>
            <w:vAlign w:val="bottom"/>
            <w:shd w:val="clear" w:color="auto" w:fill="F4F4E5"/>
          </w:tcPr>
          <w:p>
            <w:pPr>
              <w:spacing w:after="0"/>
              <w:rPr>
                <w:sz w:val="22"/>
                <w:szCs w:val="22"/>
                <w:color w:val="auto"/>
              </w:rPr>
            </w:pPr>
          </w:p>
        </w:tc>
        <w:tc>
          <w:tcPr>
            <w:tcW w:w="140" w:type="dxa"/>
            <w:vAlign w:val="bottom"/>
            <w:shd w:val="clear" w:color="auto" w:fill="F4F4E5"/>
          </w:tcPr>
          <w:p>
            <w:pPr>
              <w:spacing w:after="0"/>
              <w:rPr>
                <w:sz w:val="22"/>
                <w:szCs w:val="22"/>
                <w:color w:val="auto"/>
              </w:rPr>
            </w:pPr>
          </w:p>
        </w:tc>
        <w:tc>
          <w:tcPr>
            <w:tcW w:w="72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F4F4E5"/>
          </w:tcPr>
          <w:p>
            <w:pPr>
              <w:spacing w:after="0"/>
              <w:rPr>
                <w:sz w:val="22"/>
                <w:szCs w:val="22"/>
                <w:color w:val="auto"/>
              </w:rPr>
            </w:pPr>
          </w:p>
        </w:tc>
        <w:tc>
          <w:tcPr>
            <w:tcW w:w="680" w:type="dxa"/>
            <w:vAlign w:val="bottom"/>
            <w:shd w:val="clear" w:color="auto" w:fill="F4F4E5"/>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F4F4E5"/>
          </w:tcPr>
          <w:p>
            <w:pPr>
              <w:spacing w:after="0"/>
              <w:rPr>
                <w:sz w:val="22"/>
                <w:szCs w:val="22"/>
                <w:color w:val="auto"/>
              </w:rPr>
            </w:pPr>
          </w:p>
        </w:tc>
        <w:tc>
          <w:tcPr>
            <w:tcW w:w="720" w:type="dxa"/>
            <w:vAlign w:val="bottom"/>
            <w:shd w:val="clear" w:color="auto" w:fill="F4F4E5"/>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E5"/>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E5"/>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F4F4E5"/>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F4F4E5"/>
          </w:tcPr>
          <w:p>
            <w:pPr>
              <w:jc w:val="right"/>
              <w:spacing w:after="0" w:line="257" w:lineRule="exact"/>
              <w:rPr>
                <w:sz w:val="20"/>
                <w:szCs w:val="20"/>
                <w:color w:val="auto"/>
              </w:rPr>
            </w:pPr>
            <w:r>
              <w:rPr>
                <w:rFonts w:ascii="Arial" w:cs="Arial" w:eastAsia="Arial" w:hAnsi="Arial"/>
                <w:sz w:val="28"/>
                <w:szCs w:val="28"/>
                <w:color w:val="auto"/>
                <w:vertAlign w:val="subscript"/>
              </w:rPr>
              <w:t>9,256</w:t>
            </w:r>
            <w:r>
              <w:rPr>
                <w:rFonts w:ascii="Arial" w:cs="Arial" w:eastAsia="Arial" w:hAnsi="Arial"/>
                <w:sz w:val="12"/>
                <w:szCs w:val="12"/>
                <w:color w:val="auto"/>
              </w:rPr>
              <w:t>(7)(12)</w:t>
            </w:r>
          </w:p>
        </w:tc>
        <w:tc>
          <w:tcPr>
            <w:tcW w:w="16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F4F4E5"/>
          </w:tcPr>
          <w:p>
            <w:pPr>
              <w:jc w:val="right"/>
              <w:ind w:right="151"/>
              <w:spacing w:after="0"/>
              <w:rPr>
                <w:sz w:val="20"/>
                <w:szCs w:val="20"/>
                <w:color w:val="auto"/>
              </w:rPr>
            </w:pPr>
            <w:r>
              <w:rPr>
                <w:rFonts w:ascii="Arial" w:cs="Arial" w:eastAsia="Arial" w:hAnsi="Arial"/>
                <w:sz w:val="14"/>
                <w:szCs w:val="14"/>
                <w:color w:val="auto"/>
              </w:rPr>
              <w:t>1,673,207</w:t>
            </w:r>
          </w:p>
        </w:tc>
        <w:tc>
          <w:tcPr>
            <w:tcW w:w="0" w:type="dxa"/>
            <w:vAlign w:val="bottom"/>
          </w:tcPr>
          <w:p>
            <w:pPr>
              <w:spacing w:after="0"/>
              <w:rPr>
                <w:sz w:val="1"/>
                <w:szCs w:val="1"/>
                <w:color w:val="auto"/>
              </w:rPr>
            </w:pPr>
          </w:p>
        </w:tc>
      </w:tr>
      <w:tr>
        <w:trPr>
          <w:trHeight w:val="231"/>
        </w:trPr>
        <w:tc>
          <w:tcPr>
            <w:tcW w:w="2840" w:type="dxa"/>
            <w:vAlign w:val="bottom"/>
            <w:shd w:val="clear" w:color="auto" w:fill="EAEFF2"/>
          </w:tcPr>
          <w:p>
            <w:pPr>
              <w:spacing w:after="0"/>
              <w:rPr>
                <w:sz w:val="20"/>
                <w:szCs w:val="20"/>
                <w:color w:val="auto"/>
              </w:rPr>
            </w:pPr>
          </w:p>
        </w:tc>
        <w:tc>
          <w:tcPr>
            <w:tcW w:w="80" w:type="dxa"/>
            <w:vAlign w:val="bottom"/>
            <w:shd w:val="clear" w:color="auto" w:fill="EAEFF2"/>
          </w:tcPr>
          <w:p>
            <w:pPr>
              <w:spacing w:after="0"/>
              <w:rPr>
                <w:sz w:val="20"/>
                <w:szCs w:val="20"/>
                <w:color w:val="auto"/>
              </w:rPr>
            </w:pPr>
          </w:p>
        </w:tc>
        <w:tc>
          <w:tcPr>
            <w:tcW w:w="820" w:type="dxa"/>
            <w:vAlign w:val="bottom"/>
            <w:gridSpan w:val="2"/>
            <w:shd w:val="clear" w:color="auto" w:fill="EAEFF2"/>
          </w:tcPr>
          <w:p>
            <w:pPr>
              <w:ind w:left="500"/>
              <w:spacing w:after="0"/>
              <w:rPr>
                <w:sz w:val="20"/>
                <w:szCs w:val="20"/>
                <w:color w:val="auto"/>
              </w:rPr>
            </w:pPr>
            <w:r>
              <w:rPr>
                <w:rFonts w:ascii="Arial" w:cs="Arial" w:eastAsia="Arial" w:hAnsi="Arial"/>
                <w:sz w:val="14"/>
                <w:szCs w:val="14"/>
                <w:color w:val="auto"/>
              </w:rPr>
              <w:t>N/A</w:t>
            </w:r>
          </w:p>
        </w:tc>
        <w:tc>
          <w:tcPr>
            <w:tcW w:w="14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448,000</w:t>
            </w:r>
          </w:p>
        </w:tc>
        <w:tc>
          <w:tcPr>
            <w:tcW w:w="20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560,000</w:t>
            </w:r>
          </w:p>
        </w:tc>
        <w:tc>
          <w:tcPr>
            <w:tcW w:w="16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672,000</w:t>
            </w:r>
          </w:p>
        </w:tc>
        <w:tc>
          <w:tcPr>
            <w:tcW w:w="840" w:type="dxa"/>
            <w:vAlign w:val="bottom"/>
            <w:shd w:val="clear" w:color="auto" w:fill="EAEFF2"/>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EAEFF2"/>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FF2"/>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AEFF2"/>
          </w:tcPr>
          <w:p>
            <w:pPr>
              <w:jc w:val="right"/>
              <w:ind w:right="359"/>
              <w:spacing w:after="0"/>
              <w:rPr>
                <w:sz w:val="20"/>
                <w:szCs w:val="20"/>
                <w:color w:val="auto"/>
              </w:rPr>
            </w:pPr>
            <w:r>
              <w:rPr>
                <w:rFonts w:ascii="Arial" w:cs="Arial" w:eastAsia="Arial" w:hAnsi="Arial"/>
                <w:sz w:val="14"/>
                <w:szCs w:val="14"/>
                <w:color w:val="auto"/>
              </w:rPr>
              <w:t>-</w:t>
            </w:r>
          </w:p>
        </w:tc>
        <w:tc>
          <w:tcPr>
            <w:tcW w:w="160" w:type="dxa"/>
            <w:vAlign w:val="bottom"/>
            <w:shd w:val="clear" w:color="auto" w:fill="EAEFF2"/>
          </w:tcPr>
          <w:p>
            <w:pPr>
              <w:spacing w:after="0"/>
              <w:rPr>
                <w:sz w:val="20"/>
                <w:szCs w:val="20"/>
                <w:color w:val="auto"/>
              </w:rPr>
            </w:pPr>
          </w:p>
        </w:tc>
        <w:tc>
          <w:tcPr>
            <w:tcW w:w="200" w:type="dxa"/>
            <w:vAlign w:val="bottom"/>
            <w:shd w:val="clear" w:color="auto" w:fill="EAEFF2"/>
          </w:tcPr>
          <w:p>
            <w:pPr>
              <w:spacing w:after="0"/>
              <w:rPr>
                <w:sz w:val="20"/>
                <w:szCs w:val="20"/>
                <w:color w:val="auto"/>
              </w:rPr>
            </w:pPr>
          </w:p>
        </w:tc>
        <w:tc>
          <w:tcPr>
            <w:tcW w:w="740" w:type="dxa"/>
            <w:vAlign w:val="bottom"/>
            <w:shd w:val="clear" w:color="auto" w:fill="EAEFF2"/>
          </w:tcPr>
          <w:p>
            <w:pPr>
              <w:jc w:val="right"/>
              <w:ind w:right="15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2"/>
        </w:trPr>
        <w:tc>
          <w:tcPr>
            <w:tcW w:w="2840" w:type="dxa"/>
            <w:vAlign w:val="bottom"/>
            <w:shd w:val="clear" w:color="auto" w:fill="EAEFF2"/>
          </w:tcPr>
          <w:p>
            <w:pPr>
              <w:spacing w:after="0"/>
              <w:rPr>
                <w:sz w:val="24"/>
                <w:szCs w:val="24"/>
                <w:color w:val="auto"/>
              </w:rPr>
            </w:pPr>
          </w:p>
        </w:tc>
        <w:tc>
          <w:tcPr>
            <w:tcW w:w="80" w:type="dxa"/>
            <w:vAlign w:val="bottom"/>
            <w:shd w:val="clear" w:color="auto" w:fill="EAEFF2"/>
          </w:tcPr>
          <w:p>
            <w:pPr>
              <w:spacing w:after="0"/>
              <w:rPr>
                <w:sz w:val="24"/>
                <w:szCs w:val="24"/>
                <w:color w:val="auto"/>
              </w:rPr>
            </w:pPr>
          </w:p>
        </w:tc>
        <w:tc>
          <w:tcPr>
            <w:tcW w:w="820" w:type="dxa"/>
            <w:vAlign w:val="bottom"/>
            <w:gridSpan w:val="2"/>
            <w:shd w:val="clear" w:color="auto" w:fill="EAEFF2"/>
          </w:tcPr>
          <w:p>
            <w:pPr>
              <w:jc w:val="right"/>
              <w:ind w:right="80"/>
              <w:spacing w:after="0"/>
              <w:rPr>
                <w:sz w:val="20"/>
                <w:szCs w:val="20"/>
                <w:color w:val="auto"/>
              </w:rPr>
            </w:pPr>
            <w:r>
              <w:rPr>
                <w:rFonts w:ascii="Arial" w:cs="Arial" w:eastAsia="Arial" w:hAnsi="Arial"/>
                <w:sz w:val="14"/>
                <w:szCs w:val="14"/>
                <w:color w:val="auto"/>
              </w:rPr>
              <w:t>1/14/2020</w:t>
            </w:r>
          </w:p>
        </w:tc>
        <w:tc>
          <w:tcPr>
            <w:tcW w:w="140" w:type="dxa"/>
            <w:vAlign w:val="bottom"/>
            <w:shd w:val="clear" w:color="auto" w:fill="EAEFF2"/>
          </w:tcPr>
          <w:p>
            <w:pPr>
              <w:spacing w:after="0"/>
              <w:rPr>
                <w:sz w:val="24"/>
                <w:szCs w:val="24"/>
                <w:color w:val="auto"/>
              </w:rPr>
            </w:pPr>
          </w:p>
        </w:tc>
        <w:tc>
          <w:tcPr>
            <w:tcW w:w="7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4"/>
                <w:szCs w:val="24"/>
                <w:color w:val="auto"/>
              </w:rPr>
            </w:pPr>
          </w:p>
        </w:tc>
        <w:tc>
          <w:tcPr>
            <w:tcW w:w="68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EFF2"/>
          </w:tcPr>
          <w:p>
            <w:pPr>
              <w:spacing w:after="0"/>
              <w:rPr>
                <w:sz w:val="24"/>
                <w:szCs w:val="24"/>
                <w:color w:val="auto"/>
              </w:rPr>
            </w:pPr>
          </w:p>
        </w:tc>
        <w:tc>
          <w:tcPr>
            <w:tcW w:w="72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FF2"/>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EAEFF2"/>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FF2"/>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AEFF2"/>
          </w:tcPr>
          <w:p>
            <w:pPr>
              <w:jc w:val="right"/>
              <w:ind w:right="59"/>
              <w:spacing w:after="0" w:line="282" w:lineRule="exact"/>
              <w:rPr>
                <w:sz w:val="20"/>
                <w:szCs w:val="20"/>
                <w:color w:val="auto"/>
              </w:rPr>
            </w:pPr>
            <w:r>
              <w:rPr>
                <w:rFonts w:ascii="Arial" w:cs="Arial" w:eastAsia="Arial" w:hAnsi="Arial"/>
                <w:sz w:val="28"/>
                <w:szCs w:val="28"/>
                <w:color w:val="auto"/>
                <w:vertAlign w:val="subscript"/>
              </w:rPr>
              <w:t>7,166</w:t>
            </w:r>
            <w:r>
              <w:rPr>
                <w:rFonts w:ascii="Arial" w:cs="Arial" w:eastAsia="Arial" w:hAnsi="Arial"/>
                <w:sz w:val="12"/>
                <w:szCs w:val="12"/>
                <w:color w:val="auto"/>
              </w:rPr>
              <w:t>(7)(8)</w:t>
            </w:r>
          </w:p>
        </w:tc>
        <w:tc>
          <w:tcPr>
            <w:tcW w:w="16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AEFF2"/>
          </w:tcPr>
          <w:p>
            <w:pPr>
              <w:jc w:val="right"/>
              <w:ind w:right="151"/>
              <w:spacing w:after="0"/>
              <w:rPr>
                <w:sz w:val="20"/>
                <w:szCs w:val="20"/>
                <w:color w:val="auto"/>
              </w:rPr>
            </w:pPr>
            <w:r>
              <w:rPr>
                <w:rFonts w:ascii="Arial" w:cs="Arial" w:eastAsia="Arial" w:hAnsi="Arial"/>
                <w:sz w:val="14"/>
                <w:szCs w:val="14"/>
                <w:color w:val="auto"/>
              </w:rPr>
              <w:t>1,075,115</w:t>
            </w:r>
          </w:p>
        </w:tc>
        <w:tc>
          <w:tcPr>
            <w:tcW w:w="0" w:type="dxa"/>
            <w:vAlign w:val="bottom"/>
          </w:tcPr>
          <w:p>
            <w:pPr>
              <w:spacing w:after="0"/>
              <w:rPr>
                <w:sz w:val="1"/>
                <w:szCs w:val="1"/>
                <w:color w:val="auto"/>
              </w:rPr>
            </w:pPr>
          </w:p>
        </w:tc>
      </w:tr>
      <w:tr>
        <w:trPr>
          <w:trHeight w:val="256"/>
        </w:trPr>
        <w:tc>
          <w:tcPr>
            <w:tcW w:w="2840" w:type="dxa"/>
            <w:vAlign w:val="bottom"/>
            <w:shd w:val="clear" w:color="auto" w:fill="EAEFF2"/>
          </w:tcPr>
          <w:p>
            <w:pPr>
              <w:ind w:left="60"/>
              <w:spacing w:after="0"/>
              <w:rPr>
                <w:sz w:val="20"/>
                <w:szCs w:val="20"/>
                <w:color w:val="auto"/>
              </w:rPr>
            </w:pPr>
            <w:r>
              <w:rPr>
                <w:rFonts w:ascii="Arial" w:cs="Arial" w:eastAsia="Arial" w:hAnsi="Arial"/>
                <w:sz w:val="13"/>
                <w:szCs w:val="13"/>
                <w:b w:val="1"/>
                <w:bCs w:val="1"/>
                <w:color w:val="auto"/>
              </w:rPr>
              <w:t>ELLEN F. WHITTEMORE</w:t>
            </w:r>
          </w:p>
        </w:tc>
        <w:tc>
          <w:tcPr>
            <w:tcW w:w="80" w:type="dxa"/>
            <w:vAlign w:val="bottom"/>
            <w:shd w:val="clear" w:color="auto" w:fill="EAEFF2"/>
          </w:tcPr>
          <w:p>
            <w:pPr>
              <w:spacing w:after="0"/>
              <w:rPr>
                <w:sz w:val="22"/>
                <w:szCs w:val="22"/>
                <w:color w:val="auto"/>
              </w:rPr>
            </w:pPr>
          </w:p>
        </w:tc>
        <w:tc>
          <w:tcPr>
            <w:tcW w:w="740" w:type="dxa"/>
            <w:vAlign w:val="bottom"/>
            <w:shd w:val="clear" w:color="auto" w:fill="EAEFF2"/>
          </w:tcPr>
          <w:p>
            <w:pPr>
              <w:jc w:val="right"/>
              <w:spacing w:after="0"/>
              <w:rPr>
                <w:sz w:val="20"/>
                <w:szCs w:val="20"/>
                <w:color w:val="auto"/>
              </w:rPr>
            </w:pPr>
            <w:r>
              <w:rPr>
                <w:rFonts w:ascii="Arial" w:cs="Arial" w:eastAsia="Arial" w:hAnsi="Arial"/>
                <w:sz w:val="14"/>
                <w:szCs w:val="14"/>
                <w:color w:val="auto"/>
              </w:rPr>
              <w:t>3/23/2020</w:t>
            </w:r>
          </w:p>
        </w:tc>
        <w:tc>
          <w:tcPr>
            <w:tcW w:w="80" w:type="dxa"/>
            <w:vAlign w:val="bottom"/>
            <w:shd w:val="clear" w:color="auto" w:fill="EAEFF2"/>
          </w:tcPr>
          <w:p>
            <w:pPr>
              <w:spacing w:after="0"/>
              <w:rPr>
                <w:sz w:val="22"/>
                <w:szCs w:val="22"/>
                <w:color w:val="auto"/>
              </w:rPr>
            </w:pPr>
          </w:p>
        </w:tc>
        <w:tc>
          <w:tcPr>
            <w:tcW w:w="140" w:type="dxa"/>
            <w:vAlign w:val="bottom"/>
            <w:shd w:val="clear" w:color="auto" w:fill="EAEFF2"/>
          </w:tcPr>
          <w:p>
            <w:pPr>
              <w:spacing w:after="0"/>
              <w:rPr>
                <w:sz w:val="22"/>
                <w:szCs w:val="22"/>
                <w:color w:val="auto"/>
              </w:rPr>
            </w:pPr>
          </w:p>
        </w:tc>
        <w:tc>
          <w:tcPr>
            <w:tcW w:w="7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2"/>
                <w:szCs w:val="22"/>
                <w:color w:val="auto"/>
              </w:rPr>
            </w:pPr>
          </w:p>
        </w:tc>
        <w:tc>
          <w:tcPr>
            <w:tcW w:w="68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EFF2"/>
          </w:tcPr>
          <w:p>
            <w:pPr>
              <w:spacing w:after="0"/>
              <w:rPr>
                <w:sz w:val="22"/>
                <w:szCs w:val="22"/>
                <w:color w:val="auto"/>
              </w:rPr>
            </w:pPr>
          </w:p>
        </w:tc>
        <w:tc>
          <w:tcPr>
            <w:tcW w:w="72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FF2"/>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EAEFF2"/>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FF2"/>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AEFF2"/>
          </w:tcPr>
          <w:p>
            <w:pPr>
              <w:jc w:val="right"/>
              <w:spacing w:after="0" w:line="257" w:lineRule="exact"/>
              <w:rPr>
                <w:sz w:val="20"/>
                <w:szCs w:val="20"/>
                <w:color w:val="auto"/>
              </w:rPr>
            </w:pPr>
            <w:r>
              <w:rPr>
                <w:rFonts w:ascii="Arial" w:cs="Arial" w:eastAsia="Arial" w:hAnsi="Arial"/>
                <w:sz w:val="28"/>
                <w:szCs w:val="28"/>
                <w:color w:val="auto"/>
                <w:vertAlign w:val="subscript"/>
              </w:rPr>
              <w:t>3,929</w:t>
            </w:r>
            <w:r>
              <w:rPr>
                <w:rFonts w:ascii="Arial" w:cs="Arial" w:eastAsia="Arial" w:hAnsi="Arial"/>
                <w:sz w:val="12"/>
                <w:szCs w:val="12"/>
                <w:color w:val="auto"/>
              </w:rPr>
              <w:t>(7)(10)</w:t>
            </w:r>
          </w:p>
        </w:tc>
        <w:tc>
          <w:tcPr>
            <w:tcW w:w="16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2"/>
                <w:szCs w:val="22"/>
                <w:color w:val="auto"/>
              </w:rPr>
            </w:pPr>
          </w:p>
        </w:tc>
        <w:tc>
          <w:tcPr>
            <w:tcW w:w="740" w:type="dxa"/>
            <w:vAlign w:val="bottom"/>
            <w:shd w:val="clear" w:color="auto" w:fill="EAEFF2"/>
          </w:tcPr>
          <w:p>
            <w:pPr>
              <w:jc w:val="right"/>
              <w:ind w:right="151"/>
              <w:spacing w:after="0"/>
              <w:rPr>
                <w:sz w:val="20"/>
                <w:szCs w:val="20"/>
                <w:color w:val="auto"/>
              </w:rPr>
            </w:pPr>
            <w:r>
              <w:rPr>
                <w:rFonts w:ascii="Arial" w:cs="Arial" w:eastAsia="Arial" w:hAnsi="Arial"/>
                <w:sz w:val="14"/>
                <w:szCs w:val="14"/>
                <w:color w:val="auto"/>
                <w:w w:val="98"/>
              </w:rPr>
              <w:t>226,193</w:t>
            </w:r>
          </w:p>
        </w:tc>
        <w:tc>
          <w:tcPr>
            <w:tcW w:w="0" w:type="dxa"/>
            <w:vAlign w:val="bottom"/>
          </w:tcPr>
          <w:p>
            <w:pPr>
              <w:spacing w:after="0"/>
              <w:rPr>
                <w:sz w:val="1"/>
                <w:szCs w:val="1"/>
                <w:color w:val="auto"/>
              </w:rPr>
            </w:pPr>
          </w:p>
        </w:tc>
      </w:tr>
      <w:tr>
        <w:trPr>
          <w:trHeight w:val="257"/>
        </w:trPr>
        <w:tc>
          <w:tcPr>
            <w:tcW w:w="2840" w:type="dxa"/>
            <w:vAlign w:val="bottom"/>
            <w:shd w:val="clear" w:color="auto" w:fill="EAEFF2"/>
          </w:tcPr>
          <w:p>
            <w:pPr>
              <w:spacing w:after="0"/>
              <w:rPr>
                <w:sz w:val="22"/>
                <w:szCs w:val="22"/>
                <w:color w:val="auto"/>
              </w:rPr>
            </w:pPr>
          </w:p>
        </w:tc>
        <w:tc>
          <w:tcPr>
            <w:tcW w:w="80" w:type="dxa"/>
            <w:vAlign w:val="bottom"/>
            <w:shd w:val="clear" w:color="auto" w:fill="EAEFF2"/>
          </w:tcPr>
          <w:p>
            <w:pPr>
              <w:spacing w:after="0"/>
              <w:rPr>
                <w:sz w:val="22"/>
                <w:szCs w:val="22"/>
                <w:color w:val="auto"/>
              </w:rPr>
            </w:pPr>
          </w:p>
        </w:tc>
        <w:tc>
          <w:tcPr>
            <w:tcW w:w="740" w:type="dxa"/>
            <w:vAlign w:val="bottom"/>
            <w:shd w:val="clear" w:color="auto" w:fill="EAEFF2"/>
          </w:tcPr>
          <w:p>
            <w:pPr>
              <w:jc w:val="right"/>
              <w:spacing w:after="0"/>
              <w:rPr>
                <w:sz w:val="20"/>
                <w:szCs w:val="20"/>
                <w:color w:val="auto"/>
              </w:rPr>
            </w:pPr>
            <w:r>
              <w:rPr>
                <w:rFonts w:ascii="Arial" w:cs="Arial" w:eastAsia="Arial" w:hAnsi="Arial"/>
                <w:sz w:val="14"/>
                <w:szCs w:val="14"/>
                <w:color w:val="auto"/>
              </w:rPr>
              <w:t>8/18/2020</w:t>
            </w:r>
          </w:p>
        </w:tc>
        <w:tc>
          <w:tcPr>
            <w:tcW w:w="80" w:type="dxa"/>
            <w:vAlign w:val="bottom"/>
            <w:shd w:val="clear" w:color="auto" w:fill="EAEFF2"/>
          </w:tcPr>
          <w:p>
            <w:pPr>
              <w:spacing w:after="0"/>
              <w:rPr>
                <w:sz w:val="22"/>
                <w:szCs w:val="22"/>
                <w:color w:val="auto"/>
              </w:rPr>
            </w:pPr>
          </w:p>
        </w:tc>
        <w:tc>
          <w:tcPr>
            <w:tcW w:w="140" w:type="dxa"/>
            <w:vAlign w:val="bottom"/>
            <w:shd w:val="clear" w:color="auto" w:fill="EAEFF2"/>
          </w:tcPr>
          <w:p>
            <w:pPr>
              <w:spacing w:after="0"/>
              <w:rPr>
                <w:sz w:val="22"/>
                <w:szCs w:val="22"/>
                <w:color w:val="auto"/>
              </w:rPr>
            </w:pPr>
          </w:p>
        </w:tc>
        <w:tc>
          <w:tcPr>
            <w:tcW w:w="7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2"/>
                <w:szCs w:val="22"/>
                <w:color w:val="auto"/>
              </w:rPr>
            </w:pPr>
          </w:p>
        </w:tc>
        <w:tc>
          <w:tcPr>
            <w:tcW w:w="68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EFF2"/>
          </w:tcPr>
          <w:p>
            <w:pPr>
              <w:spacing w:after="0"/>
              <w:rPr>
                <w:sz w:val="22"/>
                <w:szCs w:val="22"/>
                <w:color w:val="auto"/>
              </w:rPr>
            </w:pPr>
          </w:p>
        </w:tc>
        <w:tc>
          <w:tcPr>
            <w:tcW w:w="72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FF2"/>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EAEFF2"/>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FF2"/>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AEFF2"/>
          </w:tcPr>
          <w:p>
            <w:pPr>
              <w:jc w:val="right"/>
              <w:spacing w:after="0" w:line="257" w:lineRule="exact"/>
              <w:rPr>
                <w:sz w:val="20"/>
                <w:szCs w:val="20"/>
                <w:color w:val="auto"/>
              </w:rPr>
            </w:pPr>
            <w:r>
              <w:rPr>
                <w:rFonts w:ascii="Arial" w:cs="Arial" w:eastAsia="Arial" w:hAnsi="Arial"/>
                <w:sz w:val="28"/>
                <w:szCs w:val="28"/>
                <w:color w:val="auto"/>
                <w:vertAlign w:val="subscript"/>
              </w:rPr>
              <w:t>6,585</w:t>
            </w:r>
            <w:r>
              <w:rPr>
                <w:rFonts w:ascii="Arial" w:cs="Arial" w:eastAsia="Arial" w:hAnsi="Arial"/>
                <w:sz w:val="12"/>
                <w:szCs w:val="12"/>
                <w:color w:val="auto"/>
              </w:rPr>
              <w:t>(7)(11)</w:t>
            </w:r>
          </w:p>
        </w:tc>
        <w:tc>
          <w:tcPr>
            <w:tcW w:w="16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2"/>
                <w:szCs w:val="22"/>
                <w:color w:val="auto"/>
              </w:rPr>
            </w:pPr>
          </w:p>
        </w:tc>
        <w:tc>
          <w:tcPr>
            <w:tcW w:w="740" w:type="dxa"/>
            <w:vAlign w:val="bottom"/>
            <w:shd w:val="clear" w:color="auto" w:fill="EAEFF2"/>
          </w:tcPr>
          <w:p>
            <w:pPr>
              <w:jc w:val="right"/>
              <w:ind w:right="151"/>
              <w:spacing w:after="0"/>
              <w:rPr>
                <w:sz w:val="20"/>
                <w:szCs w:val="20"/>
                <w:color w:val="auto"/>
              </w:rPr>
            </w:pPr>
            <w:r>
              <w:rPr>
                <w:rFonts w:ascii="Arial" w:cs="Arial" w:eastAsia="Arial" w:hAnsi="Arial"/>
                <w:sz w:val="14"/>
                <w:szCs w:val="14"/>
                <w:color w:val="auto"/>
                <w:w w:val="98"/>
              </w:rPr>
              <w:t>537,534</w:t>
            </w:r>
          </w:p>
        </w:tc>
        <w:tc>
          <w:tcPr>
            <w:tcW w:w="0" w:type="dxa"/>
            <w:vAlign w:val="bottom"/>
          </w:tcPr>
          <w:p>
            <w:pPr>
              <w:spacing w:after="0"/>
              <w:rPr>
                <w:sz w:val="1"/>
                <w:szCs w:val="1"/>
                <w:color w:val="auto"/>
              </w:rPr>
            </w:pPr>
          </w:p>
        </w:tc>
      </w:tr>
      <w:tr>
        <w:trPr>
          <w:trHeight w:val="256"/>
        </w:trPr>
        <w:tc>
          <w:tcPr>
            <w:tcW w:w="2840" w:type="dxa"/>
            <w:vAlign w:val="bottom"/>
            <w:shd w:val="clear" w:color="auto" w:fill="EAEFF2"/>
          </w:tcPr>
          <w:p>
            <w:pPr>
              <w:spacing w:after="0"/>
              <w:rPr>
                <w:sz w:val="22"/>
                <w:szCs w:val="22"/>
                <w:color w:val="auto"/>
              </w:rPr>
            </w:pPr>
          </w:p>
        </w:tc>
        <w:tc>
          <w:tcPr>
            <w:tcW w:w="80" w:type="dxa"/>
            <w:vAlign w:val="bottom"/>
            <w:shd w:val="clear" w:color="auto" w:fill="EAEFF2"/>
          </w:tcPr>
          <w:p>
            <w:pPr>
              <w:spacing w:after="0"/>
              <w:rPr>
                <w:sz w:val="22"/>
                <w:szCs w:val="22"/>
                <w:color w:val="auto"/>
              </w:rPr>
            </w:pPr>
          </w:p>
        </w:tc>
        <w:tc>
          <w:tcPr>
            <w:tcW w:w="740" w:type="dxa"/>
            <w:vAlign w:val="bottom"/>
            <w:shd w:val="clear" w:color="auto" w:fill="EAEFF2"/>
          </w:tcPr>
          <w:p>
            <w:pPr>
              <w:jc w:val="right"/>
              <w:spacing w:after="0"/>
              <w:rPr>
                <w:sz w:val="20"/>
                <w:szCs w:val="20"/>
                <w:color w:val="auto"/>
              </w:rPr>
            </w:pPr>
            <w:r>
              <w:rPr>
                <w:rFonts w:ascii="Arial" w:cs="Arial" w:eastAsia="Arial" w:hAnsi="Arial"/>
                <w:sz w:val="14"/>
                <w:szCs w:val="14"/>
                <w:color w:val="auto"/>
              </w:rPr>
              <w:t>12/11/2020</w:t>
            </w:r>
          </w:p>
        </w:tc>
        <w:tc>
          <w:tcPr>
            <w:tcW w:w="80" w:type="dxa"/>
            <w:vAlign w:val="bottom"/>
            <w:shd w:val="clear" w:color="auto" w:fill="EAEFF2"/>
          </w:tcPr>
          <w:p>
            <w:pPr>
              <w:spacing w:after="0"/>
              <w:rPr>
                <w:sz w:val="22"/>
                <w:szCs w:val="22"/>
                <w:color w:val="auto"/>
              </w:rPr>
            </w:pPr>
          </w:p>
        </w:tc>
        <w:tc>
          <w:tcPr>
            <w:tcW w:w="140" w:type="dxa"/>
            <w:vAlign w:val="bottom"/>
            <w:shd w:val="clear" w:color="auto" w:fill="EAEFF2"/>
          </w:tcPr>
          <w:p>
            <w:pPr>
              <w:spacing w:after="0"/>
              <w:rPr>
                <w:sz w:val="22"/>
                <w:szCs w:val="22"/>
                <w:color w:val="auto"/>
              </w:rPr>
            </w:pPr>
          </w:p>
        </w:tc>
        <w:tc>
          <w:tcPr>
            <w:tcW w:w="7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2"/>
                <w:szCs w:val="22"/>
                <w:color w:val="auto"/>
              </w:rPr>
            </w:pPr>
          </w:p>
        </w:tc>
        <w:tc>
          <w:tcPr>
            <w:tcW w:w="68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160" w:type="dxa"/>
            <w:vAlign w:val="bottom"/>
            <w:shd w:val="clear" w:color="auto" w:fill="EAEFF2"/>
          </w:tcPr>
          <w:p>
            <w:pPr>
              <w:spacing w:after="0"/>
              <w:rPr>
                <w:sz w:val="22"/>
                <w:szCs w:val="22"/>
                <w:color w:val="auto"/>
              </w:rPr>
            </w:pPr>
          </w:p>
        </w:tc>
        <w:tc>
          <w:tcPr>
            <w:tcW w:w="720" w:type="dxa"/>
            <w:vAlign w:val="bottom"/>
            <w:shd w:val="clear" w:color="auto" w:fill="EAEFF2"/>
          </w:tcPr>
          <w:p>
            <w:pPr>
              <w:jc w:val="right"/>
              <w:ind w:right="10"/>
              <w:spacing w:after="0"/>
              <w:rPr>
                <w:sz w:val="20"/>
                <w:szCs w:val="20"/>
                <w:color w:val="auto"/>
              </w:rPr>
            </w:pPr>
            <w:r>
              <w:rPr>
                <w:rFonts w:ascii="Arial" w:cs="Arial" w:eastAsia="Arial" w:hAnsi="Arial"/>
                <w:sz w:val="14"/>
                <w:szCs w:val="14"/>
                <w:color w:val="auto"/>
              </w:rPr>
              <w:t>-</w:t>
            </w:r>
          </w:p>
        </w:tc>
        <w:tc>
          <w:tcPr>
            <w:tcW w:w="840" w:type="dxa"/>
            <w:vAlign w:val="bottom"/>
            <w:shd w:val="clear" w:color="auto" w:fill="EAEFF2"/>
          </w:tcPr>
          <w:p>
            <w:pPr>
              <w:jc w:val="right"/>
              <w:ind w:right="12"/>
              <w:spacing w:after="0"/>
              <w:rPr>
                <w:sz w:val="20"/>
                <w:szCs w:val="20"/>
                <w:color w:val="auto"/>
              </w:rPr>
            </w:pPr>
            <w:r>
              <w:rPr>
                <w:rFonts w:ascii="Arial" w:cs="Arial" w:eastAsia="Arial" w:hAnsi="Arial"/>
                <w:sz w:val="14"/>
                <w:szCs w:val="14"/>
                <w:color w:val="auto"/>
              </w:rPr>
              <w:t>-</w:t>
            </w:r>
          </w:p>
        </w:tc>
        <w:tc>
          <w:tcPr>
            <w:tcW w:w="740" w:type="dxa"/>
            <w:vAlign w:val="bottom"/>
            <w:shd w:val="clear" w:color="auto" w:fill="EAEFF2"/>
          </w:tcPr>
          <w:p>
            <w:pPr>
              <w:jc w:val="right"/>
              <w:ind w:right="50"/>
              <w:spacing w:after="0"/>
              <w:rPr>
                <w:sz w:val="20"/>
                <w:szCs w:val="20"/>
                <w:color w:val="auto"/>
              </w:rPr>
            </w:pPr>
            <w:r>
              <w:rPr>
                <w:rFonts w:ascii="Arial" w:cs="Arial" w:eastAsia="Arial" w:hAnsi="Arial"/>
                <w:sz w:val="14"/>
                <w:szCs w:val="14"/>
                <w:color w:val="auto"/>
              </w:rPr>
              <w:t>-</w:t>
            </w:r>
          </w:p>
        </w:tc>
        <w:tc>
          <w:tcPr>
            <w:tcW w:w="700" w:type="dxa"/>
            <w:vAlign w:val="bottom"/>
            <w:shd w:val="clear" w:color="auto" w:fill="EAEFF2"/>
          </w:tcPr>
          <w:p>
            <w:pPr>
              <w:jc w:val="right"/>
              <w:ind w:right="30"/>
              <w:spacing w:after="0"/>
              <w:rPr>
                <w:sz w:val="20"/>
                <w:szCs w:val="20"/>
                <w:color w:val="auto"/>
              </w:rPr>
            </w:pPr>
            <w:r>
              <w:rPr>
                <w:rFonts w:ascii="Arial" w:cs="Arial" w:eastAsia="Arial" w:hAnsi="Arial"/>
                <w:sz w:val="14"/>
                <w:szCs w:val="14"/>
                <w:color w:val="auto"/>
              </w:rPr>
              <w:t>-</w:t>
            </w:r>
          </w:p>
        </w:tc>
        <w:tc>
          <w:tcPr>
            <w:tcW w:w="1280" w:type="dxa"/>
            <w:vAlign w:val="bottom"/>
            <w:shd w:val="clear" w:color="auto" w:fill="EAEFF2"/>
          </w:tcPr>
          <w:p>
            <w:pPr>
              <w:jc w:val="right"/>
              <w:spacing w:after="0" w:line="257" w:lineRule="exact"/>
              <w:rPr>
                <w:sz w:val="20"/>
                <w:szCs w:val="20"/>
                <w:color w:val="auto"/>
              </w:rPr>
            </w:pPr>
            <w:r>
              <w:rPr>
                <w:rFonts w:ascii="Arial" w:cs="Arial" w:eastAsia="Arial" w:hAnsi="Arial"/>
                <w:sz w:val="28"/>
                <w:szCs w:val="28"/>
                <w:color w:val="auto"/>
                <w:vertAlign w:val="subscript"/>
              </w:rPr>
              <w:t>1,382</w:t>
            </w:r>
            <w:r>
              <w:rPr>
                <w:rFonts w:ascii="Arial" w:cs="Arial" w:eastAsia="Arial" w:hAnsi="Arial"/>
                <w:sz w:val="12"/>
                <w:szCs w:val="12"/>
                <w:color w:val="auto"/>
              </w:rPr>
              <w:t>(7)(12)</w:t>
            </w:r>
          </w:p>
        </w:tc>
        <w:tc>
          <w:tcPr>
            <w:tcW w:w="16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EAEFF2"/>
          </w:tcPr>
          <w:p>
            <w:pPr>
              <w:spacing w:after="0"/>
              <w:rPr>
                <w:sz w:val="22"/>
                <w:szCs w:val="22"/>
                <w:color w:val="auto"/>
              </w:rPr>
            </w:pPr>
          </w:p>
        </w:tc>
        <w:tc>
          <w:tcPr>
            <w:tcW w:w="740" w:type="dxa"/>
            <w:vAlign w:val="bottom"/>
            <w:shd w:val="clear" w:color="auto" w:fill="EAEFF2"/>
          </w:tcPr>
          <w:p>
            <w:pPr>
              <w:jc w:val="right"/>
              <w:ind w:right="151"/>
              <w:spacing w:after="0"/>
              <w:rPr>
                <w:sz w:val="20"/>
                <w:szCs w:val="20"/>
                <w:color w:val="auto"/>
              </w:rPr>
            </w:pPr>
            <w:r>
              <w:rPr>
                <w:rFonts w:ascii="Arial" w:cs="Arial" w:eastAsia="Arial" w:hAnsi="Arial"/>
                <w:sz w:val="14"/>
                <w:szCs w:val="14"/>
                <w:color w:val="auto"/>
                <w:w w:val="98"/>
              </w:rPr>
              <w:t>249,824</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0" w:right="20" w:hanging="4"/>
        <w:spacing w:after="0" w:line="221" w:lineRule="auto"/>
        <w:tabs>
          <w:tab w:leader="none" w:pos="286" w:val="left"/>
        </w:tabs>
        <w:numPr>
          <w:ilvl w:val="0"/>
          <w:numId w:val="77"/>
        </w:numPr>
        <w:rPr>
          <w:rFonts w:ascii="Arial" w:cs="Arial" w:eastAsia="Arial" w:hAnsi="Arial"/>
          <w:sz w:val="11"/>
          <w:szCs w:val="11"/>
          <w:color w:val="auto"/>
        </w:rPr>
      </w:pPr>
      <w:r>
        <w:rPr>
          <w:rFonts w:ascii="Arial" w:cs="Arial" w:eastAsia="Arial" w:hAnsi="Arial"/>
          <w:sz w:val="13"/>
          <w:szCs w:val="13"/>
          <w:color w:val="auto"/>
        </w:rPr>
        <w:t>The potential 2020 performance-based annual incentive awards that could have been earned for 2020 are subject to (a) the limitations set forth in the Omnibus Plan, including the cash and stock grant limits and continued employment through the end of the performance period, (b) the Compensation Committee’s ability to reduce awards in its discretion and (c) the Compensation Committee’s discretion to pay a portion of the awards in shares of Common Stock. Actual awards were based upon achievement of the 2020 performance criteria: (i) achievement of a second half 2020 North America Adjusted Property EBITDA goal and (ii) achievement of a second half 2020 Macau Market Share goal. In addition, the Compensation Committee exercised its discretion to reduce the potential 2020 annual incentive award to a potential target of 40% of contractual targets. The targets included in the table reflect 40% of contractual targets. Actual payouts are described in “Compensation Discussion and Analysis-How We Designed Incentives for 2020-Elements of Pay.”</w:t>
      </w:r>
    </w:p>
    <w:p>
      <w:pPr>
        <w:spacing w:after="0" w:line="92" w:lineRule="exact"/>
        <w:rPr>
          <w:rFonts w:ascii="Arial" w:cs="Arial" w:eastAsia="Arial" w:hAnsi="Arial"/>
          <w:sz w:val="11"/>
          <w:szCs w:val="11"/>
          <w:color w:val="auto"/>
        </w:rPr>
      </w:pPr>
    </w:p>
    <w:p>
      <w:pPr>
        <w:ind w:left="120" w:right="20" w:hanging="4"/>
        <w:spacing w:after="0" w:line="239" w:lineRule="auto"/>
        <w:tabs>
          <w:tab w:leader="none" w:pos="286" w:val="left"/>
        </w:tabs>
        <w:numPr>
          <w:ilvl w:val="0"/>
          <w:numId w:val="77"/>
        </w:numPr>
        <w:rPr>
          <w:rFonts w:ascii="Arial" w:cs="Arial" w:eastAsia="Arial" w:hAnsi="Arial"/>
          <w:sz w:val="10"/>
          <w:szCs w:val="10"/>
          <w:color w:val="auto"/>
        </w:rPr>
      </w:pPr>
      <w:r>
        <w:rPr>
          <w:rFonts w:ascii="Arial" w:cs="Arial" w:eastAsia="Arial" w:hAnsi="Arial"/>
          <w:sz w:val="12"/>
          <w:szCs w:val="12"/>
          <w:color w:val="auto"/>
        </w:rPr>
        <w:t>In connection with an extension of Mr. Maddox’s employment agreement, Mr. Maddox was awarded a potential of 180,000 shares that all vest based on the achievement of performance criteria, including criteria related to company-specific gaming licensure in certain jurisdictions, free cash flow targets, certain property-level gaming statistical targets, and certain corporate responsibility measures. The amounts in each Threshold, Target, and Maximum column represent the potential achievement of each of the performance criteria at each given level. It was determined that 97,500 shares were probable of vesting on the date of grant or thereafter, which totaled $10,798,125 of compensation. It was determined that 82,500 shares were not probable of vesting on the date of grant. The grant date fair value as presented does not reflect $9,136,875 of compensation related to the awards that were determined not to be probable of vesting (together with the probable portion of the award, the highest level of achievement is $19,935,000). In light of the pandemic, and in an effort to provide equity incentives to management broadly throughout the Company, on August 18, 2020, Mr. Maddox requested, and the Compensation Committee agreed, to cancel 140,000 shares of the February 2020 performance share grant ($6.4 million at grant date value).</w:t>
      </w:r>
    </w:p>
    <w:p>
      <w:pPr>
        <w:spacing w:after="0" w:line="91" w:lineRule="exact"/>
        <w:rPr>
          <w:rFonts w:ascii="Arial" w:cs="Arial" w:eastAsia="Arial" w:hAnsi="Arial"/>
          <w:sz w:val="10"/>
          <w:szCs w:val="10"/>
          <w:color w:val="auto"/>
        </w:rPr>
      </w:pPr>
    </w:p>
    <w:p>
      <w:pPr>
        <w:ind w:left="120" w:right="540" w:hanging="4"/>
        <w:spacing w:after="0" w:line="223" w:lineRule="auto"/>
        <w:tabs>
          <w:tab w:leader="none" w:pos="286" w:val="left"/>
        </w:tabs>
        <w:numPr>
          <w:ilvl w:val="0"/>
          <w:numId w:val="77"/>
        </w:numPr>
        <w:rPr>
          <w:rFonts w:ascii="Arial" w:cs="Arial" w:eastAsia="Arial" w:hAnsi="Arial"/>
          <w:sz w:val="11"/>
          <w:szCs w:val="11"/>
          <w:color w:val="auto"/>
        </w:rPr>
      </w:pPr>
      <w:r>
        <w:rPr>
          <w:rFonts w:ascii="Arial" w:cs="Arial" w:eastAsia="Arial" w:hAnsi="Arial"/>
          <w:sz w:val="13"/>
          <w:szCs w:val="13"/>
          <w:color w:val="auto"/>
        </w:rPr>
        <w:t>The amounts set forth in this column reflect the aggregate grant date fair value of stock awards and stock options computed in accordance with accounting standards for stock-based compensation. Performance-based restricted share awards in this column are reflected based on the probable outcome of such conditions as of the applicable grant date in accordance with accounting standards for stock-based compensation. See our Annual Report on Form 10-K for the year ended December 31, 2020, Item 8, Note 12 -“Stock-Based Compensation” to our Consolidated Financial Statements for assumptions used in computing fair value.</w:t>
      </w:r>
    </w:p>
    <w:p>
      <w:pPr>
        <w:spacing w:after="0" w:line="92" w:lineRule="exact"/>
        <w:rPr>
          <w:rFonts w:ascii="Arial" w:cs="Arial" w:eastAsia="Arial" w:hAnsi="Arial"/>
          <w:sz w:val="11"/>
          <w:szCs w:val="11"/>
          <w:color w:val="auto"/>
        </w:rPr>
      </w:pPr>
    </w:p>
    <w:p>
      <w:pPr>
        <w:ind w:left="120" w:right="60" w:hanging="4"/>
        <w:spacing w:after="0" w:line="225" w:lineRule="auto"/>
        <w:tabs>
          <w:tab w:leader="none" w:pos="286" w:val="left"/>
        </w:tabs>
        <w:numPr>
          <w:ilvl w:val="0"/>
          <w:numId w:val="77"/>
        </w:numPr>
        <w:rPr>
          <w:rFonts w:ascii="Arial" w:cs="Arial" w:eastAsia="Arial" w:hAnsi="Arial"/>
          <w:sz w:val="11"/>
          <w:szCs w:val="11"/>
          <w:color w:val="auto"/>
        </w:rPr>
      </w:pPr>
      <w:r>
        <w:rPr>
          <w:rFonts w:ascii="Arial" w:cs="Arial" w:eastAsia="Arial" w:hAnsi="Arial"/>
          <w:sz w:val="13"/>
          <w:szCs w:val="13"/>
          <w:color w:val="auto"/>
        </w:rPr>
        <w:t>Amounts in the Threshold column reflect potential awards for achievement of second half 2020 North America Adjusted Property EBITDA between $(7.0) million to $0 and achievement of second half 2020 Macau market share between 10% and 11.99%. No awards would have been payable under if the second half North America Adjusted Property EBITDA was below $(7.0) million and second half Macau market share was below 10%.</w:t>
      </w:r>
    </w:p>
    <w:p>
      <w:pPr>
        <w:spacing w:after="0" w:line="92" w:lineRule="exact"/>
        <w:rPr>
          <w:rFonts w:ascii="Arial" w:cs="Arial" w:eastAsia="Arial" w:hAnsi="Arial"/>
          <w:sz w:val="11"/>
          <w:szCs w:val="11"/>
          <w:color w:val="auto"/>
        </w:rPr>
      </w:pPr>
    </w:p>
    <w:p>
      <w:pPr>
        <w:ind w:left="120" w:right="80" w:hanging="4"/>
        <w:spacing w:after="0" w:line="230" w:lineRule="auto"/>
        <w:tabs>
          <w:tab w:leader="none" w:pos="286" w:val="left"/>
        </w:tabs>
        <w:numPr>
          <w:ilvl w:val="0"/>
          <w:numId w:val="77"/>
        </w:numPr>
        <w:rPr>
          <w:rFonts w:ascii="Arial" w:cs="Arial" w:eastAsia="Arial" w:hAnsi="Arial"/>
          <w:sz w:val="11"/>
          <w:szCs w:val="11"/>
          <w:color w:val="auto"/>
        </w:rPr>
      </w:pPr>
      <w:r>
        <w:rPr>
          <w:rFonts w:ascii="Arial" w:cs="Arial" w:eastAsia="Arial" w:hAnsi="Arial"/>
          <w:sz w:val="13"/>
          <w:szCs w:val="13"/>
          <w:color w:val="auto"/>
        </w:rPr>
        <w:t>Amounts in the Target column reflect potential awards for achievement of second half 2020 North America Adjusted Property EBITDA between $0 through $60 million and achievement of second half 2020 Macau market share between 12% and 15.99%.</w:t>
      </w:r>
    </w:p>
    <w:p>
      <w:pPr>
        <w:spacing w:after="0" w:line="91" w:lineRule="exact"/>
        <w:rPr>
          <w:rFonts w:ascii="Arial" w:cs="Arial" w:eastAsia="Arial" w:hAnsi="Arial"/>
          <w:sz w:val="11"/>
          <w:szCs w:val="11"/>
          <w:color w:val="auto"/>
        </w:rPr>
      </w:pPr>
    </w:p>
    <w:p>
      <w:pPr>
        <w:ind w:left="120" w:right="100" w:hanging="4"/>
        <w:spacing w:after="0" w:line="230" w:lineRule="auto"/>
        <w:tabs>
          <w:tab w:leader="none" w:pos="280" w:val="left"/>
        </w:tabs>
        <w:numPr>
          <w:ilvl w:val="0"/>
          <w:numId w:val="77"/>
        </w:numPr>
        <w:rPr>
          <w:rFonts w:ascii="Arial" w:cs="Arial" w:eastAsia="Arial" w:hAnsi="Arial"/>
          <w:sz w:val="11"/>
          <w:szCs w:val="11"/>
          <w:color w:val="auto"/>
        </w:rPr>
      </w:pPr>
      <w:r>
        <w:rPr>
          <w:rFonts w:ascii="Arial" w:cs="Arial" w:eastAsia="Arial" w:hAnsi="Arial"/>
          <w:sz w:val="13"/>
          <w:szCs w:val="13"/>
          <w:color w:val="auto"/>
        </w:rPr>
        <w:t>Amounts in the Maximum column reflect potential awards for achievement of second half 2020 North America Adjusted Property EBITDA above $60 million and achievement of second half 2020 Macau market share above 16%.</w:t>
      </w:r>
    </w:p>
    <w:p>
      <w:pPr>
        <w:spacing w:after="0" w:line="48" w:lineRule="exact"/>
        <w:rPr>
          <w:sz w:val="20"/>
          <w:szCs w:val="20"/>
          <w:color w:val="auto"/>
        </w:rPr>
      </w:pPr>
    </w:p>
    <w:p>
      <w:pPr>
        <w:ind w:left="800" w:hanging="684"/>
        <w:spacing w:after="0"/>
        <w:tabs>
          <w:tab w:leader="none" w:pos="800" w:val="left"/>
        </w:tabs>
        <w:numPr>
          <w:ilvl w:val="0"/>
          <w:numId w:val="78"/>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8" w:lineRule="exact"/>
        <w:rPr>
          <w:sz w:val="20"/>
          <w:szCs w:val="20"/>
          <w:color w:val="auto"/>
        </w:rPr>
      </w:pPr>
    </w:p>
    <w:p>
      <w:pPr>
        <w:ind w:left="120" w:right="60" w:hanging="4"/>
        <w:spacing w:after="0" w:line="230" w:lineRule="auto"/>
        <w:tabs>
          <w:tab w:leader="none" w:pos="286" w:val="left"/>
        </w:tabs>
        <w:numPr>
          <w:ilvl w:val="0"/>
          <w:numId w:val="79"/>
        </w:numPr>
        <w:rPr>
          <w:rFonts w:ascii="Arial" w:cs="Arial" w:eastAsia="Arial" w:hAnsi="Arial"/>
          <w:sz w:val="11"/>
          <w:szCs w:val="11"/>
          <w:color w:val="auto"/>
        </w:rPr>
      </w:pPr>
      <w:r>
        <w:rPr>
          <w:rFonts w:ascii="Arial" w:cs="Arial" w:eastAsia="Arial" w:hAnsi="Arial"/>
          <w:sz w:val="13"/>
          <w:szCs w:val="13"/>
          <w:color w:val="auto"/>
        </w:rPr>
        <w:t>The shares granted may be subject to certain accelerated vesting provisions as described below under “Potential Payments upon Termination or Change in Control” if the executive’s employment is terminated prior to the vesting date.</w:t>
      </w:r>
    </w:p>
    <w:p>
      <w:pPr>
        <w:spacing w:after="0" w:line="91" w:lineRule="exact"/>
        <w:rPr>
          <w:rFonts w:ascii="Arial" w:cs="Arial" w:eastAsia="Arial" w:hAnsi="Arial"/>
          <w:sz w:val="11"/>
          <w:szCs w:val="11"/>
          <w:color w:val="auto"/>
        </w:rPr>
      </w:pPr>
    </w:p>
    <w:p>
      <w:pPr>
        <w:jc w:val="both"/>
        <w:ind w:left="120" w:right="200" w:hanging="4"/>
        <w:spacing w:after="0" w:line="223" w:lineRule="auto"/>
        <w:tabs>
          <w:tab w:leader="none" w:pos="286" w:val="left"/>
        </w:tabs>
        <w:numPr>
          <w:ilvl w:val="0"/>
          <w:numId w:val="79"/>
        </w:numPr>
        <w:rPr>
          <w:rFonts w:ascii="Arial" w:cs="Arial" w:eastAsia="Arial" w:hAnsi="Arial"/>
          <w:sz w:val="11"/>
          <w:szCs w:val="11"/>
          <w:color w:val="auto"/>
        </w:rPr>
      </w:pPr>
      <w:r>
        <w:rPr>
          <w:rFonts w:ascii="Arial" w:cs="Arial" w:eastAsia="Arial" w:hAnsi="Arial"/>
          <w:sz w:val="13"/>
          <w:szCs w:val="13"/>
          <w:color w:val="auto"/>
        </w:rPr>
        <w:t>Mr. Maddox and Ms. Whittemore were granted 39,994 and 7,166 shares of restricted stock respectively. The restricted stock awards provided that 50% of the shares would vest on January 14, 2023 subject to continued employment and 50% of the shares would vest on March 1, 2023 which are subject to the achievement of pre-established property-level revenue and Adjusted Property EBITDA performance goals and continued employment. Mr. Billings was granted 7,332 shares of restricted stock and would vest on March 1, 2023 subject to the achievement of pre-established property-level revenue and Adjusted Property EBITDA performance goals and continued employment.</w:t>
      </w:r>
    </w:p>
    <w:p>
      <w:pPr>
        <w:spacing w:after="0" w:line="92" w:lineRule="exact"/>
        <w:rPr>
          <w:rFonts w:ascii="Arial" w:cs="Arial" w:eastAsia="Arial" w:hAnsi="Arial"/>
          <w:sz w:val="11"/>
          <w:szCs w:val="11"/>
          <w:color w:val="auto"/>
        </w:rPr>
      </w:pPr>
    </w:p>
    <w:p>
      <w:pPr>
        <w:ind w:left="280" w:hanging="164"/>
        <w:spacing w:after="0"/>
        <w:tabs>
          <w:tab w:leader="none" w:pos="280" w:val="left"/>
        </w:tabs>
        <w:numPr>
          <w:ilvl w:val="0"/>
          <w:numId w:val="79"/>
        </w:numPr>
        <w:rPr>
          <w:rFonts w:ascii="Arial" w:cs="Arial" w:eastAsia="Arial" w:hAnsi="Arial"/>
          <w:sz w:val="11"/>
          <w:szCs w:val="11"/>
          <w:color w:val="auto"/>
        </w:rPr>
      </w:pPr>
      <w:r>
        <w:rPr>
          <w:rFonts w:ascii="Arial" w:cs="Arial" w:eastAsia="Arial" w:hAnsi="Arial"/>
          <w:sz w:val="13"/>
          <w:szCs w:val="13"/>
          <w:color w:val="auto"/>
        </w:rPr>
        <w:t>Mr. Billings was granted 7,332 restricted shares that vest based the achievement of company-specific gaming licensure in certain jurisdictions and continued employment.</w:t>
      </w:r>
    </w:p>
    <w:p>
      <w:pPr>
        <w:spacing w:after="0" w:line="93" w:lineRule="exact"/>
        <w:rPr>
          <w:rFonts w:ascii="Arial" w:cs="Arial" w:eastAsia="Arial" w:hAnsi="Arial"/>
          <w:sz w:val="11"/>
          <w:szCs w:val="11"/>
          <w:color w:val="auto"/>
        </w:rPr>
      </w:pPr>
    </w:p>
    <w:p>
      <w:pPr>
        <w:ind w:left="120" w:right="40" w:hanging="4"/>
        <w:spacing w:after="0" w:line="220" w:lineRule="auto"/>
        <w:tabs>
          <w:tab w:leader="none" w:pos="345" w:val="left"/>
        </w:tabs>
        <w:numPr>
          <w:ilvl w:val="0"/>
          <w:numId w:val="79"/>
        </w:numPr>
        <w:rPr>
          <w:rFonts w:ascii="Arial" w:cs="Arial" w:eastAsia="Arial" w:hAnsi="Arial"/>
          <w:sz w:val="11"/>
          <w:szCs w:val="11"/>
          <w:color w:val="auto"/>
        </w:rPr>
      </w:pPr>
      <w:r>
        <w:rPr>
          <w:rFonts w:ascii="Arial" w:cs="Arial" w:eastAsia="Arial" w:hAnsi="Arial"/>
          <w:sz w:val="13"/>
          <w:szCs w:val="13"/>
          <w:color w:val="auto"/>
        </w:rPr>
        <w:t>On March 23, 2020, Mr. Maddox elected to receive 100% of the remainder of his contractual annual salary in the form of a restricted stock grant (in lieu of cash), Mr. Billings elected to receive 50% of the reminder of his contractual annual salary in the form of a restricted stock grant (in lieu of cash), and Ms. Whittemore elected to receive 35% of the remainder of her annual salary in the form of a restricted stock grant (in lieu of cash). The number of shares each Named Executive Officer received was determined based on the total amount of each of their respective base salaries for the remainder of the year and the 3-day volume weighted average of the Company’s stock price ending on March 20, 2020. As these shares were granted in lieu of cash for the calendar year 2020 base salary, the shares vested in full on December 31, 2020. The amount presented in this table represents the entire grant date fair value of the award in accordance with applicable accounting standards. The amount included in the Stock Awards column of the Summary Compensation Table for each of the Named Executive Officers includes only the incremental amount of the award that exceeds each NEO’s applicable base salary amount for which cash was not received.</w:t>
      </w:r>
    </w:p>
    <w:p>
      <w:pPr>
        <w:spacing w:after="0" w:line="93" w:lineRule="exact"/>
        <w:rPr>
          <w:rFonts w:ascii="Arial" w:cs="Arial" w:eastAsia="Arial" w:hAnsi="Arial"/>
          <w:sz w:val="11"/>
          <w:szCs w:val="11"/>
          <w:color w:val="auto"/>
        </w:rPr>
      </w:pPr>
    </w:p>
    <w:p>
      <w:pPr>
        <w:ind w:left="340" w:hanging="224"/>
        <w:spacing w:after="0"/>
        <w:tabs>
          <w:tab w:leader="none" w:pos="340" w:val="left"/>
        </w:tabs>
        <w:numPr>
          <w:ilvl w:val="0"/>
          <w:numId w:val="79"/>
        </w:numPr>
        <w:rPr>
          <w:rFonts w:ascii="Arial" w:cs="Arial" w:eastAsia="Arial" w:hAnsi="Arial"/>
          <w:sz w:val="11"/>
          <w:szCs w:val="11"/>
          <w:color w:val="auto"/>
        </w:rPr>
      </w:pPr>
      <w:r>
        <w:rPr>
          <w:rFonts w:ascii="Arial" w:cs="Arial" w:eastAsia="Arial" w:hAnsi="Arial"/>
          <w:sz w:val="13"/>
          <w:szCs w:val="13"/>
          <w:color w:val="auto"/>
        </w:rPr>
        <w:t>These shares vest on August 18, 2021 subject to continued employment.</w:t>
      </w:r>
    </w:p>
    <w:p>
      <w:pPr>
        <w:spacing w:after="0" w:line="93" w:lineRule="exact"/>
        <w:rPr>
          <w:rFonts w:ascii="Arial" w:cs="Arial" w:eastAsia="Arial" w:hAnsi="Arial"/>
          <w:sz w:val="11"/>
          <w:szCs w:val="11"/>
          <w:color w:val="auto"/>
        </w:rPr>
      </w:pPr>
    </w:p>
    <w:p>
      <w:pPr>
        <w:ind w:left="120" w:right="40" w:hanging="4"/>
        <w:spacing w:after="0" w:line="230" w:lineRule="auto"/>
        <w:tabs>
          <w:tab w:leader="none" w:pos="345" w:val="left"/>
        </w:tabs>
        <w:numPr>
          <w:ilvl w:val="0"/>
          <w:numId w:val="79"/>
        </w:numPr>
        <w:rPr>
          <w:rFonts w:ascii="Arial" w:cs="Arial" w:eastAsia="Arial" w:hAnsi="Arial"/>
          <w:sz w:val="11"/>
          <w:szCs w:val="11"/>
          <w:color w:val="auto"/>
        </w:rPr>
      </w:pPr>
      <w:r>
        <w:rPr>
          <w:rFonts w:ascii="Arial" w:cs="Arial" w:eastAsia="Arial" w:hAnsi="Arial"/>
          <w:sz w:val="13"/>
          <w:szCs w:val="13"/>
          <w:color w:val="auto"/>
        </w:rPr>
        <w:t>On December 11, 2020, Messrs. Maddox and Billings and Ms. Whittemore were granted options to acquire shares of Wynn Interactive that vest 25% each year for the four-year period ending on December 11, 2024, subject to continued employment.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31"/>
          <w:szCs w:val="31"/>
          <w:color w:val="0A1E42"/>
        </w:rPr>
        <w:t>Outstanding equity awards at fiscal year-end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13716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95160" cy="1371600"/>
                    </a:xfrm>
                    <a:prstGeom prst="rect">
                      <a:avLst/>
                    </a:prstGeom>
                    <a:noFill/>
                  </pic:spPr>
                </pic:pic>
              </a:graphicData>
            </a:graphic>
          </wp:anchor>
        </w:drawing>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3180" w:type="dxa"/>
            <w:vAlign w:val="bottom"/>
            <w:shd w:val="clear" w:color="auto" w:fill="F4F4E5"/>
          </w:tcPr>
          <w:p>
            <w:pPr>
              <w:spacing w:after="0"/>
              <w:rPr>
                <w:sz w:val="17"/>
                <w:szCs w:val="17"/>
                <w:color w:val="auto"/>
              </w:rPr>
            </w:pPr>
          </w:p>
        </w:tc>
        <w:tc>
          <w:tcPr>
            <w:tcW w:w="1540" w:type="dxa"/>
            <w:vAlign w:val="bottom"/>
            <w:shd w:val="clear" w:color="auto" w:fill="F4F4E5"/>
          </w:tcPr>
          <w:p>
            <w:pPr>
              <w:spacing w:after="0"/>
              <w:rPr>
                <w:sz w:val="17"/>
                <w:szCs w:val="17"/>
                <w:color w:val="auto"/>
              </w:rPr>
            </w:pPr>
          </w:p>
        </w:tc>
        <w:tc>
          <w:tcPr>
            <w:tcW w:w="2560" w:type="dxa"/>
            <w:vAlign w:val="bottom"/>
            <w:gridSpan w:val="2"/>
            <w:shd w:val="clear" w:color="auto" w:fill="F4F4E5"/>
          </w:tcPr>
          <w:p>
            <w:pPr>
              <w:ind w:left="720"/>
              <w:spacing w:after="0"/>
              <w:rPr>
                <w:sz w:val="20"/>
                <w:szCs w:val="20"/>
                <w:color w:val="auto"/>
              </w:rPr>
            </w:pPr>
            <w:r>
              <w:rPr>
                <w:rFonts w:ascii="Arial" w:cs="Arial" w:eastAsia="Arial" w:hAnsi="Arial"/>
                <w:sz w:val="13"/>
                <w:szCs w:val="13"/>
                <w:b w:val="1"/>
                <w:bCs w:val="1"/>
                <w:color w:val="auto"/>
              </w:rPr>
              <w:t>OPTION AWARDS</w:t>
            </w:r>
          </w:p>
        </w:tc>
        <w:tc>
          <w:tcPr>
            <w:tcW w:w="1300" w:type="dxa"/>
            <w:vAlign w:val="bottom"/>
            <w:shd w:val="clear" w:color="auto" w:fill="F4F4E5"/>
          </w:tcPr>
          <w:p>
            <w:pPr>
              <w:spacing w:after="0"/>
              <w:rPr>
                <w:sz w:val="17"/>
                <w:szCs w:val="17"/>
                <w:color w:val="auto"/>
              </w:rPr>
            </w:pPr>
          </w:p>
        </w:tc>
        <w:tc>
          <w:tcPr>
            <w:tcW w:w="2440" w:type="dxa"/>
            <w:vAlign w:val="bottom"/>
            <w:gridSpan w:val="3"/>
            <w:shd w:val="clear" w:color="auto" w:fill="F4F4E5"/>
          </w:tcPr>
          <w:p>
            <w:pPr>
              <w:jc w:val="right"/>
              <w:ind w:right="533"/>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64"/>
        </w:trPr>
        <w:tc>
          <w:tcPr>
            <w:tcW w:w="3180" w:type="dxa"/>
            <w:vAlign w:val="bottom"/>
            <w:shd w:val="clear" w:color="auto" w:fill="F4F4E5"/>
          </w:tcPr>
          <w:p>
            <w:pPr>
              <w:spacing w:after="0"/>
              <w:rPr>
                <w:sz w:val="14"/>
                <w:szCs w:val="14"/>
                <w:color w:val="auto"/>
              </w:rPr>
            </w:pPr>
          </w:p>
        </w:tc>
        <w:tc>
          <w:tcPr>
            <w:tcW w:w="1540" w:type="dxa"/>
            <w:vAlign w:val="bottom"/>
            <w:shd w:val="clear" w:color="auto" w:fill="F4F4E5"/>
          </w:tcPr>
          <w:p>
            <w:pPr>
              <w:spacing w:after="0"/>
              <w:rPr>
                <w:sz w:val="14"/>
                <w:szCs w:val="14"/>
                <w:color w:val="auto"/>
              </w:rPr>
            </w:pPr>
          </w:p>
        </w:tc>
        <w:tc>
          <w:tcPr>
            <w:tcW w:w="1500" w:type="dxa"/>
            <w:vAlign w:val="bottom"/>
            <w:shd w:val="clear" w:color="auto" w:fill="F4F4E5"/>
          </w:tcPr>
          <w:p>
            <w:pPr>
              <w:spacing w:after="0"/>
              <w:rPr>
                <w:sz w:val="14"/>
                <w:szCs w:val="14"/>
                <w:color w:val="auto"/>
              </w:rPr>
            </w:pPr>
          </w:p>
        </w:tc>
        <w:tc>
          <w:tcPr>
            <w:tcW w:w="1060" w:type="dxa"/>
            <w:vAlign w:val="bottom"/>
            <w:shd w:val="clear" w:color="auto" w:fill="F4F4E5"/>
          </w:tcPr>
          <w:p>
            <w:pPr>
              <w:spacing w:after="0"/>
              <w:rPr>
                <w:sz w:val="14"/>
                <w:szCs w:val="14"/>
                <w:color w:val="auto"/>
              </w:rPr>
            </w:pPr>
          </w:p>
        </w:tc>
        <w:tc>
          <w:tcPr>
            <w:tcW w:w="1300" w:type="dxa"/>
            <w:vAlign w:val="bottom"/>
            <w:shd w:val="clear" w:color="auto" w:fill="F4F4E5"/>
          </w:tcPr>
          <w:p>
            <w:pPr>
              <w:spacing w:after="0"/>
              <w:rPr>
                <w:sz w:val="14"/>
                <w:szCs w:val="14"/>
                <w:color w:val="auto"/>
              </w:rPr>
            </w:pPr>
          </w:p>
        </w:tc>
        <w:tc>
          <w:tcPr>
            <w:tcW w:w="1220" w:type="dxa"/>
            <w:vAlign w:val="bottom"/>
            <w:shd w:val="clear" w:color="auto" w:fill="F4F4E5"/>
          </w:tcPr>
          <w:p>
            <w:pPr>
              <w:jc w:val="center"/>
              <w:spacing w:after="0"/>
              <w:rPr>
                <w:sz w:val="20"/>
                <w:szCs w:val="20"/>
                <w:color w:val="auto"/>
              </w:rPr>
            </w:pPr>
            <w:r>
              <w:rPr>
                <w:rFonts w:ascii="Arial" w:cs="Arial" w:eastAsia="Arial" w:hAnsi="Arial"/>
                <w:sz w:val="13"/>
                <w:szCs w:val="13"/>
                <w:b w:val="1"/>
                <w:bCs w:val="1"/>
                <w:color w:val="auto"/>
                <w:w w:val="99"/>
              </w:rPr>
              <w:t>NUMBER OF</w:t>
            </w:r>
          </w:p>
        </w:tc>
        <w:tc>
          <w:tcPr>
            <w:tcW w:w="1220" w:type="dxa"/>
            <w:vAlign w:val="bottom"/>
            <w:gridSpan w:val="2"/>
            <w:shd w:val="clear" w:color="auto" w:fill="F4F4E5"/>
          </w:tcPr>
          <w:p>
            <w:pPr>
              <w:jc w:val="center"/>
              <w:ind w:left="134"/>
              <w:spacing w:after="0"/>
              <w:rPr>
                <w:sz w:val="20"/>
                <w:szCs w:val="20"/>
                <w:color w:val="auto"/>
              </w:rPr>
            </w:pPr>
            <w:r>
              <w:rPr>
                <w:rFonts w:ascii="Arial" w:cs="Arial" w:eastAsia="Arial" w:hAnsi="Arial"/>
                <w:sz w:val="13"/>
                <w:szCs w:val="13"/>
                <w:b w:val="1"/>
                <w:bCs w:val="1"/>
                <w:color w:val="auto"/>
                <w:w w:val="94"/>
              </w:rPr>
              <w:t>MARKET VALUE</w:t>
            </w:r>
          </w:p>
        </w:tc>
        <w:tc>
          <w:tcPr>
            <w:tcW w:w="0" w:type="dxa"/>
            <w:vAlign w:val="bottom"/>
          </w:tcPr>
          <w:p>
            <w:pPr>
              <w:spacing w:after="0"/>
              <w:rPr>
                <w:sz w:val="1"/>
                <w:szCs w:val="1"/>
                <w:color w:val="auto"/>
              </w:rPr>
            </w:pPr>
          </w:p>
        </w:tc>
      </w:tr>
      <w:tr>
        <w:trPr>
          <w:trHeight w:val="135"/>
        </w:trPr>
        <w:tc>
          <w:tcPr>
            <w:tcW w:w="3180" w:type="dxa"/>
            <w:vAlign w:val="bottom"/>
            <w:shd w:val="clear" w:color="auto" w:fill="F4F4E5"/>
          </w:tcPr>
          <w:p>
            <w:pPr>
              <w:spacing w:after="0"/>
              <w:rPr>
                <w:sz w:val="11"/>
                <w:szCs w:val="11"/>
                <w:color w:val="auto"/>
              </w:rPr>
            </w:pPr>
          </w:p>
        </w:tc>
        <w:tc>
          <w:tcPr>
            <w:tcW w:w="1540" w:type="dxa"/>
            <w:vAlign w:val="bottom"/>
            <w:shd w:val="clear" w:color="auto" w:fill="F4F4E5"/>
          </w:tcPr>
          <w:p>
            <w:pPr>
              <w:jc w:val="center"/>
              <w:ind w:left="114"/>
              <w:spacing w:after="0" w:line="135" w:lineRule="exact"/>
              <w:rPr>
                <w:sz w:val="20"/>
                <w:szCs w:val="20"/>
                <w:color w:val="auto"/>
              </w:rPr>
            </w:pPr>
            <w:r>
              <w:rPr>
                <w:rFonts w:ascii="Arial" w:cs="Arial" w:eastAsia="Arial" w:hAnsi="Arial"/>
                <w:sz w:val="13"/>
                <w:szCs w:val="13"/>
                <w:b w:val="1"/>
                <w:bCs w:val="1"/>
                <w:color w:val="auto"/>
                <w:w w:val="96"/>
              </w:rPr>
              <w:t>NUMBER OF</w:t>
            </w:r>
          </w:p>
        </w:tc>
        <w:tc>
          <w:tcPr>
            <w:tcW w:w="150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1060" w:type="dxa"/>
            <w:vAlign w:val="bottom"/>
            <w:shd w:val="clear" w:color="auto" w:fill="F4F4E5"/>
          </w:tcPr>
          <w:p>
            <w:pPr>
              <w:spacing w:after="0"/>
              <w:rPr>
                <w:sz w:val="11"/>
                <w:szCs w:val="11"/>
                <w:color w:val="auto"/>
              </w:rPr>
            </w:pPr>
          </w:p>
        </w:tc>
        <w:tc>
          <w:tcPr>
            <w:tcW w:w="1300" w:type="dxa"/>
            <w:vAlign w:val="bottom"/>
            <w:shd w:val="clear" w:color="auto" w:fill="F4F4E5"/>
          </w:tcPr>
          <w:p>
            <w:pPr>
              <w:spacing w:after="0"/>
              <w:rPr>
                <w:sz w:val="11"/>
                <w:szCs w:val="11"/>
                <w:color w:val="auto"/>
              </w:rPr>
            </w:pPr>
          </w:p>
        </w:tc>
        <w:tc>
          <w:tcPr>
            <w:tcW w:w="122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1220" w:type="dxa"/>
            <w:vAlign w:val="bottom"/>
            <w:gridSpan w:val="2"/>
            <w:shd w:val="clear" w:color="auto" w:fill="F4F4E5"/>
          </w:tcPr>
          <w:p>
            <w:pPr>
              <w:jc w:val="center"/>
              <w:ind w:left="134"/>
              <w:spacing w:after="0" w:line="135" w:lineRule="exact"/>
              <w:rPr>
                <w:sz w:val="20"/>
                <w:szCs w:val="20"/>
                <w:color w:val="auto"/>
              </w:rPr>
            </w:pPr>
            <w:r>
              <w:rPr>
                <w:rFonts w:ascii="Arial" w:cs="Arial" w:eastAsia="Arial" w:hAnsi="Arial"/>
                <w:sz w:val="13"/>
                <w:szCs w:val="13"/>
                <w:b w:val="1"/>
                <w:bCs w:val="1"/>
                <w:color w:val="auto"/>
                <w:w w:val="97"/>
              </w:rPr>
              <w:t>OF SHARES</w:t>
            </w:r>
          </w:p>
        </w:tc>
        <w:tc>
          <w:tcPr>
            <w:tcW w:w="0" w:type="dxa"/>
            <w:vAlign w:val="bottom"/>
          </w:tcPr>
          <w:p>
            <w:pPr>
              <w:spacing w:after="0"/>
              <w:rPr>
                <w:sz w:val="1"/>
                <w:szCs w:val="1"/>
                <w:color w:val="auto"/>
              </w:rPr>
            </w:pPr>
          </w:p>
        </w:tc>
      </w:tr>
      <w:tr>
        <w:trPr>
          <w:trHeight w:val="135"/>
        </w:trPr>
        <w:tc>
          <w:tcPr>
            <w:tcW w:w="3180" w:type="dxa"/>
            <w:vAlign w:val="bottom"/>
            <w:shd w:val="clear" w:color="auto" w:fill="F4F4E5"/>
          </w:tcPr>
          <w:p>
            <w:pPr>
              <w:spacing w:after="0"/>
              <w:rPr>
                <w:sz w:val="11"/>
                <w:szCs w:val="11"/>
                <w:color w:val="auto"/>
              </w:rPr>
            </w:pPr>
          </w:p>
        </w:tc>
        <w:tc>
          <w:tcPr>
            <w:tcW w:w="1540" w:type="dxa"/>
            <w:vAlign w:val="bottom"/>
            <w:shd w:val="clear" w:color="auto" w:fill="F4F4E5"/>
          </w:tcPr>
          <w:p>
            <w:pPr>
              <w:jc w:val="center"/>
              <w:ind w:left="114"/>
              <w:spacing w:after="0" w:line="135" w:lineRule="exact"/>
              <w:rPr>
                <w:sz w:val="20"/>
                <w:szCs w:val="20"/>
                <w:color w:val="auto"/>
              </w:rPr>
            </w:pPr>
            <w:r>
              <w:rPr>
                <w:rFonts w:ascii="Arial" w:cs="Arial" w:eastAsia="Arial" w:hAnsi="Arial"/>
                <w:sz w:val="13"/>
                <w:szCs w:val="13"/>
                <w:b w:val="1"/>
                <w:bCs w:val="1"/>
                <w:color w:val="auto"/>
                <w:w w:val="97"/>
              </w:rPr>
              <w:t>SECURITIES</w:t>
            </w:r>
          </w:p>
        </w:tc>
        <w:tc>
          <w:tcPr>
            <w:tcW w:w="150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7"/>
              </w:rPr>
              <w:t>SECURITIES</w:t>
            </w:r>
          </w:p>
        </w:tc>
        <w:tc>
          <w:tcPr>
            <w:tcW w:w="1060" w:type="dxa"/>
            <w:vAlign w:val="bottom"/>
            <w:shd w:val="clear" w:color="auto" w:fill="F4F4E5"/>
          </w:tcPr>
          <w:p>
            <w:pPr>
              <w:spacing w:after="0"/>
              <w:rPr>
                <w:sz w:val="11"/>
                <w:szCs w:val="11"/>
                <w:color w:val="auto"/>
              </w:rPr>
            </w:pPr>
          </w:p>
        </w:tc>
        <w:tc>
          <w:tcPr>
            <w:tcW w:w="1300" w:type="dxa"/>
            <w:vAlign w:val="bottom"/>
            <w:shd w:val="clear" w:color="auto" w:fill="F4F4E5"/>
          </w:tcPr>
          <w:p>
            <w:pPr>
              <w:spacing w:after="0"/>
              <w:rPr>
                <w:sz w:val="11"/>
                <w:szCs w:val="11"/>
                <w:color w:val="auto"/>
              </w:rPr>
            </w:pPr>
          </w:p>
        </w:tc>
        <w:tc>
          <w:tcPr>
            <w:tcW w:w="122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400" w:type="dxa"/>
            <w:vAlign w:val="bottom"/>
            <w:shd w:val="clear" w:color="auto" w:fill="F4F4E5"/>
          </w:tcPr>
          <w:p>
            <w:pPr>
              <w:spacing w:after="0"/>
              <w:rPr>
                <w:sz w:val="11"/>
                <w:szCs w:val="11"/>
                <w:color w:val="auto"/>
              </w:rPr>
            </w:pPr>
          </w:p>
        </w:tc>
        <w:tc>
          <w:tcPr>
            <w:tcW w:w="820" w:type="dxa"/>
            <w:vAlign w:val="bottom"/>
            <w:shd w:val="clear" w:color="auto" w:fill="F4F4E5"/>
          </w:tcPr>
          <w:p>
            <w:pPr>
              <w:jc w:val="center"/>
              <w:ind w:right="113"/>
              <w:spacing w:after="0" w:line="135" w:lineRule="exact"/>
              <w:rPr>
                <w:sz w:val="20"/>
                <w:szCs w:val="20"/>
                <w:color w:val="auto"/>
              </w:rPr>
            </w:pPr>
            <w:r>
              <w:rPr>
                <w:rFonts w:ascii="Arial" w:cs="Arial" w:eastAsia="Arial" w:hAnsi="Arial"/>
                <w:sz w:val="13"/>
                <w:szCs w:val="13"/>
                <w:b w:val="1"/>
                <w:bCs w:val="1"/>
                <w:color w:val="auto"/>
                <w:w w:val="96"/>
              </w:rPr>
              <w:t>OR UNITS</w:t>
            </w:r>
          </w:p>
        </w:tc>
        <w:tc>
          <w:tcPr>
            <w:tcW w:w="0" w:type="dxa"/>
            <w:vAlign w:val="bottom"/>
          </w:tcPr>
          <w:p>
            <w:pPr>
              <w:spacing w:after="0"/>
              <w:rPr>
                <w:sz w:val="1"/>
                <w:szCs w:val="1"/>
                <w:color w:val="auto"/>
              </w:rPr>
            </w:pPr>
          </w:p>
        </w:tc>
      </w:tr>
      <w:tr>
        <w:trPr>
          <w:trHeight w:val="135"/>
        </w:trPr>
        <w:tc>
          <w:tcPr>
            <w:tcW w:w="3180" w:type="dxa"/>
            <w:vAlign w:val="bottom"/>
            <w:shd w:val="clear" w:color="auto" w:fill="F4F4E5"/>
          </w:tcPr>
          <w:p>
            <w:pPr>
              <w:spacing w:after="0"/>
              <w:rPr>
                <w:sz w:val="11"/>
                <w:szCs w:val="11"/>
                <w:color w:val="auto"/>
              </w:rPr>
            </w:pPr>
          </w:p>
        </w:tc>
        <w:tc>
          <w:tcPr>
            <w:tcW w:w="1540" w:type="dxa"/>
            <w:vAlign w:val="bottom"/>
            <w:shd w:val="clear" w:color="auto" w:fill="F4F4E5"/>
          </w:tcPr>
          <w:p>
            <w:pPr>
              <w:jc w:val="center"/>
              <w:ind w:left="134"/>
              <w:spacing w:after="0" w:line="135" w:lineRule="exact"/>
              <w:rPr>
                <w:sz w:val="20"/>
                <w:szCs w:val="20"/>
                <w:color w:val="auto"/>
              </w:rPr>
            </w:pPr>
            <w:r>
              <w:rPr>
                <w:rFonts w:ascii="Arial" w:cs="Arial" w:eastAsia="Arial" w:hAnsi="Arial"/>
                <w:sz w:val="13"/>
                <w:szCs w:val="13"/>
                <w:b w:val="1"/>
                <w:bCs w:val="1"/>
                <w:color w:val="auto"/>
                <w:w w:val="95"/>
              </w:rPr>
              <w:t>UNDERLYING</w:t>
            </w:r>
          </w:p>
        </w:tc>
        <w:tc>
          <w:tcPr>
            <w:tcW w:w="150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5"/>
              </w:rPr>
              <w:t>UNDERLYING</w:t>
            </w:r>
          </w:p>
        </w:tc>
        <w:tc>
          <w:tcPr>
            <w:tcW w:w="1060" w:type="dxa"/>
            <w:vAlign w:val="bottom"/>
            <w:shd w:val="clear" w:color="auto" w:fill="F4F4E5"/>
          </w:tcPr>
          <w:p>
            <w:pPr>
              <w:spacing w:after="0"/>
              <w:rPr>
                <w:sz w:val="11"/>
                <w:szCs w:val="11"/>
                <w:color w:val="auto"/>
              </w:rPr>
            </w:pPr>
          </w:p>
        </w:tc>
        <w:tc>
          <w:tcPr>
            <w:tcW w:w="1300" w:type="dxa"/>
            <w:vAlign w:val="bottom"/>
            <w:shd w:val="clear" w:color="auto" w:fill="F4F4E5"/>
          </w:tcPr>
          <w:p>
            <w:pPr>
              <w:spacing w:after="0"/>
              <w:rPr>
                <w:sz w:val="11"/>
                <w:szCs w:val="11"/>
                <w:color w:val="auto"/>
              </w:rPr>
            </w:pPr>
          </w:p>
        </w:tc>
        <w:tc>
          <w:tcPr>
            <w:tcW w:w="122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5"/>
              </w:rPr>
              <w:t>STOCK THAT</w:t>
            </w:r>
          </w:p>
        </w:tc>
        <w:tc>
          <w:tcPr>
            <w:tcW w:w="1220" w:type="dxa"/>
            <w:vAlign w:val="bottom"/>
            <w:gridSpan w:val="2"/>
            <w:shd w:val="clear" w:color="auto" w:fill="F4F4E5"/>
          </w:tcPr>
          <w:p>
            <w:pPr>
              <w:jc w:val="center"/>
              <w:ind w:left="134"/>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3180" w:type="dxa"/>
            <w:vAlign w:val="bottom"/>
            <w:shd w:val="clear" w:color="auto" w:fill="F4F4E5"/>
          </w:tcPr>
          <w:p>
            <w:pPr>
              <w:spacing w:after="0"/>
              <w:rPr>
                <w:sz w:val="11"/>
                <w:szCs w:val="11"/>
                <w:color w:val="auto"/>
              </w:rPr>
            </w:pPr>
          </w:p>
        </w:tc>
        <w:tc>
          <w:tcPr>
            <w:tcW w:w="1540" w:type="dxa"/>
            <w:vAlign w:val="bottom"/>
            <w:shd w:val="clear" w:color="auto" w:fill="F4F4E5"/>
          </w:tcPr>
          <w:p>
            <w:pPr>
              <w:jc w:val="center"/>
              <w:ind w:left="134"/>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50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7"/>
              </w:rPr>
              <w:t>UNEXERCISED</w:t>
            </w:r>
          </w:p>
        </w:tc>
        <w:tc>
          <w:tcPr>
            <w:tcW w:w="106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OPTION</w:t>
            </w:r>
          </w:p>
        </w:tc>
        <w:tc>
          <w:tcPr>
            <w:tcW w:w="130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OPTION</w:t>
            </w:r>
          </w:p>
        </w:tc>
        <w:tc>
          <w:tcPr>
            <w:tcW w:w="122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8"/>
              </w:rPr>
              <w:t>HAVE NOT</w:t>
            </w:r>
          </w:p>
        </w:tc>
        <w:tc>
          <w:tcPr>
            <w:tcW w:w="1220" w:type="dxa"/>
            <w:vAlign w:val="bottom"/>
            <w:gridSpan w:val="2"/>
            <w:shd w:val="clear" w:color="auto" w:fill="F4F4E5"/>
          </w:tcPr>
          <w:p>
            <w:pPr>
              <w:jc w:val="center"/>
              <w:ind w:left="134"/>
              <w:spacing w:after="0" w:line="135" w:lineRule="exact"/>
              <w:rPr>
                <w:sz w:val="20"/>
                <w:szCs w:val="20"/>
                <w:color w:val="auto"/>
              </w:rPr>
            </w:pPr>
            <w:r>
              <w:rPr>
                <w:rFonts w:ascii="Arial" w:cs="Arial" w:eastAsia="Arial" w:hAnsi="Arial"/>
                <w:sz w:val="13"/>
                <w:szCs w:val="13"/>
                <w:b w:val="1"/>
                <w:bCs w:val="1"/>
                <w:color w:val="auto"/>
                <w:w w:val="94"/>
              </w:rPr>
              <w:t>THAT HAVE</w:t>
            </w:r>
          </w:p>
        </w:tc>
        <w:tc>
          <w:tcPr>
            <w:tcW w:w="0" w:type="dxa"/>
            <w:vAlign w:val="bottom"/>
          </w:tcPr>
          <w:p>
            <w:pPr>
              <w:spacing w:after="0"/>
              <w:rPr>
                <w:sz w:val="1"/>
                <w:szCs w:val="1"/>
                <w:color w:val="auto"/>
              </w:rPr>
            </w:pPr>
          </w:p>
        </w:tc>
      </w:tr>
      <w:tr>
        <w:trPr>
          <w:trHeight w:val="135"/>
        </w:trPr>
        <w:tc>
          <w:tcPr>
            <w:tcW w:w="3180" w:type="dxa"/>
            <w:vAlign w:val="bottom"/>
            <w:shd w:val="clear" w:color="auto" w:fill="F4F4E5"/>
          </w:tcPr>
          <w:p>
            <w:pPr>
              <w:spacing w:after="0"/>
              <w:rPr>
                <w:sz w:val="11"/>
                <w:szCs w:val="11"/>
                <w:color w:val="auto"/>
              </w:rPr>
            </w:pPr>
          </w:p>
        </w:tc>
        <w:tc>
          <w:tcPr>
            <w:tcW w:w="1540" w:type="dxa"/>
            <w:vAlign w:val="bottom"/>
            <w:shd w:val="clear" w:color="auto" w:fill="F4F4E5"/>
          </w:tcPr>
          <w:p>
            <w:pPr>
              <w:jc w:val="center"/>
              <w:ind w:left="114"/>
              <w:spacing w:after="0" w:line="135" w:lineRule="exact"/>
              <w:rPr>
                <w:sz w:val="20"/>
                <w:szCs w:val="20"/>
                <w:color w:val="auto"/>
              </w:rPr>
            </w:pPr>
            <w:r>
              <w:rPr>
                <w:rFonts w:ascii="Arial" w:cs="Arial" w:eastAsia="Arial" w:hAnsi="Arial"/>
                <w:sz w:val="13"/>
                <w:szCs w:val="13"/>
                <w:b w:val="1"/>
                <w:bCs w:val="1"/>
                <w:color w:val="auto"/>
                <w:w w:val="96"/>
              </w:rPr>
              <w:t>OPTIONS(#)</w:t>
            </w:r>
          </w:p>
        </w:tc>
        <w:tc>
          <w:tcPr>
            <w:tcW w:w="150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OPTIONS(#)</w:t>
            </w:r>
          </w:p>
        </w:tc>
        <w:tc>
          <w:tcPr>
            <w:tcW w:w="106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7"/>
              </w:rPr>
              <w:t>EXERCISE</w:t>
            </w:r>
          </w:p>
        </w:tc>
        <w:tc>
          <w:tcPr>
            <w:tcW w:w="130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5"/>
              </w:rPr>
              <w:t>EXPIRATION</w:t>
            </w:r>
          </w:p>
        </w:tc>
        <w:tc>
          <w:tcPr>
            <w:tcW w:w="122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VESTED</w:t>
            </w:r>
          </w:p>
        </w:tc>
        <w:tc>
          <w:tcPr>
            <w:tcW w:w="1220" w:type="dxa"/>
            <w:vAlign w:val="bottom"/>
            <w:gridSpan w:val="2"/>
            <w:shd w:val="clear" w:color="auto" w:fill="F4F4E5"/>
          </w:tcPr>
          <w:p>
            <w:pPr>
              <w:jc w:val="center"/>
              <w:ind w:left="154"/>
              <w:spacing w:after="0" w:line="135" w:lineRule="exact"/>
              <w:rPr>
                <w:sz w:val="20"/>
                <w:szCs w:val="20"/>
                <w:color w:val="auto"/>
              </w:rPr>
            </w:pPr>
            <w:r>
              <w:rPr>
                <w:rFonts w:ascii="Arial" w:cs="Arial" w:eastAsia="Arial" w:hAnsi="Arial"/>
                <w:sz w:val="13"/>
                <w:szCs w:val="13"/>
                <w:b w:val="1"/>
                <w:bCs w:val="1"/>
                <w:color w:val="auto"/>
                <w:w w:val="96"/>
              </w:rPr>
              <w:t>NOT VESTED</w:t>
            </w:r>
          </w:p>
        </w:tc>
        <w:tc>
          <w:tcPr>
            <w:tcW w:w="0" w:type="dxa"/>
            <w:vAlign w:val="bottom"/>
          </w:tcPr>
          <w:p>
            <w:pPr>
              <w:spacing w:after="0"/>
              <w:rPr>
                <w:sz w:val="1"/>
                <w:szCs w:val="1"/>
                <w:color w:val="auto"/>
              </w:rPr>
            </w:pPr>
          </w:p>
        </w:tc>
      </w:tr>
      <w:tr>
        <w:trPr>
          <w:trHeight w:val="173"/>
        </w:trPr>
        <w:tc>
          <w:tcPr>
            <w:tcW w:w="3180" w:type="dxa"/>
            <w:vAlign w:val="bottom"/>
            <w:vMerge w:val="restart"/>
            <w:shd w:val="clear" w:color="auto" w:fill="F4F4E5"/>
          </w:tcPr>
          <w:p>
            <w:pPr>
              <w:ind w:left="60"/>
              <w:spacing w:after="0"/>
              <w:rPr>
                <w:sz w:val="20"/>
                <w:szCs w:val="20"/>
                <w:color w:val="auto"/>
              </w:rPr>
            </w:pPr>
            <w:r>
              <w:rPr>
                <w:rFonts w:ascii="Arial" w:cs="Arial" w:eastAsia="Arial" w:hAnsi="Arial"/>
                <w:sz w:val="13"/>
                <w:szCs w:val="13"/>
                <w:b w:val="1"/>
                <w:bCs w:val="1"/>
                <w:color w:val="auto"/>
              </w:rPr>
              <w:t>NAME</w:t>
            </w:r>
          </w:p>
        </w:tc>
        <w:tc>
          <w:tcPr>
            <w:tcW w:w="1540" w:type="dxa"/>
            <w:vAlign w:val="bottom"/>
            <w:shd w:val="clear" w:color="auto" w:fill="F4F4E5"/>
          </w:tcPr>
          <w:p>
            <w:pPr>
              <w:jc w:val="center"/>
              <w:ind w:left="134"/>
              <w:spacing w:after="0"/>
              <w:rPr>
                <w:sz w:val="20"/>
                <w:szCs w:val="20"/>
                <w:color w:val="auto"/>
              </w:rPr>
            </w:pPr>
            <w:r>
              <w:rPr>
                <w:rFonts w:ascii="Arial" w:cs="Arial" w:eastAsia="Arial" w:hAnsi="Arial"/>
                <w:sz w:val="13"/>
                <w:szCs w:val="13"/>
                <w:b w:val="1"/>
                <w:bCs w:val="1"/>
                <w:color w:val="auto"/>
                <w:w w:val="97"/>
              </w:rPr>
              <w:t>EXERCSIABLE</w:t>
            </w:r>
          </w:p>
        </w:tc>
        <w:tc>
          <w:tcPr>
            <w:tcW w:w="1500" w:type="dxa"/>
            <w:vAlign w:val="bottom"/>
            <w:shd w:val="clear" w:color="auto" w:fill="F4F4E5"/>
          </w:tcPr>
          <w:p>
            <w:pPr>
              <w:jc w:val="center"/>
              <w:spacing w:after="0"/>
              <w:rPr>
                <w:sz w:val="20"/>
                <w:szCs w:val="20"/>
                <w:color w:val="auto"/>
              </w:rPr>
            </w:pPr>
            <w:r>
              <w:rPr>
                <w:rFonts w:ascii="Arial" w:cs="Arial" w:eastAsia="Arial" w:hAnsi="Arial"/>
                <w:sz w:val="13"/>
                <w:szCs w:val="13"/>
                <w:b w:val="1"/>
                <w:bCs w:val="1"/>
                <w:color w:val="auto"/>
                <w:w w:val="97"/>
              </w:rPr>
              <w:t>UNEXERCISABLE</w:t>
            </w:r>
          </w:p>
        </w:tc>
        <w:tc>
          <w:tcPr>
            <w:tcW w:w="1060" w:type="dxa"/>
            <w:vAlign w:val="bottom"/>
            <w:shd w:val="clear" w:color="auto" w:fill="F4F4E5"/>
          </w:tcPr>
          <w:p>
            <w:pPr>
              <w:jc w:val="center"/>
              <w:spacing w:after="0"/>
              <w:rPr>
                <w:sz w:val="20"/>
                <w:szCs w:val="20"/>
                <w:color w:val="auto"/>
              </w:rPr>
            </w:pPr>
            <w:r>
              <w:rPr>
                <w:rFonts w:ascii="Arial" w:cs="Arial" w:eastAsia="Arial" w:hAnsi="Arial"/>
                <w:sz w:val="13"/>
                <w:szCs w:val="13"/>
                <w:b w:val="1"/>
                <w:bCs w:val="1"/>
                <w:color w:val="auto"/>
                <w:w w:val="97"/>
              </w:rPr>
              <w:t>PRICE ($)</w:t>
            </w:r>
          </w:p>
        </w:tc>
        <w:tc>
          <w:tcPr>
            <w:tcW w:w="1300" w:type="dxa"/>
            <w:vAlign w:val="bottom"/>
            <w:shd w:val="clear" w:color="auto" w:fill="F4F4E5"/>
          </w:tcPr>
          <w:p>
            <w:pPr>
              <w:jc w:val="center"/>
              <w:spacing w:after="0"/>
              <w:rPr>
                <w:sz w:val="20"/>
                <w:szCs w:val="20"/>
                <w:color w:val="auto"/>
              </w:rPr>
            </w:pPr>
            <w:r>
              <w:rPr>
                <w:rFonts w:ascii="Arial" w:cs="Arial" w:eastAsia="Arial" w:hAnsi="Arial"/>
                <w:sz w:val="13"/>
                <w:szCs w:val="13"/>
                <w:b w:val="1"/>
                <w:bCs w:val="1"/>
                <w:color w:val="auto"/>
                <w:w w:val="95"/>
              </w:rPr>
              <w:t>DATE</w:t>
            </w:r>
          </w:p>
        </w:tc>
        <w:tc>
          <w:tcPr>
            <w:tcW w:w="1220" w:type="dxa"/>
            <w:vAlign w:val="bottom"/>
            <w:shd w:val="clear" w:color="auto" w:fill="F4F4E5"/>
          </w:tcPr>
          <w:p>
            <w:pPr>
              <w:jc w:val="center"/>
              <w:spacing w:after="0"/>
              <w:rPr>
                <w:sz w:val="20"/>
                <w:szCs w:val="20"/>
                <w:color w:val="auto"/>
              </w:rPr>
            </w:pPr>
            <w:r>
              <w:rPr>
                <w:rFonts w:ascii="Arial" w:cs="Arial" w:eastAsia="Arial" w:hAnsi="Arial"/>
                <w:sz w:val="13"/>
                <w:szCs w:val="13"/>
                <w:b w:val="1"/>
                <w:bCs w:val="1"/>
                <w:color w:val="auto"/>
                <w:w w:val="87"/>
              </w:rPr>
              <w:t>(#)</w:t>
            </w:r>
          </w:p>
        </w:tc>
        <w:tc>
          <w:tcPr>
            <w:tcW w:w="400" w:type="dxa"/>
            <w:vAlign w:val="bottom"/>
            <w:shd w:val="clear" w:color="auto" w:fill="F4F4E5"/>
          </w:tcPr>
          <w:p>
            <w:pPr>
              <w:spacing w:after="0"/>
              <w:rPr>
                <w:sz w:val="15"/>
                <w:szCs w:val="15"/>
                <w:color w:val="auto"/>
              </w:rPr>
            </w:pPr>
          </w:p>
        </w:tc>
        <w:tc>
          <w:tcPr>
            <w:tcW w:w="820" w:type="dxa"/>
            <w:vAlign w:val="bottom"/>
            <w:shd w:val="clear" w:color="auto" w:fill="F4F4E5"/>
          </w:tcPr>
          <w:p>
            <w:pPr>
              <w:jc w:val="center"/>
              <w:ind w:right="113"/>
              <w:spacing w:after="0"/>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(5)</w:t>
            </w:r>
          </w:p>
        </w:tc>
        <w:tc>
          <w:tcPr>
            <w:tcW w:w="0" w:type="dxa"/>
            <w:vAlign w:val="bottom"/>
          </w:tcPr>
          <w:p>
            <w:pPr>
              <w:spacing w:after="0"/>
              <w:rPr>
                <w:sz w:val="1"/>
                <w:szCs w:val="1"/>
                <w:color w:val="auto"/>
              </w:rPr>
            </w:pPr>
          </w:p>
        </w:tc>
      </w:tr>
      <w:tr>
        <w:trPr>
          <w:trHeight w:val="77"/>
        </w:trPr>
        <w:tc>
          <w:tcPr>
            <w:tcW w:w="3180" w:type="dxa"/>
            <w:vAlign w:val="bottom"/>
            <w:tcBorders>
              <w:bottom w:val="single" w:sz="8" w:color="F4F4E5"/>
            </w:tcBorders>
            <w:vMerge w:val="continue"/>
            <w:shd w:val="clear" w:color="auto" w:fill="F4F4E5"/>
          </w:tcPr>
          <w:p>
            <w:pPr>
              <w:spacing w:after="0"/>
              <w:rPr>
                <w:sz w:val="6"/>
                <w:szCs w:val="6"/>
                <w:color w:val="auto"/>
              </w:rPr>
            </w:pPr>
          </w:p>
        </w:tc>
        <w:tc>
          <w:tcPr>
            <w:tcW w:w="1540" w:type="dxa"/>
            <w:vAlign w:val="bottom"/>
            <w:tcBorders>
              <w:bottom w:val="single" w:sz="8" w:color="F4F4E5"/>
            </w:tcBorders>
            <w:shd w:val="clear" w:color="auto" w:fill="F4F4E5"/>
          </w:tcPr>
          <w:p>
            <w:pPr>
              <w:spacing w:after="0"/>
              <w:rPr>
                <w:sz w:val="6"/>
                <w:szCs w:val="6"/>
                <w:color w:val="auto"/>
              </w:rPr>
            </w:pPr>
          </w:p>
        </w:tc>
        <w:tc>
          <w:tcPr>
            <w:tcW w:w="1500" w:type="dxa"/>
            <w:vAlign w:val="bottom"/>
            <w:tcBorders>
              <w:bottom w:val="single" w:sz="8" w:color="F4F4E5"/>
            </w:tcBorders>
            <w:shd w:val="clear" w:color="auto" w:fill="F4F4E5"/>
          </w:tcPr>
          <w:p>
            <w:pPr>
              <w:spacing w:after="0"/>
              <w:rPr>
                <w:sz w:val="6"/>
                <w:szCs w:val="6"/>
                <w:color w:val="auto"/>
              </w:rPr>
            </w:pPr>
          </w:p>
        </w:tc>
        <w:tc>
          <w:tcPr>
            <w:tcW w:w="1060" w:type="dxa"/>
            <w:vAlign w:val="bottom"/>
            <w:tcBorders>
              <w:bottom w:val="single" w:sz="8" w:color="F4F4E5"/>
            </w:tcBorders>
            <w:shd w:val="clear" w:color="auto" w:fill="F4F4E5"/>
          </w:tcPr>
          <w:p>
            <w:pPr>
              <w:spacing w:after="0"/>
              <w:rPr>
                <w:sz w:val="6"/>
                <w:szCs w:val="6"/>
                <w:color w:val="auto"/>
              </w:rPr>
            </w:pPr>
          </w:p>
        </w:tc>
        <w:tc>
          <w:tcPr>
            <w:tcW w:w="1300" w:type="dxa"/>
            <w:vAlign w:val="bottom"/>
            <w:tcBorders>
              <w:bottom w:val="single" w:sz="8" w:color="F4F4E5"/>
            </w:tcBorders>
            <w:shd w:val="clear" w:color="auto" w:fill="F4F4E5"/>
          </w:tcPr>
          <w:p>
            <w:pPr>
              <w:spacing w:after="0"/>
              <w:rPr>
                <w:sz w:val="6"/>
                <w:szCs w:val="6"/>
                <w:color w:val="auto"/>
              </w:rPr>
            </w:pPr>
          </w:p>
        </w:tc>
        <w:tc>
          <w:tcPr>
            <w:tcW w:w="1220" w:type="dxa"/>
            <w:vAlign w:val="bottom"/>
            <w:tcBorders>
              <w:bottom w:val="single" w:sz="8" w:color="F4F4E5"/>
            </w:tcBorders>
            <w:shd w:val="clear" w:color="auto" w:fill="F4F4E5"/>
          </w:tcPr>
          <w:p>
            <w:pPr>
              <w:spacing w:after="0"/>
              <w:rPr>
                <w:sz w:val="6"/>
                <w:szCs w:val="6"/>
                <w:color w:val="auto"/>
              </w:rPr>
            </w:pPr>
          </w:p>
        </w:tc>
        <w:tc>
          <w:tcPr>
            <w:tcW w:w="400" w:type="dxa"/>
            <w:vAlign w:val="bottom"/>
            <w:tcBorders>
              <w:bottom w:val="single" w:sz="8" w:color="F4F4E5"/>
            </w:tcBorders>
            <w:shd w:val="clear" w:color="auto" w:fill="F4F4E5"/>
          </w:tcPr>
          <w:p>
            <w:pPr>
              <w:spacing w:after="0"/>
              <w:rPr>
                <w:sz w:val="6"/>
                <w:szCs w:val="6"/>
                <w:color w:val="auto"/>
              </w:rPr>
            </w:pPr>
          </w:p>
        </w:tc>
        <w:tc>
          <w:tcPr>
            <w:tcW w:w="820" w:type="dxa"/>
            <w:vAlign w:val="bottom"/>
            <w:tcBorders>
              <w:bottom w:val="single" w:sz="8" w:color="F4F4E5"/>
            </w:tcBorders>
            <w:shd w:val="clear" w:color="auto" w:fill="F4F4E5"/>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3180" w:type="dxa"/>
            <w:vAlign w:val="bottom"/>
            <w:shd w:val="clear" w:color="auto" w:fill="EAEFF2"/>
          </w:tcPr>
          <w:p>
            <w:pPr>
              <w:ind w:left="60"/>
              <w:spacing w:after="0"/>
              <w:rPr>
                <w:sz w:val="20"/>
                <w:szCs w:val="20"/>
                <w:color w:val="auto"/>
              </w:rPr>
            </w:pPr>
            <w:r>
              <w:rPr>
                <w:rFonts w:ascii="Arial" w:cs="Arial" w:eastAsia="Arial" w:hAnsi="Arial"/>
                <w:sz w:val="13"/>
                <w:szCs w:val="13"/>
                <w:b w:val="1"/>
                <w:bCs w:val="1"/>
                <w:color w:val="auto"/>
              </w:rPr>
              <w:t>MATT MADDOX</w:t>
            </w:r>
          </w:p>
        </w:tc>
        <w:tc>
          <w:tcPr>
            <w:tcW w:w="1540" w:type="dxa"/>
            <w:vAlign w:val="bottom"/>
            <w:shd w:val="clear" w:color="auto" w:fill="EAEFF2"/>
          </w:tcPr>
          <w:p>
            <w:pPr>
              <w:jc w:val="center"/>
              <w:ind w:left="114"/>
              <w:spacing w:after="0"/>
              <w:rPr>
                <w:sz w:val="20"/>
                <w:szCs w:val="20"/>
                <w:color w:val="auto"/>
              </w:rPr>
            </w:pPr>
            <w:r>
              <w:rPr>
                <w:rFonts w:ascii="Arial" w:cs="Arial" w:eastAsia="Arial" w:hAnsi="Arial"/>
                <w:sz w:val="14"/>
                <w:szCs w:val="14"/>
                <w:color w:val="auto"/>
                <w:w w:val="84"/>
              </w:rPr>
              <w:t>-</w:t>
            </w:r>
          </w:p>
        </w:tc>
        <w:tc>
          <w:tcPr>
            <w:tcW w:w="1500" w:type="dxa"/>
            <w:vAlign w:val="bottom"/>
            <w:shd w:val="clear" w:color="auto" w:fill="EAEFF2"/>
          </w:tcPr>
          <w:p>
            <w:pPr>
              <w:jc w:val="center"/>
              <w:spacing w:after="0"/>
              <w:rPr>
                <w:sz w:val="20"/>
                <w:szCs w:val="20"/>
                <w:color w:val="auto"/>
              </w:rPr>
            </w:pPr>
            <w:r>
              <w:rPr>
                <w:rFonts w:ascii="Arial" w:cs="Arial" w:eastAsia="Arial" w:hAnsi="Arial"/>
                <w:sz w:val="14"/>
                <w:szCs w:val="14"/>
                <w:color w:val="auto"/>
              </w:rPr>
              <w:t>3,868</w:t>
            </w:r>
          </w:p>
        </w:tc>
        <w:tc>
          <w:tcPr>
            <w:tcW w:w="1060" w:type="dxa"/>
            <w:vAlign w:val="bottom"/>
            <w:shd w:val="clear" w:color="auto" w:fill="EAEFF2"/>
          </w:tcPr>
          <w:p>
            <w:pPr>
              <w:jc w:val="center"/>
              <w:spacing w:after="0"/>
              <w:rPr>
                <w:sz w:val="20"/>
                <w:szCs w:val="20"/>
                <w:color w:val="auto"/>
              </w:rPr>
            </w:pPr>
            <w:r>
              <w:rPr>
                <w:rFonts w:ascii="Arial" w:cs="Arial" w:eastAsia="Arial" w:hAnsi="Arial"/>
                <w:sz w:val="14"/>
                <w:szCs w:val="14"/>
                <w:color w:val="auto"/>
              </w:rPr>
              <w:t>$760.79</w:t>
            </w:r>
          </w:p>
        </w:tc>
        <w:tc>
          <w:tcPr>
            <w:tcW w:w="1300" w:type="dxa"/>
            <w:vAlign w:val="bottom"/>
            <w:shd w:val="clear" w:color="auto" w:fill="EAEFF2"/>
          </w:tcPr>
          <w:p>
            <w:pPr>
              <w:jc w:val="center"/>
              <w:spacing w:after="0"/>
              <w:rPr>
                <w:sz w:val="20"/>
                <w:szCs w:val="20"/>
                <w:color w:val="auto"/>
              </w:rPr>
            </w:pPr>
            <w:r>
              <w:rPr>
                <w:rFonts w:ascii="Arial" w:cs="Arial" w:eastAsia="Arial" w:hAnsi="Arial"/>
                <w:sz w:val="14"/>
                <w:szCs w:val="14"/>
                <w:color w:val="auto"/>
                <w:w w:val="95"/>
              </w:rPr>
              <w:t>12/11/2030</w:t>
            </w:r>
            <w:r>
              <w:rPr>
                <w:rFonts w:ascii="Arial" w:cs="Arial" w:eastAsia="Arial" w:hAnsi="Arial"/>
                <w:sz w:val="24"/>
                <w:szCs w:val="24"/>
                <w:color w:val="auto"/>
                <w:w w:val="95"/>
                <w:vertAlign w:val="superscript"/>
              </w:rPr>
              <w:t>(1)</w:t>
            </w:r>
          </w:p>
        </w:tc>
        <w:tc>
          <w:tcPr>
            <w:tcW w:w="1220" w:type="dxa"/>
            <w:vAlign w:val="bottom"/>
            <w:shd w:val="clear" w:color="auto" w:fill="EAEFF2"/>
          </w:tcPr>
          <w:p>
            <w:pPr>
              <w:jc w:val="right"/>
              <w:ind w:right="215"/>
              <w:spacing w:after="0"/>
              <w:rPr>
                <w:sz w:val="20"/>
                <w:szCs w:val="20"/>
                <w:color w:val="auto"/>
              </w:rPr>
            </w:pPr>
            <w:r>
              <w:rPr>
                <w:rFonts w:ascii="Arial" w:cs="Arial" w:eastAsia="Arial" w:hAnsi="Arial"/>
                <w:sz w:val="14"/>
                <w:szCs w:val="14"/>
                <w:color w:val="auto"/>
              </w:rPr>
              <w:t>217,337</w:t>
            </w:r>
            <w:r>
              <w:rPr>
                <w:rFonts w:ascii="Arial" w:cs="Arial" w:eastAsia="Arial" w:hAnsi="Arial"/>
                <w:sz w:val="24"/>
                <w:szCs w:val="24"/>
                <w:color w:val="auto"/>
                <w:vertAlign w:val="superscript"/>
              </w:rPr>
              <w:t>(2)</w:t>
            </w:r>
          </w:p>
        </w:tc>
        <w:tc>
          <w:tcPr>
            <w:tcW w:w="1220" w:type="dxa"/>
            <w:vAlign w:val="bottom"/>
            <w:gridSpan w:val="2"/>
            <w:shd w:val="clear" w:color="auto" w:fill="EAEFF2"/>
          </w:tcPr>
          <w:p>
            <w:pPr>
              <w:jc w:val="right"/>
              <w:ind w:right="33"/>
              <w:spacing w:after="0"/>
              <w:rPr>
                <w:sz w:val="20"/>
                <w:szCs w:val="20"/>
                <w:color w:val="auto"/>
              </w:rPr>
            </w:pPr>
            <w:r>
              <w:rPr>
                <w:rFonts w:ascii="Arial" w:cs="Arial" w:eastAsia="Arial" w:hAnsi="Arial"/>
                <w:sz w:val="14"/>
                <w:szCs w:val="14"/>
                <w:color w:val="auto"/>
              </w:rPr>
              <w:t>$24,522,134</w:t>
            </w:r>
          </w:p>
        </w:tc>
        <w:tc>
          <w:tcPr>
            <w:tcW w:w="0" w:type="dxa"/>
            <w:vAlign w:val="bottom"/>
          </w:tcPr>
          <w:p>
            <w:pPr>
              <w:spacing w:after="0"/>
              <w:rPr>
                <w:sz w:val="1"/>
                <w:szCs w:val="1"/>
                <w:color w:val="auto"/>
              </w:rPr>
            </w:pPr>
          </w:p>
        </w:tc>
      </w:tr>
      <w:tr>
        <w:trPr>
          <w:trHeight w:val="283"/>
        </w:trPr>
        <w:tc>
          <w:tcPr>
            <w:tcW w:w="3180" w:type="dxa"/>
            <w:vAlign w:val="bottom"/>
            <w:shd w:val="clear" w:color="auto" w:fill="F4F4E5"/>
          </w:tcPr>
          <w:p>
            <w:pPr>
              <w:ind w:left="60"/>
              <w:spacing w:after="0"/>
              <w:rPr>
                <w:sz w:val="20"/>
                <w:szCs w:val="20"/>
                <w:color w:val="auto"/>
              </w:rPr>
            </w:pPr>
            <w:r>
              <w:rPr>
                <w:rFonts w:ascii="Arial" w:cs="Arial" w:eastAsia="Arial" w:hAnsi="Arial"/>
                <w:sz w:val="13"/>
                <w:szCs w:val="13"/>
                <w:b w:val="1"/>
                <w:bCs w:val="1"/>
                <w:color w:val="auto"/>
              </w:rPr>
              <w:t>CRAIG BILLINGS</w:t>
            </w:r>
          </w:p>
        </w:tc>
        <w:tc>
          <w:tcPr>
            <w:tcW w:w="1540" w:type="dxa"/>
            <w:vAlign w:val="bottom"/>
            <w:shd w:val="clear" w:color="auto" w:fill="F4F4E5"/>
          </w:tcPr>
          <w:p>
            <w:pPr>
              <w:jc w:val="center"/>
              <w:ind w:left="114"/>
              <w:spacing w:after="0"/>
              <w:rPr>
                <w:sz w:val="20"/>
                <w:szCs w:val="20"/>
                <w:color w:val="auto"/>
              </w:rPr>
            </w:pPr>
            <w:r>
              <w:rPr>
                <w:rFonts w:ascii="Arial" w:cs="Arial" w:eastAsia="Arial" w:hAnsi="Arial"/>
                <w:sz w:val="14"/>
                <w:szCs w:val="14"/>
                <w:color w:val="auto"/>
                <w:w w:val="84"/>
              </w:rPr>
              <w:t>-</w:t>
            </w:r>
          </w:p>
        </w:tc>
        <w:tc>
          <w:tcPr>
            <w:tcW w:w="1500" w:type="dxa"/>
            <w:vAlign w:val="bottom"/>
            <w:shd w:val="clear" w:color="auto" w:fill="F4F4E5"/>
          </w:tcPr>
          <w:p>
            <w:pPr>
              <w:jc w:val="center"/>
              <w:spacing w:after="0"/>
              <w:rPr>
                <w:sz w:val="20"/>
                <w:szCs w:val="20"/>
                <w:color w:val="auto"/>
              </w:rPr>
            </w:pPr>
            <w:r>
              <w:rPr>
                <w:rFonts w:ascii="Arial" w:cs="Arial" w:eastAsia="Arial" w:hAnsi="Arial"/>
                <w:sz w:val="14"/>
                <w:szCs w:val="14"/>
                <w:color w:val="auto"/>
              </w:rPr>
              <w:t>9,256</w:t>
            </w:r>
          </w:p>
        </w:tc>
        <w:tc>
          <w:tcPr>
            <w:tcW w:w="1060" w:type="dxa"/>
            <w:vAlign w:val="bottom"/>
            <w:shd w:val="clear" w:color="auto" w:fill="F4F4E5"/>
          </w:tcPr>
          <w:p>
            <w:pPr>
              <w:jc w:val="center"/>
              <w:spacing w:after="0"/>
              <w:rPr>
                <w:sz w:val="20"/>
                <w:szCs w:val="20"/>
                <w:color w:val="auto"/>
              </w:rPr>
            </w:pPr>
            <w:r>
              <w:rPr>
                <w:rFonts w:ascii="Arial" w:cs="Arial" w:eastAsia="Arial" w:hAnsi="Arial"/>
                <w:sz w:val="14"/>
                <w:szCs w:val="14"/>
                <w:color w:val="auto"/>
              </w:rPr>
              <w:t>$760.79</w:t>
            </w:r>
          </w:p>
        </w:tc>
        <w:tc>
          <w:tcPr>
            <w:tcW w:w="1300" w:type="dxa"/>
            <w:vAlign w:val="bottom"/>
            <w:shd w:val="clear" w:color="auto" w:fill="F4F4E5"/>
          </w:tcPr>
          <w:p>
            <w:pPr>
              <w:jc w:val="center"/>
              <w:spacing w:after="0"/>
              <w:rPr>
                <w:sz w:val="20"/>
                <w:szCs w:val="20"/>
                <w:color w:val="auto"/>
              </w:rPr>
            </w:pPr>
            <w:r>
              <w:rPr>
                <w:rFonts w:ascii="Arial" w:cs="Arial" w:eastAsia="Arial" w:hAnsi="Arial"/>
                <w:sz w:val="14"/>
                <w:szCs w:val="14"/>
                <w:color w:val="auto"/>
                <w:w w:val="95"/>
              </w:rPr>
              <w:t>12/11/2030</w:t>
            </w:r>
            <w:r>
              <w:rPr>
                <w:rFonts w:ascii="Arial" w:cs="Arial" w:eastAsia="Arial" w:hAnsi="Arial"/>
                <w:sz w:val="24"/>
                <w:szCs w:val="24"/>
                <w:color w:val="auto"/>
                <w:w w:val="95"/>
                <w:vertAlign w:val="superscript"/>
              </w:rPr>
              <w:t>(1)</w:t>
            </w:r>
          </w:p>
        </w:tc>
        <w:tc>
          <w:tcPr>
            <w:tcW w:w="1220" w:type="dxa"/>
            <w:vAlign w:val="bottom"/>
            <w:shd w:val="clear" w:color="auto" w:fill="F4F4E5"/>
          </w:tcPr>
          <w:p>
            <w:pPr>
              <w:jc w:val="right"/>
              <w:ind w:right="215"/>
              <w:spacing w:after="0"/>
              <w:rPr>
                <w:sz w:val="20"/>
                <w:szCs w:val="20"/>
                <w:color w:val="auto"/>
              </w:rPr>
            </w:pPr>
            <w:r>
              <w:rPr>
                <w:rFonts w:ascii="Arial" w:cs="Arial" w:eastAsia="Arial" w:hAnsi="Arial"/>
                <w:sz w:val="14"/>
                <w:szCs w:val="14"/>
                <w:color w:val="auto"/>
              </w:rPr>
              <w:t>64,232</w:t>
            </w:r>
            <w:r>
              <w:rPr>
                <w:rFonts w:ascii="Arial" w:cs="Arial" w:eastAsia="Arial" w:hAnsi="Arial"/>
                <w:sz w:val="24"/>
                <w:szCs w:val="24"/>
                <w:color w:val="auto"/>
                <w:vertAlign w:val="superscript"/>
              </w:rPr>
              <w:t>(3)</w:t>
            </w:r>
          </w:p>
        </w:tc>
        <w:tc>
          <w:tcPr>
            <w:tcW w:w="40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E5"/>
          </w:tcPr>
          <w:p>
            <w:pPr>
              <w:jc w:val="right"/>
              <w:ind w:right="33"/>
              <w:spacing w:after="0"/>
              <w:rPr>
                <w:sz w:val="20"/>
                <w:szCs w:val="20"/>
                <w:color w:val="auto"/>
              </w:rPr>
            </w:pPr>
            <w:r>
              <w:rPr>
                <w:rFonts w:ascii="Arial" w:cs="Arial" w:eastAsia="Arial" w:hAnsi="Arial"/>
                <w:sz w:val="14"/>
                <w:szCs w:val="14"/>
                <w:color w:val="auto"/>
              </w:rPr>
              <w:t>7,247,297</w:t>
            </w:r>
          </w:p>
        </w:tc>
        <w:tc>
          <w:tcPr>
            <w:tcW w:w="0" w:type="dxa"/>
            <w:vAlign w:val="bottom"/>
          </w:tcPr>
          <w:p>
            <w:pPr>
              <w:spacing w:after="0"/>
              <w:rPr>
                <w:sz w:val="1"/>
                <w:szCs w:val="1"/>
                <w:color w:val="auto"/>
              </w:rPr>
            </w:pPr>
          </w:p>
        </w:tc>
      </w:tr>
      <w:tr>
        <w:trPr>
          <w:trHeight w:val="283"/>
        </w:trPr>
        <w:tc>
          <w:tcPr>
            <w:tcW w:w="3180" w:type="dxa"/>
            <w:vAlign w:val="bottom"/>
            <w:shd w:val="clear" w:color="auto" w:fill="EAEFF2"/>
          </w:tcPr>
          <w:p>
            <w:pPr>
              <w:ind w:left="60"/>
              <w:spacing w:after="0"/>
              <w:rPr>
                <w:sz w:val="20"/>
                <w:szCs w:val="20"/>
                <w:color w:val="auto"/>
              </w:rPr>
            </w:pPr>
            <w:r>
              <w:rPr>
                <w:rFonts w:ascii="Arial" w:cs="Arial" w:eastAsia="Arial" w:hAnsi="Arial"/>
                <w:sz w:val="13"/>
                <w:szCs w:val="13"/>
                <w:b w:val="1"/>
                <w:bCs w:val="1"/>
                <w:color w:val="auto"/>
              </w:rPr>
              <w:t>ELLEN F. WHITTEMORE</w:t>
            </w:r>
          </w:p>
        </w:tc>
        <w:tc>
          <w:tcPr>
            <w:tcW w:w="1540" w:type="dxa"/>
            <w:vAlign w:val="bottom"/>
            <w:shd w:val="clear" w:color="auto" w:fill="EAEFF2"/>
          </w:tcPr>
          <w:p>
            <w:pPr>
              <w:jc w:val="center"/>
              <w:ind w:left="114"/>
              <w:spacing w:after="0"/>
              <w:rPr>
                <w:sz w:val="20"/>
                <w:szCs w:val="20"/>
                <w:color w:val="auto"/>
              </w:rPr>
            </w:pPr>
            <w:r>
              <w:rPr>
                <w:rFonts w:ascii="Arial" w:cs="Arial" w:eastAsia="Arial" w:hAnsi="Arial"/>
                <w:sz w:val="14"/>
                <w:szCs w:val="14"/>
                <w:color w:val="auto"/>
                <w:w w:val="84"/>
              </w:rPr>
              <w:t>-</w:t>
            </w:r>
          </w:p>
        </w:tc>
        <w:tc>
          <w:tcPr>
            <w:tcW w:w="1500" w:type="dxa"/>
            <w:vAlign w:val="bottom"/>
            <w:shd w:val="clear" w:color="auto" w:fill="EAEFF2"/>
          </w:tcPr>
          <w:p>
            <w:pPr>
              <w:jc w:val="center"/>
              <w:spacing w:after="0"/>
              <w:rPr>
                <w:sz w:val="20"/>
                <w:szCs w:val="20"/>
                <w:color w:val="auto"/>
              </w:rPr>
            </w:pPr>
            <w:r>
              <w:rPr>
                <w:rFonts w:ascii="Arial" w:cs="Arial" w:eastAsia="Arial" w:hAnsi="Arial"/>
                <w:sz w:val="14"/>
                <w:szCs w:val="14"/>
                <w:color w:val="auto"/>
              </w:rPr>
              <w:t>1,382</w:t>
            </w:r>
          </w:p>
        </w:tc>
        <w:tc>
          <w:tcPr>
            <w:tcW w:w="1060" w:type="dxa"/>
            <w:vAlign w:val="bottom"/>
            <w:shd w:val="clear" w:color="auto" w:fill="EAEFF2"/>
          </w:tcPr>
          <w:p>
            <w:pPr>
              <w:jc w:val="center"/>
              <w:spacing w:after="0"/>
              <w:rPr>
                <w:sz w:val="20"/>
                <w:szCs w:val="20"/>
                <w:color w:val="auto"/>
              </w:rPr>
            </w:pPr>
            <w:r>
              <w:rPr>
                <w:rFonts w:ascii="Arial" w:cs="Arial" w:eastAsia="Arial" w:hAnsi="Arial"/>
                <w:sz w:val="14"/>
                <w:szCs w:val="14"/>
                <w:color w:val="auto"/>
              </w:rPr>
              <w:t>$760.79</w:t>
            </w:r>
          </w:p>
        </w:tc>
        <w:tc>
          <w:tcPr>
            <w:tcW w:w="1300" w:type="dxa"/>
            <w:vAlign w:val="bottom"/>
            <w:shd w:val="clear" w:color="auto" w:fill="EAEFF2"/>
          </w:tcPr>
          <w:p>
            <w:pPr>
              <w:jc w:val="center"/>
              <w:spacing w:after="0"/>
              <w:rPr>
                <w:sz w:val="20"/>
                <w:szCs w:val="20"/>
                <w:color w:val="auto"/>
              </w:rPr>
            </w:pPr>
            <w:r>
              <w:rPr>
                <w:rFonts w:ascii="Arial" w:cs="Arial" w:eastAsia="Arial" w:hAnsi="Arial"/>
                <w:sz w:val="14"/>
                <w:szCs w:val="14"/>
                <w:color w:val="auto"/>
                <w:w w:val="95"/>
              </w:rPr>
              <w:t>12/11/2030</w:t>
            </w:r>
            <w:r>
              <w:rPr>
                <w:rFonts w:ascii="Arial" w:cs="Arial" w:eastAsia="Arial" w:hAnsi="Arial"/>
                <w:sz w:val="24"/>
                <w:szCs w:val="24"/>
                <w:color w:val="auto"/>
                <w:w w:val="95"/>
                <w:vertAlign w:val="superscript"/>
              </w:rPr>
              <w:t>(1)</w:t>
            </w:r>
          </w:p>
        </w:tc>
        <w:tc>
          <w:tcPr>
            <w:tcW w:w="1220" w:type="dxa"/>
            <w:vAlign w:val="bottom"/>
            <w:shd w:val="clear" w:color="auto" w:fill="EAEFF2"/>
          </w:tcPr>
          <w:p>
            <w:pPr>
              <w:jc w:val="right"/>
              <w:ind w:right="215"/>
              <w:spacing w:after="0"/>
              <w:rPr>
                <w:sz w:val="20"/>
                <w:szCs w:val="20"/>
                <w:color w:val="auto"/>
              </w:rPr>
            </w:pPr>
            <w:r>
              <w:rPr>
                <w:rFonts w:ascii="Arial" w:cs="Arial" w:eastAsia="Arial" w:hAnsi="Arial"/>
                <w:sz w:val="14"/>
                <w:szCs w:val="14"/>
                <w:color w:val="auto"/>
              </w:rPr>
              <w:t>23,482</w:t>
            </w:r>
            <w:r>
              <w:rPr>
                <w:rFonts w:ascii="Arial" w:cs="Arial" w:eastAsia="Arial" w:hAnsi="Arial"/>
                <w:sz w:val="24"/>
                <w:szCs w:val="24"/>
                <w:color w:val="auto"/>
                <w:vertAlign w:val="superscript"/>
              </w:rPr>
              <w:t>(4)</w:t>
            </w:r>
          </w:p>
        </w:tc>
        <w:tc>
          <w:tcPr>
            <w:tcW w:w="40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EAEFF2"/>
          </w:tcPr>
          <w:p>
            <w:pPr>
              <w:jc w:val="right"/>
              <w:ind w:right="33"/>
              <w:spacing w:after="0"/>
              <w:rPr>
                <w:sz w:val="20"/>
                <w:szCs w:val="20"/>
                <w:color w:val="auto"/>
              </w:rPr>
            </w:pPr>
            <w:r>
              <w:rPr>
                <w:rFonts w:ascii="Arial" w:cs="Arial" w:eastAsia="Arial" w:hAnsi="Arial"/>
                <w:sz w:val="14"/>
                <w:szCs w:val="14"/>
                <w:color w:val="auto"/>
              </w:rPr>
              <w:t>2,649,474</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0" w:right="100" w:hanging="4"/>
        <w:spacing w:after="0" w:line="230" w:lineRule="auto"/>
        <w:tabs>
          <w:tab w:leader="none" w:pos="286" w:val="left"/>
        </w:tabs>
        <w:numPr>
          <w:ilvl w:val="0"/>
          <w:numId w:val="80"/>
        </w:numPr>
        <w:rPr>
          <w:rFonts w:ascii="Arial" w:cs="Arial" w:eastAsia="Arial" w:hAnsi="Arial"/>
          <w:sz w:val="11"/>
          <w:szCs w:val="11"/>
          <w:color w:val="auto"/>
        </w:rPr>
      </w:pPr>
      <w:r>
        <w:rPr>
          <w:rFonts w:ascii="Arial" w:cs="Arial" w:eastAsia="Arial" w:hAnsi="Arial"/>
          <w:sz w:val="13"/>
          <w:szCs w:val="13"/>
          <w:color w:val="auto"/>
        </w:rPr>
        <w:t>On December 11, 2020, Messrs. Maddox and Billings and Ms. Whittemore were granted options to acquire shares of Wynn Interactive that vest 25% each year for the four-year period ending on December 11, 2024 subject to continued employment.</w:t>
      </w:r>
    </w:p>
    <w:p>
      <w:pPr>
        <w:spacing w:after="0" w:line="91" w:lineRule="exact"/>
        <w:rPr>
          <w:rFonts w:ascii="Arial" w:cs="Arial" w:eastAsia="Arial" w:hAnsi="Arial"/>
          <w:sz w:val="11"/>
          <w:szCs w:val="11"/>
          <w:color w:val="auto"/>
        </w:rPr>
      </w:pPr>
    </w:p>
    <w:p>
      <w:pPr>
        <w:ind w:left="120" w:hanging="4"/>
        <w:spacing w:after="0" w:line="222" w:lineRule="auto"/>
        <w:tabs>
          <w:tab w:leader="none" w:pos="286" w:val="left"/>
        </w:tabs>
        <w:numPr>
          <w:ilvl w:val="0"/>
          <w:numId w:val="80"/>
        </w:numPr>
        <w:rPr>
          <w:rFonts w:ascii="Arial" w:cs="Arial" w:eastAsia="Arial" w:hAnsi="Arial"/>
          <w:sz w:val="11"/>
          <w:szCs w:val="11"/>
          <w:color w:val="auto"/>
        </w:rPr>
      </w:pPr>
      <w:r>
        <w:rPr>
          <w:rFonts w:ascii="Arial" w:cs="Arial" w:eastAsia="Arial" w:hAnsi="Arial"/>
          <w:sz w:val="13"/>
          <w:szCs w:val="13"/>
          <w:color w:val="auto"/>
        </w:rPr>
        <w:t>On January 1, 2021, 15,000 performance shares vested as a result of achieving certain performance conditions as of December 31, 2020. 25,000 shares will vest if certain performance conditions are met related to company-specific gaming licensure in certain jurisdictions and subject to continued employment. 26,421 shares and 19,997 shares vest on March 1, 2022 and March 1, 2023, respectively, subject to continued employment and the achievement of pre-established property-level revenue and Adjusted Property EBITDA performance goals. 24,501 shares will vest on August 18, 2021; 40,000 shares will vest on November 4, 2021; 26,421 shares will vest on January 11, 2022; 10,000 shares will vest on March 1, 2022; 19,997 shares will vest on January 14, 2023; and 10,000 shares will vest on March 1, 2023, all of which are subject to continued employment.</w:t>
      </w:r>
    </w:p>
    <w:p>
      <w:pPr>
        <w:spacing w:after="0" w:line="91" w:lineRule="exact"/>
        <w:rPr>
          <w:rFonts w:ascii="Arial" w:cs="Arial" w:eastAsia="Arial" w:hAnsi="Arial"/>
          <w:sz w:val="11"/>
          <w:szCs w:val="11"/>
          <w:color w:val="auto"/>
        </w:rPr>
      </w:pPr>
    </w:p>
    <w:p>
      <w:pPr>
        <w:ind w:left="120" w:right="20" w:hanging="4"/>
        <w:spacing w:after="0" w:line="223" w:lineRule="auto"/>
        <w:tabs>
          <w:tab w:leader="none" w:pos="286" w:val="left"/>
        </w:tabs>
        <w:numPr>
          <w:ilvl w:val="0"/>
          <w:numId w:val="80"/>
        </w:numPr>
        <w:rPr>
          <w:rFonts w:ascii="Arial" w:cs="Arial" w:eastAsia="Arial" w:hAnsi="Arial"/>
          <w:sz w:val="11"/>
          <w:szCs w:val="11"/>
          <w:color w:val="auto"/>
        </w:rPr>
      </w:pPr>
      <w:r>
        <w:rPr>
          <w:rFonts w:ascii="Arial" w:cs="Arial" w:eastAsia="Arial" w:hAnsi="Arial"/>
          <w:sz w:val="13"/>
          <w:szCs w:val="13"/>
          <w:color w:val="auto"/>
        </w:rPr>
        <w:t>7,332 shares will vest if certain performance conditions are met related to company-specific gaming licensure in certain jurisdictions and subject to continued employment. 7,046 and 7,332 shares will vest on March 1, 2022 and March 1, 2023, respectively, subject to continued employment and the achievement of pre-established property-level revenue and Adjusted Property EBITDA performance goals. 6,000 shares will vest on March 1, 2021; 13,476 shares will vest on August 18, 2021; 7,046 shares will vest on January 11, 2022; 11,000 shares will vest on March 1, 2022; and 5,000 shares will vest on March 1, 2023, all of which are subject to continued employment.</w:t>
      </w:r>
    </w:p>
    <w:p>
      <w:pPr>
        <w:spacing w:after="0" w:line="92" w:lineRule="exact"/>
        <w:rPr>
          <w:rFonts w:ascii="Arial" w:cs="Arial" w:eastAsia="Arial" w:hAnsi="Arial"/>
          <w:sz w:val="11"/>
          <w:szCs w:val="11"/>
          <w:color w:val="auto"/>
        </w:rPr>
      </w:pPr>
    </w:p>
    <w:p>
      <w:pPr>
        <w:ind w:left="120" w:right="260" w:hanging="4"/>
        <w:spacing w:after="0" w:line="225" w:lineRule="auto"/>
        <w:tabs>
          <w:tab w:leader="none" w:pos="286" w:val="left"/>
        </w:tabs>
        <w:numPr>
          <w:ilvl w:val="0"/>
          <w:numId w:val="80"/>
        </w:numPr>
        <w:rPr>
          <w:rFonts w:ascii="Arial" w:cs="Arial" w:eastAsia="Arial" w:hAnsi="Arial"/>
          <w:sz w:val="11"/>
          <w:szCs w:val="11"/>
          <w:color w:val="auto"/>
        </w:rPr>
      </w:pPr>
      <w:r>
        <w:rPr>
          <w:rFonts w:ascii="Arial" w:cs="Arial" w:eastAsia="Arial" w:hAnsi="Arial"/>
          <w:sz w:val="13"/>
          <w:szCs w:val="13"/>
          <w:color w:val="auto"/>
        </w:rPr>
        <w:t>1,125 shares will vest on March 1, 2022; 3,303 shares will vest on March 1, 2022; and 3,583 shares will vest on March 1, 2023, all of which are subject to continued employment and the achievement of pre-established property-level revenue and Adjusted Property EBTIDA performance goals. 1,000 shares will vest on July 15, 2021 and 2022; 6,585 shares will vest on August 18, 2021; 3,303 shares will vest on January 11, 2022; and 3,583 shares will vest on January 14, 2023, all of which are subject to continued employment.</w:t>
      </w:r>
    </w:p>
    <w:p>
      <w:pPr>
        <w:spacing w:after="0" w:line="92" w:lineRule="exact"/>
        <w:rPr>
          <w:rFonts w:ascii="Arial" w:cs="Arial" w:eastAsia="Arial" w:hAnsi="Arial"/>
          <w:sz w:val="11"/>
          <w:szCs w:val="11"/>
          <w:color w:val="auto"/>
        </w:rPr>
      </w:pPr>
    </w:p>
    <w:p>
      <w:pPr>
        <w:ind w:left="280" w:hanging="164"/>
        <w:spacing w:after="0"/>
        <w:tabs>
          <w:tab w:leader="none" w:pos="280" w:val="left"/>
        </w:tabs>
        <w:numPr>
          <w:ilvl w:val="0"/>
          <w:numId w:val="80"/>
        </w:numPr>
        <w:rPr>
          <w:rFonts w:ascii="Arial" w:cs="Arial" w:eastAsia="Arial" w:hAnsi="Arial"/>
          <w:sz w:val="11"/>
          <w:szCs w:val="11"/>
          <w:color w:val="auto"/>
        </w:rPr>
      </w:pPr>
      <w:r>
        <w:rPr>
          <w:rFonts w:ascii="Arial" w:cs="Arial" w:eastAsia="Arial" w:hAnsi="Arial"/>
          <w:sz w:val="13"/>
          <w:szCs w:val="13"/>
          <w:color w:val="auto"/>
        </w:rPr>
        <w:t>Amounts in this column are based upon the closing price of the Company’s stock at December 31, 2020, which was $112.83.</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57</w:t>
      </w:r>
    </w:p>
    <w:p>
      <w:pPr>
        <w:sectPr>
          <w:pgSz w:w="11900" w:h="16838" w:orient="portrait"/>
          <w:cols w:equalWidth="0" w:num="1">
            <w:col w:w="11140"/>
          </w:cols>
          <w:pgMar w:left="32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31"/>
          <w:szCs w:val="31"/>
          <w:color w:val="0A1E42"/>
        </w:rPr>
        <w:t>Option exercises and stock vested in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151765</wp:posOffset>
            </wp:positionV>
            <wp:extent cx="6995160" cy="12255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225550"/>
                    </a:xfrm>
                    <a:prstGeom prst="rect">
                      <a:avLst/>
                    </a:prstGeom>
                    <a:noFill/>
                  </pic:spPr>
                </pic:pic>
              </a:graphicData>
            </a:graphic>
          </wp:anchor>
        </w:drawing>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00"/>
        </w:trPr>
        <w:tc>
          <w:tcPr>
            <w:tcW w:w="6560" w:type="dxa"/>
            <w:vAlign w:val="bottom"/>
            <w:shd w:val="clear" w:color="auto" w:fill="F4F4E5"/>
          </w:tcPr>
          <w:p>
            <w:pPr>
              <w:spacing w:after="0"/>
              <w:rPr>
                <w:sz w:val="17"/>
                <w:szCs w:val="17"/>
                <w:color w:val="auto"/>
              </w:rPr>
            </w:pPr>
          </w:p>
        </w:tc>
        <w:tc>
          <w:tcPr>
            <w:tcW w:w="1900" w:type="dxa"/>
            <w:vAlign w:val="bottom"/>
            <w:gridSpan w:val="2"/>
            <w:shd w:val="clear" w:color="auto" w:fill="F4F4E5"/>
          </w:tcPr>
          <w:p>
            <w:pPr>
              <w:jc w:val="center"/>
              <w:ind w:right="77"/>
              <w:spacing w:after="0"/>
              <w:rPr>
                <w:sz w:val="20"/>
                <w:szCs w:val="20"/>
                <w:color w:val="auto"/>
              </w:rPr>
            </w:pPr>
            <w:r>
              <w:rPr>
                <w:rFonts w:ascii="Arial" w:cs="Arial" w:eastAsia="Arial" w:hAnsi="Arial"/>
                <w:sz w:val="13"/>
                <w:szCs w:val="13"/>
                <w:b w:val="1"/>
                <w:bCs w:val="1"/>
                <w:color w:val="auto"/>
                <w:w w:val="96"/>
              </w:rPr>
              <w:t>OPTION AWARDS</w:t>
            </w:r>
          </w:p>
        </w:tc>
        <w:tc>
          <w:tcPr>
            <w:tcW w:w="2560" w:type="dxa"/>
            <w:vAlign w:val="bottom"/>
            <w:gridSpan w:val="2"/>
            <w:shd w:val="clear" w:color="auto" w:fill="F4F4E5"/>
          </w:tcPr>
          <w:p>
            <w:pPr>
              <w:ind w:left="700"/>
              <w:spacing w:after="0"/>
              <w:rPr>
                <w:sz w:val="20"/>
                <w:szCs w:val="20"/>
                <w:color w:val="auto"/>
              </w:rPr>
            </w:pPr>
            <w:r>
              <w:rPr>
                <w:rFonts w:ascii="Arial" w:cs="Arial" w:eastAsia="Arial" w:hAnsi="Arial"/>
                <w:sz w:val="13"/>
                <w:szCs w:val="13"/>
                <w:b w:val="1"/>
                <w:bCs w:val="1"/>
                <w:color w:val="auto"/>
              </w:rPr>
              <w:t>STOCK AWARDS</w:t>
            </w:r>
          </w:p>
        </w:tc>
      </w:tr>
      <w:tr>
        <w:trPr>
          <w:trHeight w:val="183"/>
        </w:trPr>
        <w:tc>
          <w:tcPr>
            <w:tcW w:w="6560" w:type="dxa"/>
            <w:vAlign w:val="bottom"/>
            <w:shd w:val="clear" w:color="auto" w:fill="F4F4E5"/>
          </w:tcPr>
          <w:p>
            <w:pPr>
              <w:spacing w:after="0"/>
              <w:rPr>
                <w:sz w:val="15"/>
                <w:szCs w:val="15"/>
                <w:color w:val="auto"/>
              </w:rPr>
            </w:pPr>
          </w:p>
        </w:tc>
        <w:tc>
          <w:tcPr>
            <w:tcW w:w="920" w:type="dxa"/>
            <w:vAlign w:val="bottom"/>
            <w:shd w:val="clear" w:color="auto" w:fill="F4F4E5"/>
          </w:tcPr>
          <w:p>
            <w:pPr>
              <w:jc w:val="center"/>
              <w:spacing w:after="0"/>
              <w:rPr>
                <w:sz w:val="20"/>
                <w:szCs w:val="20"/>
                <w:color w:val="auto"/>
              </w:rPr>
            </w:pPr>
            <w:r>
              <w:rPr>
                <w:rFonts w:ascii="Arial" w:cs="Arial" w:eastAsia="Arial" w:hAnsi="Arial"/>
                <w:sz w:val="13"/>
                <w:szCs w:val="13"/>
                <w:b w:val="1"/>
                <w:bCs w:val="1"/>
                <w:color w:val="auto"/>
                <w:w w:val="96"/>
              </w:rPr>
              <w:t>NUMBER OF</w:t>
            </w:r>
          </w:p>
        </w:tc>
        <w:tc>
          <w:tcPr>
            <w:tcW w:w="980" w:type="dxa"/>
            <w:vAlign w:val="bottom"/>
            <w:shd w:val="clear" w:color="auto" w:fill="F4F4E5"/>
          </w:tcPr>
          <w:p>
            <w:pPr>
              <w:spacing w:after="0"/>
              <w:rPr>
                <w:sz w:val="15"/>
                <w:szCs w:val="15"/>
                <w:color w:val="auto"/>
              </w:rPr>
            </w:pPr>
          </w:p>
        </w:tc>
        <w:tc>
          <w:tcPr>
            <w:tcW w:w="1200" w:type="dxa"/>
            <w:vAlign w:val="bottom"/>
            <w:shd w:val="clear" w:color="auto" w:fill="F4F4E5"/>
          </w:tcPr>
          <w:p>
            <w:pPr>
              <w:jc w:val="center"/>
              <w:ind w:right="57"/>
              <w:spacing w:after="0"/>
              <w:rPr>
                <w:sz w:val="20"/>
                <w:szCs w:val="20"/>
                <w:color w:val="auto"/>
              </w:rPr>
            </w:pPr>
            <w:r>
              <w:rPr>
                <w:rFonts w:ascii="Arial" w:cs="Arial" w:eastAsia="Arial" w:hAnsi="Arial"/>
                <w:sz w:val="13"/>
                <w:szCs w:val="13"/>
                <w:b w:val="1"/>
                <w:bCs w:val="1"/>
                <w:color w:val="auto"/>
                <w:w w:val="96"/>
              </w:rPr>
              <w:t>NUMBER OF</w:t>
            </w:r>
          </w:p>
        </w:tc>
        <w:tc>
          <w:tcPr>
            <w:tcW w:w="1360" w:type="dxa"/>
            <w:vAlign w:val="bottom"/>
            <w:shd w:val="clear" w:color="auto" w:fill="F4F4E5"/>
          </w:tcPr>
          <w:p>
            <w:pPr>
              <w:spacing w:after="0"/>
              <w:rPr>
                <w:sz w:val="15"/>
                <w:szCs w:val="15"/>
                <w:color w:val="auto"/>
              </w:rPr>
            </w:pPr>
          </w:p>
        </w:tc>
      </w:tr>
      <w:tr>
        <w:trPr>
          <w:trHeight w:val="135"/>
        </w:trPr>
        <w:tc>
          <w:tcPr>
            <w:tcW w:w="6560" w:type="dxa"/>
            <w:vAlign w:val="bottom"/>
            <w:shd w:val="clear" w:color="auto" w:fill="F4F4E5"/>
          </w:tcPr>
          <w:p>
            <w:pPr>
              <w:spacing w:after="0"/>
              <w:rPr>
                <w:sz w:val="11"/>
                <w:szCs w:val="11"/>
                <w:color w:val="auto"/>
              </w:rPr>
            </w:pPr>
          </w:p>
        </w:tc>
        <w:tc>
          <w:tcPr>
            <w:tcW w:w="92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5"/>
              </w:rPr>
              <w:t>SHARES</w:t>
            </w:r>
          </w:p>
        </w:tc>
        <w:tc>
          <w:tcPr>
            <w:tcW w:w="980" w:type="dxa"/>
            <w:vAlign w:val="bottom"/>
            <w:shd w:val="clear" w:color="auto" w:fill="F4F4E5"/>
          </w:tcPr>
          <w:p>
            <w:pPr>
              <w:jc w:val="center"/>
              <w:ind w:right="117"/>
              <w:spacing w:after="0" w:line="135" w:lineRule="exact"/>
              <w:rPr>
                <w:sz w:val="20"/>
                <w:szCs w:val="20"/>
                <w:color w:val="auto"/>
              </w:rPr>
            </w:pPr>
            <w:r>
              <w:rPr>
                <w:rFonts w:ascii="Arial" w:cs="Arial" w:eastAsia="Arial" w:hAnsi="Arial"/>
                <w:sz w:val="13"/>
                <w:szCs w:val="13"/>
                <w:b w:val="1"/>
                <w:bCs w:val="1"/>
                <w:color w:val="auto"/>
                <w:w w:val="90"/>
              </w:rPr>
              <w:t>VALUE</w:t>
            </w:r>
          </w:p>
        </w:tc>
        <w:tc>
          <w:tcPr>
            <w:tcW w:w="1200" w:type="dxa"/>
            <w:vAlign w:val="bottom"/>
            <w:shd w:val="clear" w:color="auto" w:fill="F4F4E5"/>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SHARES</w:t>
            </w:r>
          </w:p>
        </w:tc>
        <w:tc>
          <w:tcPr>
            <w:tcW w:w="136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5"/>
              </w:rPr>
              <w:t>VALUE</w:t>
            </w:r>
          </w:p>
        </w:tc>
      </w:tr>
      <w:tr>
        <w:trPr>
          <w:trHeight w:val="135"/>
        </w:trPr>
        <w:tc>
          <w:tcPr>
            <w:tcW w:w="6560" w:type="dxa"/>
            <w:vAlign w:val="bottom"/>
            <w:shd w:val="clear" w:color="auto" w:fill="F4F4E5"/>
          </w:tcPr>
          <w:p>
            <w:pPr>
              <w:spacing w:after="0"/>
              <w:rPr>
                <w:sz w:val="11"/>
                <w:szCs w:val="11"/>
                <w:color w:val="auto"/>
              </w:rPr>
            </w:pPr>
          </w:p>
        </w:tc>
        <w:tc>
          <w:tcPr>
            <w:tcW w:w="92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8"/>
              </w:rPr>
              <w:t>ACQUIRED</w:t>
            </w:r>
          </w:p>
        </w:tc>
        <w:tc>
          <w:tcPr>
            <w:tcW w:w="980" w:type="dxa"/>
            <w:vAlign w:val="bottom"/>
            <w:shd w:val="clear" w:color="auto" w:fill="F4F4E5"/>
          </w:tcPr>
          <w:p>
            <w:pPr>
              <w:jc w:val="center"/>
              <w:ind w:right="117"/>
              <w:spacing w:after="0" w:line="135" w:lineRule="exact"/>
              <w:rPr>
                <w:sz w:val="20"/>
                <w:szCs w:val="20"/>
                <w:color w:val="auto"/>
              </w:rPr>
            </w:pPr>
            <w:r>
              <w:rPr>
                <w:rFonts w:ascii="Arial" w:cs="Arial" w:eastAsia="Arial" w:hAnsi="Arial"/>
                <w:sz w:val="13"/>
                <w:szCs w:val="13"/>
                <w:b w:val="1"/>
                <w:bCs w:val="1"/>
                <w:color w:val="auto"/>
                <w:w w:val="98"/>
              </w:rPr>
              <w:t>REALIZED</w:t>
            </w:r>
          </w:p>
        </w:tc>
        <w:tc>
          <w:tcPr>
            <w:tcW w:w="1200" w:type="dxa"/>
            <w:vAlign w:val="bottom"/>
            <w:shd w:val="clear" w:color="auto" w:fill="F4F4E5"/>
          </w:tcPr>
          <w:p>
            <w:pPr>
              <w:jc w:val="center"/>
              <w:ind w:right="77"/>
              <w:spacing w:after="0" w:line="135" w:lineRule="exact"/>
              <w:rPr>
                <w:sz w:val="20"/>
                <w:szCs w:val="20"/>
                <w:color w:val="auto"/>
              </w:rPr>
            </w:pPr>
            <w:r>
              <w:rPr>
                <w:rFonts w:ascii="Arial" w:cs="Arial" w:eastAsia="Arial" w:hAnsi="Arial"/>
                <w:sz w:val="13"/>
                <w:szCs w:val="13"/>
                <w:b w:val="1"/>
                <w:bCs w:val="1"/>
                <w:color w:val="auto"/>
                <w:w w:val="95"/>
              </w:rPr>
              <w:t>ACQUIRED</w:t>
            </w:r>
          </w:p>
        </w:tc>
        <w:tc>
          <w:tcPr>
            <w:tcW w:w="136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8"/>
              </w:rPr>
              <w:t>REALIZED</w:t>
            </w:r>
          </w:p>
        </w:tc>
      </w:tr>
      <w:tr>
        <w:trPr>
          <w:trHeight w:val="135"/>
        </w:trPr>
        <w:tc>
          <w:tcPr>
            <w:tcW w:w="6560" w:type="dxa"/>
            <w:vAlign w:val="bottom"/>
            <w:shd w:val="clear" w:color="auto" w:fill="F4F4E5"/>
          </w:tcPr>
          <w:p>
            <w:pPr>
              <w:spacing w:after="0"/>
              <w:rPr>
                <w:sz w:val="11"/>
                <w:szCs w:val="11"/>
                <w:color w:val="auto"/>
              </w:rPr>
            </w:pPr>
          </w:p>
        </w:tc>
        <w:tc>
          <w:tcPr>
            <w:tcW w:w="1900" w:type="dxa"/>
            <w:vAlign w:val="bottom"/>
            <w:gridSpan w:val="2"/>
            <w:shd w:val="clear" w:color="auto" w:fill="F4F4E5"/>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ON EXERCISE ON EXERCISE</w:t>
            </w:r>
          </w:p>
        </w:tc>
        <w:tc>
          <w:tcPr>
            <w:tcW w:w="1200" w:type="dxa"/>
            <w:vAlign w:val="bottom"/>
            <w:shd w:val="clear" w:color="auto" w:fill="F4F4E5"/>
          </w:tcPr>
          <w:p>
            <w:pPr>
              <w:jc w:val="center"/>
              <w:ind w:right="77"/>
              <w:spacing w:after="0" w:line="135" w:lineRule="exact"/>
              <w:rPr>
                <w:sz w:val="20"/>
                <w:szCs w:val="20"/>
                <w:color w:val="auto"/>
              </w:rPr>
            </w:pPr>
            <w:r>
              <w:rPr>
                <w:rFonts w:ascii="Arial" w:cs="Arial" w:eastAsia="Arial" w:hAnsi="Arial"/>
                <w:sz w:val="13"/>
                <w:szCs w:val="13"/>
                <w:b w:val="1"/>
                <w:bCs w:val="1"/>
                <w:color w:val="auto"/>
                <w:w w:val="97"/>
              </w:rPr>
              <w:t>ON VESTING</w:t>
            </w:r>
          </w:p>
        </w:tc>
        <w:tc>
          <w:tcPr>
            <w:tcW w:w="1360" w:type="dxa"/>
            <w:vAlign w:val="bottom"/>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7"/>
              </w:rPr>
              <w:t>ON VESTING</w:t>
            </w:r>
          </w:p>
        </w:tc>
      </w:tr>
      <w:tr>
        <w:trPr>
          <w:trHeight w:val="181"/>
        </w:trPr>
        <w:tc>
          <w:tcPr>
            <w:tcW w:w="6560" w:type="dxa"/>
            <w:vAlign w:val="bottom"/>
            <w:shd w:val="clear" w:color="auto" w:fill="F4F4E5"/>
          </w:tcPr>
          <w:p>
            <w:pPr>
              <w:ind w:left="60"/>
              <w:spacing w:after="0"/>
              <w:rPr>
                <w:sz w:val="20"/>
                <w:szCs w:val="20"/>
                <w:color w:val="auto"/>
              </w:rPr>
            </w:pPr>
            <w:r>
              <w:rPr>
                <w:rFonts w:ascii="Arial" w:cs="Arial" w:eastAsia="Arial" w:hAnsi="Arial"/>
                <w:sz w:val="13"/>
                <w:szCs w:val="13"/>
                <w:b w:val="1"/>
                <w:bCs w:val="1"/>
                <w:color w:val="auto"/>
              </w:rPr>
              <w:t>NAME</w:t>
            </w:r>
          </w:p>
        </w:tc>
        <w:tc>
          <w:tcPr>
            <w:tcW w:w="920" w:type="dxa"/>
            <w:vAlign w:val="bottom"/>
            <w:shd w:val="clear" w:color="auto" w:fill="F4F4E5"/>
          </w:tcPr>
          <w:p>
            <w:pPr>
              <w:jc w:val="center"/>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F4F4E5"/>
          </w:tcPr>
          <w:p>
            <w:pPr>
              <w:jc w:val="center"/>
              <w:ind w:right="117"/>
              <w:spacing w:after="0"/>
              <w:rPr>
                <w:sz w:val="20"/>
                <w:szCs w:val="20"/>
                <w:color w:val="auto"/>
              </w:rPr>
            </w:pPr>
            <w:r>
              <w:rPr>
                <w:rFonts w:ascii="Arial" w:cs="Arial" w:eastAsia="Arial" w:hAnsi="Arial"/>
                <w:sz w:val="13"/>
                <w:szCs w:val="13"/>
                <w:b w:val="1"/>
                <w:bCs w:val="1"/>
                <w:color w:val="auto"/>
              </w:rPr>
              <w:t>($)</w:t>
            </w:r>
          </w:p>
        </w:tc>
        <w:tc>
          <w:tcPr>
            <w:tcW w:w="1200" w:type="dxa"/>
            <w:vAlign w:val="bottom"/>
            <w:shd w:val="clear" w:color="auto" w:fill="F4F4E5"/>
          </w:tcPr>
          <w:p>
            <w:pPr>
              <w:jc w:val="center"/>
              <w:ind w:right="57"/>
              <w:spacing w:after="0"/>
              <w:rPr>
                <w:sz w:val="20"/>
                <w:szCs w:val="20"/>
                <w:color w:val="auto"/>
              </w:rPr>
            </w:pPr>
            <w:r>
              <w:rPr>
                <w:rFonts w:ascii="Arial" w:cs="Arial" w:eastAsia="Arial" w:hAnsi="Arial"/>
                <w:sz w:val="13"/>
                <w:szCs w:val="13"/>
                <w:b w:val="1"/>
                <w:bCs w:val="1"/>
                <w:color w:val="auto"/>
              </w:rPr>
              <w:t>(#)</w:t>
            </w:r>
          </w:p>
        </w:tc>
        <w:tc>
          <w:tcPr>
            <w:tcW w:w="1360" w:type="dxa"/>
            <w:vAlign w:val="bottom"/>
            <w:shd w:val="clear" w:color="auto" w:fill="F4F4E5"/>
          </w:tcPr>
          <w:p>
            <w:pPr>
              <w:jc w:val="center"/>
              <w:spacing w:after="0"/>
              <w:rPr>
                <w:sz w:val="20"/>
                <w:szCs w:val="20"/>
                <w:color w:val="auto"/>
              </w:rPr>
            </w:pPr>
            <w:r>
              <w:rPr>
                <w:rFonts w:ascii="Arial" w:cs="Arial" w:eastAsia="Arial" w:hAnsi="Arial"/>
                <w:sz w:val="13"/>
                <w:szCs w:val="13"/>
                <w:b w:val="1"/>
                <w:bCs w:val="1"/>
                <w:color w:val="auto"/>
              </w:rPr>
              <w:t>($)</w:t>
            </w:r>
          </w:p>
        </w:tc>
      </w:tr>
      <w:tr>
        <w:trPr>
          <w:trHeight w:val="97"/>
        </w:trPr>
        <w:tc>
          <w:tcPr>
            <w:tcW w:w="6560" w:type="dxa"/>
            <w:vAlign w:val="bottom"/>
            <w:shd w:val="clear" w:color="auto" w:fill="F4F4E5"/>
          </w:tcPr>
          <w:p>
            <w:pPr>
              <w:spacing w:after="0"/>
              <w:rPr>
                <w:sz w:val="8"/>
                <w:szCs w:val="8"/>
                <w:color w:val="auto"/>
              </w:rPr>
            </w:pPr>
          </w:p>
        </w:tc>
        <w:tc>
          <w:tcPr>
            <w:tcW w:w="920" w:type="dxa"/>
            <w:vAlign w:val="bottom"/>
            <w:shd w:val="clear" w:color="auto" w:fill="F4F4E5"/>
          </w:tcPr>
          <w:p>
            <w:pPr>
              <w:spacing w:after="0"/>
              <w:rPr>
                <w:sz w:val="8"/>
                <w:szCs w:val="8"/>
                <w:color w:val="auto"/>
              </w:rPr>
            </w:pPr>
          </w:p>
        </w:tc>
        <w:tc>
          <w:tcPr>
            <w:tcW w:w="980" w:type="dxa"/>
            <w:vAlign w:val="bottom"/>
            <w:shd w:val="clear" w:color="auto" w:fill="F4F4E5"/>
          </w:tcPr>
          <w:p>
            <w:pPr>
              <w:spacing w:after="0"/>
              <w:rPr>
                <w:sz w:val="8"/>
                <w:szCs w:val="8"/>
                <w:color w:val="auto"/>
              </w:rPr>
            </w:pPr>
          </w:p>
        </w:tc>
        <w:tc>
          <w:tcPr>
            <w:tcW w:w="1200" w:type="dxa"/>
            <w:vAlign w:val="bottom"/>
            <w:shd w:val="clear" w:color="auto" w:fill="F4F4E5"/>
          </w:tcPr>
          <w:p>
            <w:pPr>
              <w:spacing w:after="0"/>
              <w:rPr>
                <w:sz w:val="8"/>
                <w:szCs w:val="8"/>
                <w:color w:val="auto"/>
              </w:rPr>
            </w:pPr>
          </w:p>
        </w:tc>
        <w:tc>
          <w:tcPr>
            <w:tcW w:w="1360" w:type="dxa"/>
            <w:vAlign w:val="bottom"/>
            <w:shd w:val="clear" w:color="auto" w:fill="F4F4E5"/>
          </w:tcPr>
          <w:p>
            <w:pPr>
              <w:spacing w:after="0"/>
              <w:rPr>
                <w:sz w:val="8"/>
                <w:szCs w:val="8"/>
                <w:color w:val="auto"/>
              </w:rPr>
            </w:pPr>
          </w:p>
        </w:tc>
      </w:tr>
    </w:tbl>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240" w:type="dxa"/>
            <w:vAlign w:val="bottom"/>
            <w:shd w:val="clear" w:color="auto" w:fill="EAEFF2"/>
          </w:tcPr>
          <w:p>
            <w:pPr>
              <w:ind w:left="60"/>
              <w:spacing w:after="0"/>
              <w:rPr>
                <w:sz w:val="20"/>
                <w:szCs w:val="20"/>
                <w:color w:val="auto"/>
              </w:rPr>
            </w:pPr>
            <w:r>
              <w:rPr>
                <w:rFonts w:ascii="Arial" w:cs="Arial" w:eastAsia="Arial" w:hAnsi="Arial"/>
                <w:sz w:val="13"/>
                <w:szCs w:val="13"/>
                <w:b w:val="1"/>
                <w:bCs w:val="1"/>
                <w:color w:val="auto"/>
              </w:rPr>
              <w:t>MATT MADDOX</w:t>
            </w:r>
          </w:p>
        </w:tc>
        <w:tc>
          <w:tcPr>
            <w:tcW w:w="3180" w:type="dxa"/>
            <w:vAlign w:val="bottom"/>
            <w:shd w:val="clear" w:color="auto" w:fill="EAEFF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AEFF2"/>
          </w:tcPr>
          <w:p>
            <w:pPr>
              <w:jc w:val="right"/>
              <w:ind w:right="3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EFF2"/>
          </w:tcPr>
          <w:p>
            <w:pPr>
              <w:jc w:val="center"/>
              <w:ind w:left="28"/>
              <w:spacing w:after="0"/>
              <w:rPr>
                <w:sz w:val="20"/>
                <w:szCs w:val="20"/>
                <w:color w:val="auto"/>
              </w:rPr>
            </w:pPr>
            <w:r>
              <w:rPr>
                <w:rFonts w:ascii="Arial" w:cs="Arial" w:eastAsia="Arial" w:hAnsi="Arial"/>
                <w:sz w:val="14"/>
                <w:szCs w:val="14"/>
                <w:color w:val="auto"/>
              </w:rPr>
              <w:t>172,071</w:t>
            </w:r>
          </w:p>
        </w:tc>
        <w:tc>
          <w:tcPr>
            <w:tcW w:w="1460" w:type="dxa"/>
            <w:vAlign w:val="bottom"/>
            <w:gridSpan w:val="2"/>
            <w:shd w:val="clear" w:color="auto" w:fill="EAEFF2"/>
          </w:tcPr>
          <w:p>
            <w:pPr>
              <w:jc w:val="right"/>
              <w:ind w:right="128"/>
              <w:spacing w:after="0"/>
              <w:rPr>
                <w:sz w:val="20"/>
                <w:szCs w:val="20"/>
                <w:color w:val="auto"/>
              </w:rPr>
            </w:pPr>
            <w:r>
              <w:rPr>
                <w:rFonts w:ascii="Arial" w:cs="Arial" w:eastAsia="Arial" w:hAnsi="Arial"/>
                <w:sz w:val="14"/>
                <w:szCs w:val="14"/>
                <w:color w:val="auto"/>
              </w:rPr>
              <w:t>$14,050,627</w:t>
            </w:r>
            <w:r>
              <w:rPr>
                <w:rFonts w:ascii="Arial" w:cs="Arial" w:eastAsia="Arial" w:hAnsi="Arial"/>
                <w:sz w:val="24"/>
                <w:szCs w:val="24"/>
                <w:color w:val="auto"/>
                <w:vertAlign w:val="superscript"/>
              </w:rPr>
              <w:t>(1)</w:t>
            </w:r>
          </w:p>
        </w:tc>
      </w:tr>
      <w:tr>
        <w:trPr>
          <w:trHeight w:val="283"/>
        </w:trPr>
        <w:tc>
          <w:tcPr>
            <w:tcW w:w="4240" w:type="dxa"/>
            <w:vAlign w:val="bottom"/>
            <w:shd w:val="clear" w:color="auto" w:fill="F4F4E5"/>
          </w:tcPr>
          <w:p>
            <w:pPr>
              <w:ind w:left="60"/>
              <w:spacing w:after="0"/>
              <w:rPr>
                <w:sz w:val="20"/>
                <w:szCs w:val="20"/>
                <w:color w:val="auto"/>
              </w:rPr>
            </w:pPr>
            <w:r>
              <w:rPr>
                <w:rFonts w:ascii="Arial" w:cs="Arial" w:eastAsia="Arial" w:hAnsi="Arial"/>
                <w:sz w:val="13"/>
                <w:szCs w:val="13"/>
                <w:b w:val="1"/>
                <w:bCs w:val="1"/>
                <w:color w:val="auto"/>
              </w:rPr>
              <w:t>CRAIG BILLINGS</w:t>
            </w:r>
          </w:p>
        </w:tc>
        <w:tc>
          <w:tcPr>
            <w:tcW w:w="3180" w:type="dxa"/>
            <w:vAlign w:val="bottom"/>
            <w:shd w:val="clear" w:color="auto" w:fill="F4F4E5"/>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E5"/>
          </w:tcPr>
          <w:p>
            <w:pPr>
              <w:jc w:val="right"/>
              <w:ind w:right="3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F4F4E5"/>
          </w:tcPr>
          <w:p>
            <w:pPr>
              <w:jc w:val="center"/>
              <w:ind w:left="28"/>
              <w:spacing w:after="0"/>
              <w:rPr>
                <w:sz w:val="20"/>
                <w:szCs w:val="20"/>
                <w:color w:val="auto"/>
              </w:rPr>
            </w:pPr>
            <w:r>
              <w:rPr>
                <w:rFonts w:ascii="Arial" w:cs="Arial" w:eastAsia="Arial" w:hAnsi="Arial"/>
                <w:sz w:val="14"/>
                <w:szCs w:val="14"/>
                <w:color w:val="auto"/>
              </w:rPr>
              <w:t>25,621</w:t>
            </w:r>
          </w:p>
        </w:tc>
        <w:tc>
          <w:tcPr>
            <w:tcW w:w="42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E5"/>
          </w:tcPr>
          <w:p>
            <w:pPr>
              <w:jc w:val="right"/>
              <w:ind w:right="128"/>
              <w:spacing w:after="0"/>
              <w:rPr>
                <w:sz w:val="20"/>
                <w:szCs w:val="20"/>
                <w:color w:val="auto"/>
              </w:rPr>
            </w:pPr>
            <w:r>
              <w:rPr>
                <w:rFonts w:ascii="Arial" w:cs="Arial" w:eastAsia="Arial" w:hAnsi="Arial"/>
                <w:sz w:val="14"/>
                <w:szCs w:val="14"/>
                <w:color w:val="auto"/>
              </w:rPr>
              <w:t>2,117,711</w:t>
            </w:r>
            <w:r>
              <w:rPr>
                <w:rFonts w:ascii="Arial" w:cs="Arial" w:eastAsia="Arial" w:hAnsi="Arial"/>
                <w:sz w:val="24"/>
                <w:szCs w:val="24"/>
                <w:color w:val="auto"/>
                <w:vertAlign w:val="superscript"/>
              </w:rPr>
              <w:t>(2)</w:t>
            </w:r>
          </w:p>
        </w:tc>
      </w:tr>
      <w:tr>
        <w:trPr>
          <w:trHeight w:val="283"/>
        </w:trPr>
        <w:tc>
          <w:tcPr>
            <w:tcW w:w="4240" w:type="dxa"/>
            <w:vAlign w:val="bottom"/>
            <w:shd w:val="clear" w:color="auto" w:fill="EAEFF2"/>
          </w:tcPr>
          <w:p>
            <w:pPr>
              <w:ind w:left="60"/>
              <w:spacing w:after="0"/>
              <w:rPr>
                <w:sz w:val="20"/>
                <w:szCs w:val="20"/>
                <w:color w:val="auto"/>
              </w:rPr>
            </w:pPr>
            <w:r>
              <w:rPr>
                <w:rFonts w:ascii="Arial" w:cs="Arial" w:eastAsia="Arial" w:hAnsi="Arial"/>
                <w:sz w:val="13"/>
                <w:szCs w:val="13"/>
                <w:b w:val="1"/>
                <w:bCs w:val="1"/>
                <w:color w:val="auto"/>
              </w:rPr>
              <w:t>ELLEN F. WHITTEMORE</w:t>
            </w:r>
          </w:p>
        </w:tc>
        <w:tc>
          <w:tcPr>
            <w:tcW w:w="3180" w:type="dxa"/>
            <w:vAlign w:val="bottom"/>
            <w:shd w:val="clear" w:color="auto" w:fill="EAEFF2"/>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shd w:val="clear" w:color="auto" w:fill="EAEFF2"/>
          </w:tcPr>
          <w:p>
            <w:pPr>
              <w:jc w:val="right"/>
              <w:ind w:right="3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EAEFF2"/>
          </w:tcPr>
          <w:p>
            <w:pPr>
              <w:jc w:val="center"/>
              <w:ind w:left="28"/>
              <w:spacing w:after="0"/>
              <w:rPr>
                <w:sz w:val="20"/>
                <w:szCs w:val="20"/>
                <w:color w:val="auto"/>
              </w:rPr>
            </w:pPr>
            <w:r>
              <w:rPr>
                <w:rFonts w:ascii="Arial" w:cs="Arial" w:eastAsia="Arial" w:hAnsi="Arial"/>
                <w:sz w:val="14"/>
                <w:szCs w:val="14"/>
                <w:color w:val="auto"/>
              </w:rPr>
              <w:t>7,179</w:t>
            </w:r>
          </w:p>
        </w:tc>
        <w:tc>
          <w:tcPr>
            <w:tcW w:w="4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AEFF2"/>
          </w:tcPr>
          <w:p>
            <w:pPr>
              <w:jc w:val="right"/>
              <w:ind w:right="128"/>
              <w:spacing w:after="0"/>
              <w:rPr>
                <w:sz w:val="20"/>
                <w:szCs w:val="20"/>
                <w:color w:val="auto"/>
              </w:rPr>
            </w:pPr>
            <w:r>
              <w:rPr>
                <w:rFonts w:ascii="Arial" w:cs="Arial" w:eastAsia="Arial" w:hAnsi="Arial"/>
                <w:sz w:val="14"/>
                <w:szCs w:val="14"/>
                <w:color w:val="auto"/>
              </w:rPr>
              <w:t>519,021</w:t>
            </w:r>
            <w:r>
              <w:rPr>
                <w:rFonts w:ascii="Arial" w:cs="Arial" w:eastAsia="Arial" w:hAnsi="Arial"/>
                <w:sz w:val="24"/>
                <w:szCs w:val="24"/>
                <w:color w:val="auto"/>
                <w:vertAlign w:val="superscript"/>
              </w:rPr>
              <w:t>(3)</w:t>
            </w:r>
          </w:p>
        </w:tc>
      </w:tr>
    </w:tbl>
    <w:p>
      <w:pPr>
        <w:spacing w:after="0" w:line="116" w:lineRule="exact"/>
        <w:rPr>
          <w:sz w:val="20"/>
          <w:szCs w:val="20"/>
          <w:color w:val="auto"/>
        </w:rPr>
      </w:pPr>
    </w:p>
    <w:p>
      <w:pPr>
        <w:ind w:left="120" w:right="100" w:hanging="4"/>
        <w:spacing w:after="0" w:line="230" w:lineRule="auto"/>
        <w:tabs>
          <w:tab w:leader="none" w:pos="280" w:val="left"/>
        </w:tabs>
        <w:numPr>
          <w:ilvl w:val="0"/>
          <w:numId w:val="81"/>
        </w:numPr>
        <w:rPr>
          <w:rFonts w:ascii="Arial" w:cs="Arial" w:eastAsia="Arial" w:hAnsi="Arial"/>
          <w:sz w:val="11"/>
          <w:szCs w:val="11"/>
          <w:color w:val="auto"/>
        </w:rPr>
      </w:pPr>
      <w:r>
        <w:rPr>
          <w:rFonts w:ascii="Arial" w:cs="Arial" w:eastAsia="Arial" w:hAnsi="Arial"/>
          <w:sz w:val="13"/>
          <w:szCs w:val="13"/>
          <w:color w:val="auto"/>
        </w:rPr>
        <w:t>100,000 shares that were acquired on vesting were as a result of achievement of certain pre-established performance goals. 72,071 shares vested based on satisfaction of the applicable service conditions.</w:t>
      </w:r>
    </w:p>
    <w:p>
      <w:pPr>
        <w:spacing w:after="0" w:line="91" w:lineRule="exact"/>
        <w:rPr>
          <w:rFonts w:ascii="Arial" w:cs="Arial" w:eastAsia="Arial" w:hAnsi="Arial"/>
          <w:sz w:val="11"/>
          <w:szCs w:val="11"/>
          <w:color w:val="auto"/>
        </w:rPr>
      </w:pPr>
    </w:p>
    <w:p>
      <w:pPr>
        <w:ind w:left="120" w:right="160" w:hanging="4"/>
        <w:spacing w:after="0" w:line="230" w:lineRule="auto"/>
        <w:tabs>
          <w:tab w:leader="none" w:pos="286" w:val="left"/>
        </w:tabs>
        <w:numPr>
          <w:ilvl w:val="0"/>
          <w:numId w:val="81"/>
        </w:numPr>
        <w:rPr>
          <w:rFonts w:ascii="Arial" w:cs="Arial" w:eastAsia="Arial" w:hAnsi="Arial"/>
          <w:sz w:val="11"/>
          <w:szCs w:val="11"/>
          <w:color w:val="auto"/>
        </w:rPr>
      </w:pPr>
      <w:r>
        <w:rPr>
          <w:rFonts w:ascii="Arial" w:cs="Arial" w:eastAsia="Arial" w:hAnsi="Arial"/>
          <w:sz w:val="13"/>
          <w:szCs w:val="13"/>
          <w:color w:val="auto"/>
        </w:rPr>
        <w:t>10,000 shares that were acquired on vesting were as a result of achievement of certain pre-established performance goals. 15,621 shares vested based on satisfaction of the applicable service conditions.</w:t>
      </w:r>
    </w:p>
    <w:p>
      <w:pPr>
        <w:spacing w:after="0" w:line="91" w:lineRule="exact"/>
        <w:rPr>
          <w:rFonts w:ascii="Arial" w:cs="Arial" w:eastAsia="Arial" w:hAnsi="Arial"/>
          <w:sz w:val="11"/>
          <w:szCs w:val="11"/>
          <w:color w:val="auto"/>
        </w:rPr>
      </w:pPr>
    </w:p>
    <w:p>
      <w:pPr>
        <w:ind w:left="120" w:right="300" w:hanging="4"/>
        <w:spacing w:after="0" w:line="230" w:lineRule="auto"/>
        <w:tabs>
          <w:tab w:leader="none" w:pos="286" w:val="left"/>
        </w:tabs>
        <w:numPr>
          <w:ilvl w:val="0"/>
          <w:numId w:val="81"/>
        </w:numPr>
        <w:rPr>
          <w:rFonts w:ascii="Arial" w:cs="Arial" w:eastAsia="Arial" w:hAnsi="Arial"/>
          <w:sz w:val="11"/>
          <w:szCs w:val="11"/>
          <w:color w:val="auto"/>
        </w:rPr>
      </w:pPr>
      <w:r>
        <w:rPr>
          <w:rFonts w:ascii="Arial" w:cs="Arial" w:eastAsia="Arial" w:hAnsi="Arial"/>
          <w:sz w:val="13"/>
          <w:szCs w:val="13"/>
          <w:color w:val="auto"/>
        </w:rPr>
        <w:t>2,250 shares that were acquired on vesting were as a result of achievement of certain pre-established performance goals. 4,929 shares vested based on satisfaction of the applicable service conditions.</w:t>
      </w:r>
    </w:p>
    <w:p>
      <w:pPr>
        <w:spacing w:after="0" w:line="178" w:lineRule="exact"/>
        <w:rPr>
          <w:sz w:val="20"/>
          <w:szCs w:val="20"/>
          <w:color w:val="auto"/>
        </w:rPr>
      </w:pPr>
    </w:p>
    <w:p>
      <w:pPr>
        <w:jc w:val="both"/>
        <w:ind w:left="120" w:right="300"/>
        <w:spacing w:after="0"/>
        <w:rPr>
          <w:sz w:val="20"/>
          <w:szCs w:val="20"/>
          <w:color w:val="auto"/>
        </w:rPr>
      </w:pPr>
      <w:r>
        <w:rPr>
          <w:rFonts w:ascii="Arial" w:cs="Arial" w:eastAsia="Arial" w:hAnsi="Arial"/>
          <w:sz w:val="18"/>
          <w:szCs w:val="18"/>
          <w:color w:val="auto"/>
        </w:rPr>
        <w:t>The amounts reported in the table above are based on the closing price of the Company’s Common Stock on the date the stock award vested. Upon vesting of the stock award, the executive also was paid an amount equal to the dividends that had accrued on the shares prior to their vesting.</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31"/>
          <w:szCs w:val="31"/>
          <w:color w:val="0A1E42"/>
        </w:rPr>
        <w:t>Potential payments upon termination or change in control</w:t>
      </w:r>
    </w:p>
    <w:p>
      <w:pPr>
        <w:spacing w:after="0" w:line="2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b w:val="1"/>
          <w:bCs w:val="1"/>
          <w:color w:val="0A1E42"/>
        </w:rPr>
        <w:t xml:space="preserve">Payments Made Upon Termination Due to Death, Complete Disability or License Revocation. </w:t>
      </w:r>
      <w:r>
        <w:rPr>
          <w:rFonts w:ascii="Arial" w:cs="Arial" w:eastAsia="Arial" w:hAnsi="Arial"/>
          <w:sz w:val="18"/>
          <w:szCs w:val="18"/>
          <w:color w:val="000000"/>
        </w:rPr>
        <w:t>The Company’s employment</w:t>
      </w:r>
      <w:r>
        <w:rPr>
          <w:rFonts w:ascii="Arial" w:cs="Arial" w:eastAsia="Arial" w:hAnsi="Arial"/>
          <w:sz w:val="18"/>
          <w:szCs w:val="18"/>
          <w:b w:val="1"/>
          <w:bCs w:val="1"/>
          <w:color w:val="0A1E42"/>
        </w:rPr>
        <w:t xml:space="preserve"> </w:t>
      </w:r>
      <w:r>
        <w:rPr>
          <w:rFonts w:ascii="Arial" w:cs="Arial" w:eastAsia="Arial" w:hAnsi="Arial"/>
          <w:sz w:val="18"/>
          <w:szCs w:val="18"/>
          <w:color w:val="000000"/>
        </w:rPr>
        <w:t>agreements with its current NEOs provide that such agreements terminate automatically upon death or complete disability of the employee, as well as upon failure of the employee to obtain or maintain any required gaming licenses. Upon such termination, such NEO is entitled to a lump sum payment of accrued and unpaid base salary and vacation pay through the termination date. Pursuant to the terms of the applicable stock option agreements and restricted stock grant agreements, all of the unvested options and restricted stock held by such NEOs would vest upon termination as a result of such NEO’s death or complete disability.</w:t>
      </w:r>
    </w:p>
    <w:p>
      <w:pPr>
        <w:spacing w:after="0" w:line="14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b w:val="1"/>
          <w:bCs w:val="1"/>
          <w:color w:val="0A1E42"/>
        </w:rPr>
        <w:t>Payments Made Upon Termination Without Cause at Employer’s Election or at Employee’s Election Upon Company Material Breach During the Term</w:t>
      </w:r>
      <w:r>
        <w:rPr>
          <w:rFonts w:ascii="Arial" w:cs="Arial" w:eastAsia="Arial" w:hAnsi="Arial"/>
          <w:sz w:val="18"/>
          <w:szCs w:val="18"/>
          <w:color w:val="000000"/>
        </w:rPr>
        <w:t>. The Company’s employment agreements with its current NEOs provide that such agreements are terminable</w:t>
      </w:r>
      <w:r>
        <w:rPr>
          <w:rFonts w:ascii="Arial" w:cs="Arial" w:eastAsia="Arial" w:hAnsi="Arial"/>
          <w:sz w:val="18"/>
          <w:szCs w:val="18"/>
          <w:b w:val="1"/>
          <w:bCs w:val="1"/>
          <w:color w:val="0A1E42"/>
        </w:rPr>
        <w:t xml:space="preserve"> </w:t>
      </w:r>
      <w:r>
        <w:rPr>
          <w:rFonts w:ascii="Arial" w:cs="Arial" w:eastAsia="Arial" w:hAnsi="Arial"/>
          <w:sz w:val="18"/>
          <w:szCs w:val="18"/>
          <w:color w:val="000000"/>
        </w:rPr>
        <w:t>by the Company without cause upon notice to the employee, so long as a “separation payment” is paid as provided in such contracts, or by the employee upon written notice to the Company of the Company’s uncured material breach of the agreement. Cause is generally defined to include (i) inability or failure to secure and/or maintain any licenses or permits required by government agencies with jurisdiction over the business of the Company or its affiliates; (ii) willful destruction of property of the Company or an affiliate having a material value to the Company or such affiliate; (iii) fraud, embezzlement, theft, or comparable dishonest activity (excluding acts involving a de minimis dollar value and not related in any manner to the Company, its affiliates or their business); (iv) conviction of or entering a plea of guilty or nolo contendere to any crime constituting a felony; (v) material breach of employment agreement; (vi) neglect, refusal, or knowing failure to materially discharge duties (other than due to physical or mental illness) commensurate with title and function, or failure to comply with the lawful directions of the Company or its board; (vii) knowing material misrepresentation to the Company or its Board of Directors;</w:t>
      </w:r>
    </w:p>
    <w:p>
      <w:pPr>
        <w:spacing w:after="0" w:line="1" w:lineRule="exact"/>
        <w:rPr>
          <w:sz w:val="20"/>
          <w:szCs w:val="20"/>
          <w:color w:val="auto"/>
        </w:rPr>
      </w:pPr>
    </w:p>
    <w:p>
      <w:pPr>
        <w:ind w:left="120" w:right="20" w:hanging="4"/>
        <w:spacing w:after="0" w:line="238"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failure to follow a material policy or procedure of the Company or an affiliate; or (ix) material breach of a statutory or common law duty of loyalty or fiduciary duty to the Company or an affiliate. Material breach is defined as (i) the Company’s failure to pay the employee’s base salary when due, (ii) the Company’s material reduction in the scope in the employee’s duties and responsibilities such that the employee’s remaining duties and responsibilities are materially inconsistent with duties and responsibilities generally associated with the employee’s position with the Company, or (iii) a material reduction in the employee’s base salary.</w:t>
      </w:r>
    </w:p>
    <w:p>
      <w:pPr>
        <w:spacing w:after="0" w:line="46" w:lineRule="exact"/>
        <w:rPr>
          <w:sz w:val="20"/>
          <w:szCs w:val="20"/>
          <w:color w:val="auto"/>
        </w:rPr>
      </w:pPr>
    </w:p>
    <w:p>
      <w:pPr>
        <w:ind w:left="800" w:hanging="684"/>
        <w:spacing w:after="0"/>
        <w:tabs>
          <w:tab w:leader="none" w:pos="800" w:val="left"/>
        </w:tabs>
        <w:numPr>
          <w:ilvl w:val="0"/>
          <w:numId w:val="83"/>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120" w:right="580"/>
        <w:spacing w:after="0" w:line="238" w:lineRule="auto"/>
        <w:rPr>
          <w:sz w:val="20"/>
          <w:szCs w:val="20"/>
          <w:color w:val="auto"/>
        </w:rPr>
      </w:pPr>
      <w:r>
        <w:rPr>
          <w:rFonts w:ascii="Arial" w:cs="Arial" w:eastAsia="Arial" w:hAnsi="Arial"/>
          <w:sz w:val="18"/>
          <w:szCs w:val="18"/>
          <w:color w:val="auto"/>
        </w:rPr>
        <w:t>The “separation payment” for all current NEOs equals the sum of (a) base salary for the remainder of the term of the employment agreement, but not less than 12 months (except for Mr. Maddox which is not less than 18 months); (b) bonus projected for all bonus periods through the end of the term of the employment agreement (based upon the last bonus paid pursuant to the employment agreement), but not less than the preceding bonus that was paid; and (c) any accrued but unpaid vacation pay.</w:t>
      </w:r>
    </w:p>
    <w:p>
      <w:pPr>
        <w:spacing w:after="0" w:line="178" w:lineRule="exact"/>
        <w:rPr>
          <w:sz w:val="20"/>
          <w:szCs w:val="20"/>
          <w:color w:val="auto"/>
        </w:rPr>
      </w:pPr>
    </w:p>
    <w:p>
      <w:pPr>
        <w:ind w:left="120" w:right="160"/>
        <w:spacing w:after="0" w:line="236" w:lineRule="auto"/>
        <w:rPr>
          <w:sz w:val="20"/>
          <w:szCs w:val="20"/>
          <w:color w:val="auto"/>
        </w:rPr>
      </w:pPr>
      <w:r>
        <w:rPr>
          <w:rFonts w:ascii="Arial" w:cs="Arial" w:eastAsia="Arial" w:hAnsi="Arial"/>
          <w:sz w:val="18"/>
          <w:szCs w:val="18"/>
          <w:color w:val="auto"/>
        </w:rPr>
        <w:t>If Mr. Maddox, Mr. Billings or Ms. Whittemore is terminated by the Company without cause or resigns following the Company’s material breach of his or her employment agreement, then as a condition to receiving such separation payment, he/she must execute a written release-severance agreement that (1) releases the Company, its affiliates, and their officers, directors, agents and employees, from any claims or causes of action, and (2) provides that the terminated employee may not disclose either the terms of the release-severance agreement or the compensation paid. In addition, the NEOs are entitled to health benefits coverage under the same plan or arrangement as such NEO was covered immediately prior to termination. Health benefits are to be provided until the earlier of the remainder of the original employment agreement term, or until the employee is covered by a plan of another employer. Pursuant to the terms of the applicable restricted stock grant agreements, all of the unvested restricted stock held by such NEOs would vest pro rata based on the number of months served since the grant date upon a termination of the NEO’s employment by the Company without “cause” or by the employee upon the Company’s material breach.</w:t>
      </w:r>
    </w:p>
    <w:p>
      <w:pPr>
        <w:spacing w:after="0" w:line="143"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b w:val="1"/>
          <w:bCs w:val="1"/>
          <w:color w:val="0A1E42"/>
        </w:rPr>
        <w:t>Payments Made Upon Termination by Employee for Good Reason after Change in Control</w:t>
      </w:r>
      <w:r>
        <w:rPr>
          <w:rFonts w:ascii="Arial" w:cs="Arial" w:eastAsia="Arial" w:hAnsi="Arial"/>
          <w:sz w:val="18"/>
          <w:szCs w:val="18"/>
          <w:color w:val="000000"/>
        </w:rPr>
        <w:t>. The Company’s employment</w:t>
      </w:r>
      <w:r>
        <w:rPr>
          <w:rFonts w:ascii="Arial" w:cs="Arial" w:eastAsia="Arial" w:hAnsi="Arial"/>
          <w:sz w:val="18"/>
          <w:szCs w:val="18"/>
          <w:b w:val="1"/>
          <w:bCs w:val="1"/>
          <w:color w:val="0A1E42"/>
        </w:rPr>
        <w:t xml:space="preserve"> </w:t>
      </w:r>
      <w:r>
        <w:rPr>
          <w:rFonts w:ascii="Arial" w:cs="Arial" w:eastAsia="Arial" w:hAnsi="Arial"/>
          <w:sz w:val="18"/>
          <w:szCs w:val="18"/>
          <w:color w:val="000000"/>
        </w:rPr>
        <w:t>agreements with its current NEOs provide that such agreements are terminable by the employee for good reason after a change of control. A change of control is generally defined as (a) any person or group becomes the beneficial owner of more than 50% of the Company’s outstanding securities, (b) the existing directors of the Company (including those elected in the normal course and not including those elected as a result of an actual or threatened election contest) cease to constitute a majority of the Board of the Company, or (c) the consummation of a merger, consolidation or reorganization to which the Company is a party or the sale or disposition of substantially all of the assets of the Company. Good reason is defined as: (i) reduction of employee’s base salary; (ii) discontinuation of employer’s bonus plan without immediately replacing such bonus plan with a plan that is the substantial economic equivalent of such bonus plan, or amending such bonus plan so as to materially reduce employee’s potential bonus at any given level of economic performance of employer or its successor entity; (iii) material reduction in the aggregate benefits and perquisites to employee;</w:t>
      </w:r>
    </w:p>
    <w:p>
      <w:pPr>
        <w:spacing w:after="0" w:line="3" w:lineRule="exact"/>
        <w:rPr>
          <w:sz w:val="20"/>
          <w:szCs w:val="20"/>
          <w:color w:val="auto"/>
        </w:rPr>
      </w:pPr>
    </w:p>
    <w:p>
      <w:pPr>
        <w:ind w:left="120" w:right="380" w:hanging="4"/>
        <w:spacing w:after="0"/>
        <w:tabs>
          <w:tab w:leader="none" w:pos="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requirement that such employee change the location of his or her job or office by a distance of more than 25 miles; (v) reduction of responsibilities or required reporting to a person of lower rank or responsibilities; or (vi) a successor’s failure to expressly assume in writing the employment agreement.</w:t>
      </w:r>
    </w:p>
    <w:p>
      <w:pPr>
        <w:spacing w:after="0" w:line="16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Upon termination by the employee pursuant to this provision, the employee is entitled to the “separation payment” described under “Payments Made Upon Termination Without Cause at Employer’s Election During the Term” above. Pursuant to the terms of the applicable stock option agreements, some or all of the unvested options held by the applicable current NEOs would immediately vest upon termination by the Company without cause or upon termination by the employee for good reason after a change of control. Pursuant to the terms of the applicable restricted stock grant agreements, all of the unvested restricted stock held by such NEOs would vest upon termination for “good reason” following a “change of control”.</w:t>
      </w:r>
    </w:p>
    <w:p>
      <w:pPr>
        <w:spacing w:after="0" w:line="156"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b w:val="1"/>
          <w:bCs w:val="1"/>
          <w:color w:val="0A1E42"/>
        </w:rPr>
        <w:t>Payments Made Upon Termination</w:t>
      </w:r>
      <w:r>
        <w:rPr>
          <w:rFonts w:ascii="Arial" w:cs="Arial" w:eastAsia="Arial" w:hAnsi="Arial"/>
          <w:sz w:val="18"/>
          <w:szCs w:val="18"/>
          <w:color w:val="000000"/>
        </w:rPr>
        <w:t>. The tables below reflect the amount of compensation that would become payable to each of our</w:t>
      </w:r>
      <w:r>
        <w:rPr>
          <w:rFonts w:ascii="Arial" w:cs="Arial" w:eastAsia="Arial" w:hAnsi="Arial"/>
          <w:sz w:val="18"/>
          <w:szCs w:val="18"/>
          <w:b w:val="1"/>
          <w:bCs w:val="1"/>
          <w:color w:val="0A1E42"/>
        </w:rPr>
        <w:t xml:space="preserve"> </w:t>
      </w:r>
      <w:r>
        <w:rPr>
          <w:rFonts w:ascii="Arial" w:cs="Arial" w:eastAsia="Arial" w:hAnsi="Arial"/>
          <w:sz w:val="18"/>
          <w:szCs w:val="18"/>
          <w:color w:val="000000"/>
        </w:rPr>
        <w:t>current NEOs under existing agreements and arrangements if the NEO’s employment had terminated on December 31, 2020, given the NEO’s compensation as of such date and, if applicable, based on the Company’s closing stock price on that date. These benefits are in addition to benefits available prior to the occurrence of any termination of employment, including benefits generally available to all salaried employees, such as distributions under the Company’s 401(k) plan. In addition, in connection with any actual termination of employment, the Compensation Committee may determine to enter into an agreement or to establish an arrangement providing additional benefits or amounts, or altering the terms of benefits described below, as the Compensation Committee determines appropriate. The actual amounts that would be paid upon an NEO’s termination of employment can only be determined at the time of such executive’s separation from the Company. Due to the number of factors that affect the nature and amount of any benefits provided upon the events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59</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93" w:lineRule="exact"/>
        <w:rPr>
          <w:sz w:val="20"/>
          <w:szCs w:val="20"/>
          <w:color w:val="auto"/>
        </w:rPr>
      </w:pPr>
    </w:p>
    <w:p>
      <w:pPr>
        <w:ind w:left="120" w:right="560"/>
        <w:spacing w:after="0" w:line="246" w:lineRule="auto"/>
        <w:rPr>
          <w:sz w:val="20"/>
          <w:szCs w:val="20"/>
          <w:color w:val="auto"/>
        </w:rPr>
      </w:pPr>
      <w:r>
        <w:rPr>
          <w:rFonts w:ascii="Arial" w:cs="Arial" w:eastAsia="Arial" w:hAnsi="Arial"/>
          <w:sz w:val="18"/>
          <w:szCs w:val="18"/>
          <w:color w:val="auto"/>
        </w:rPr>
        <w:t>discussed below, any actual amounts paid or distributed may be higher or lower than reported below. Factors that could affect these amounts include the timing during the year of any such event and the Company’s stock price.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E42"/>
        </w:rPr>
        <w:t>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2344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1234440"/>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3820" w:type="dxa"/>
            <w:vAlign w:val="bottom"/>
            <w:shd w:val="clear" w:color="auto" w:fill="F4F4E5"/>
          </w:tcPr>
          <w:p>
            <w:pPr>
              <w:spacing w:after="0"/>
              <w:rPr>
                <w:sz w:val="22"/>
                <w:szCs w:val="22"/>
                <w:color w:val="auto"/>
              </w:rPr>
            </w:pPr>
          </w:p>
        </w:tc>
        <w:tc>
          <w:tcPr>
            <w:tcW w:w="2200" w:type="dxa"/>
            <w:vAlign w:val="bottom"/>
            <w:gridSpan w:val="2"/>
            <w:vMerge w:val="restart"/>
            <w:shd w:val="clear" w:color="auto" w:fill="F4F4E5"/>
          </w:tcPr>
          <w:p>
            <w:pPr>
              <w:jc w:val="right"/>
              <w:ind w:right="408"/>
              <w:spacing w:after="0"/>
              <w:rPr>
                <w:sz w:val="20"/>
                <w:szCs w:val="20"/>
                <w:color w:val="auto"/>
              </w:rPr>
            </w:pPr>
            <w:r>
              <w:rPr>
                <w:rFonts w:ascii="Arial" w:cs="Arial" w:eastAsia="Arial" w:hAnsi="Arial"/>
                <w:sz w:val="13"/>
                <w:szCs w:val="13"/>
                <w:b w:val="1"/>
                <w:bCs w:val="1"/>
                <w:color w:val="auto"/>
              </w:rPr>
              <w:t>TERMINATION UPON</w:t>
            </w:r>
          </w:p>
        </w:tc>
        <w:tc>
          <w:tcPr>
            <w:tcW w:w="2360" w:type="dxa"/>
            <w:vAlign w:val="bottom"/>
            <w:gridSpan w:val="2"/>
            <w:shd w:val="clear" w:color="auto" w:fill="F4F4E5"/>
          </w:tcPr>
          <w:p>
            <w:pPr>
              <w:jc w:val="center"/>
              <w:spacing w:after="0"/>
              <w:rPr>
                <w:sz w:val="20"/>
                <w:szCs w:val="20"/>
                <w:color w:val="auto"/>
              </w:rPr>
            </w:pPr>
            <w:r>
              <w:rPr>
                <w:rFonts w:ascii="Arial" w:cs="Arial" w:eastAsia="Arial" w:hAnsi="Arial"/>
                <w:sz w:val="13"/>
                <w:szCs w:val="13"/>
                <w:b w:val="1"/>
                <w:bCs w:val="1"/>
                <w:color w:val="auto"/>
                <w:w w:val="95"/>
              </w:rPr>
              <w:t>TERMINATION WITHOUT</w:t>
            </w:r>
          </w:p>
        </w:tc>
        <w:tc>
          <w:tcPr>
            <w:tcW w:w="2640" w:type="dxa"/>
            <w:vAlign w:val="bottom"/>
            <w:gridSpan w:val="2"/>
            <w:vMerge w:val="restart"/>
            <w:shd w:val="clear" w:color="auto" w:fill="F4F4E5"/>
          </w:tcPr>
          <w:p>
            <w:pPr>
              <w:jc w:val="center"/>
              <w:spacing w:after="0"/>
              <w:rPr>
                <w:sz w:val="20"/>
                <w:szCs w:val="20"/>
                <w:color w:val="auto"/>
              </w:rPr>
            </w:pPr>
            <w:r>
              <w:rPr>
                <w:rFonts w:ascii="Arial" w:cs="Arial" w:eastAsia="Arial" w:hAnsi="Arial"/>
                <w:sz w:val="13"/>
                <w:szCs w:val="13"/>
                <w:b w:val="1"/>
                <w:bCs w:val="1"/>
                <w:color w:val="auto"/>
                <w:w w:val="95"/>
              </w:rPr>
              <w:t>TERMINATION BY EMPLOYEE</w:t>
            </w:r>
          </w:p>
        </w:tc>
        <w:tc>
          <w:tcPr>
            <w:tcW w:w="0" w:type="dxa"/>
            <w:vAlign w:val="bottom"/>
          </w:tcPr>
          <w:p>
            <w:pPr>
              <w:spacing w:after="0"/>
              <w:rPr>
                <w:sz w:val="1"/>
                <w:szCs w:val="1"/>
                <w:color w:val="auto"/>
              </w:rPr>
            </w:pPr>
          </w:p>
        </w:tc>
      </w:tr>
      <w:tr>
        <w:trPr>
          <w:trHeight w:val="68"/>
        </w:trPr>
        <w:tc>
          <w:tcPr>
            <w:tcW w:w="3820" w:type="dxa"/>
            <w:vAlign w:val="bottom"/>
            <w:shd w:val="clear" w:color="auto" w:fill="F4F4E5"/>
          </w:tcPr>
          <w:p>
            <w:pPr>
              <w:spacing w:after="0"/>
              <w:rPr>
                <w:sz w:val="5"/>
                <w:szCs w:val="5"/>
                <w:color w:val="auto"/>
              </w:rPr>
            </w:pPr>
          </w:p>
        </w:tc>
        <w:tc>
          <w:tcPr>
            <w:tcW w:w="2200" w:type="dxa"/>
            <w:vAlign w:val="bottom"/>
            <w:gridSpan w:val="2"/>
            <w:vMerge w:val="continue"/>
            <w:shd w:val="clear" w:color="auto" w:fill="F4F4E5"/>
          </w:tcPr>
          <w:p>
            <w:pPr>
              <w:spacing w:after="0"/>
              <w:rPr>
                <w:sz w:val="5"/>
                <w:szCs w:val="5"/>
                <w:color w:val="auto"/>
              </w:rPr>
            </w:pPr>
          </w:p>
        </w:tc>
        <w:tc>
          <w:tcPr>
            <w:tcW w:w="2360" w:type="dxa"/>
            <w:vAlign w:val="bottom"/>
            <w:gridSpan w:val="2"/>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CAUSE OR UPON</w:t>
            </w:r>
          </w:p>
        </w:tc>
        <w:tc>
          <w:tcPr>
            <w:tcW w:w="2640" w:type="dxa"/>
            <w:vAlign w:val="bottom"/>
            <w:gridSpan w:val="2"/>
            <w:vMerge w:val="continue"/>
            <w:shd w:val="clear" w:color="auto" w:fill="F4F4E5"/>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820" w:type="dxa"/>
            <w:vAlign w:val="bottom"/>
            <w:shd w:val="clear" w:color="auto" w:fill="F4F4E5"/>
          </w:tcPr>
          <w:p>
            <w:pPr>
              <w:spacing w:after="0"/>
              <w:rPr>
                <w:sz w:val="5"/>
                <w:szCs w:val="5"/>
                <w:color w:val="auto"/>
              </w:rPr>
            </w:pPr>
          </w:p>
        </w:tc>
        <w:tc>
          <w:tcPr>
            <w:tcW w:w="2200" w:type="dxa"/>
            <w:vAlign w:val="bottom"/>
            <w:gridSpan w:val="2"/>
            <w:vMerge w:val="restart"/>
            <w:shd w:val="clear" w:color="auto" w:fill="F4F4E5"/>
          </w:tcPr>
          <w:p>
            <w:pPr>
              <w:jc w:val="right"/>
              <w:ind w:right="348"/>
              <w:spacing w:after="0" w:line="135" w:lineRule="exact"/>
              <w:rPr>
                <w:sz w:val="20"/>
                <w:szCs w:val="20"/>
                <w:color w:val="auto"/>
              </w:rPr>
            </w:pPr>
            <w:r>
              <w:rPr>
                <w:rFonts w:ascii="Arial" w:cs="Arial" w:eastAsia="Arial" w:hAnsi="Arial"/>
                <w:sz w:val="13"/>
                <w:szCs w:val="13"/>
                <w:b w:val="1"/>
                <w:bCs w:val="1"/>
                <w:color w:val="auto"/>
              </w:rPr>
              <w:t>DEATH OR COMPLETE</w:t>
            </w:r>
          </w:p>
        </w:tc>
        <w:tc>
          <w:tcPr>
            <w:tcW w:w="2360" w:type="dxa"/>
            <w:vAlign w:val="bottom"/>
            <w:gridSpan w:val="2"/>
            <w:vMerge w:val="continue"/>
            <w:shd w:val="clear" w:color="auto" w:fill="F4F4E5"/>
          </w:tcPr>
          <w:p>
            <w:pPr>
              <w:spacing w:after="0"/>
              <w:rPr>
                <w:sz w:val="5"/>
                <w:szCs w:val="5"/>
                <w:color w:val="auto"/>
              </w:rPr>
            </w:pPr>
          </w:p>
        </w:tc>
        <w:tc>
          <w:tcPr>
            <w:tcW w:w="2640" w:type="dxa"/>
            <w:vAlign w:val="bottom"/>
            <w:gridSpan w:val="2"/>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7"/>
              </w:rPr>
              <w:t>FOR GOOD REASON AFTER</w:t>
            </w:r>
          </w:p>
        </w:tc>
        <w:tc>
          <w:tcPr>
            <w:tcW w:w="0" w:type="dxa"/>
            <w:vAlign w:val="bottom"/>
          </w:tcPr>
          <w:p>
            <w:pPr>
              <w:spacing w:after="0"/>
              <w:rPr>
                <w:sz w:val="1"/>
                <w:szCs w:val="1"/>
                <w:color w:val="auto"/>
              </w:rPr>
            </w:pPr>
          </w:p>
        </w:tc>
      </w:tr>
      <w:tr>
        <w:trPr>
          <w:trHeight w:val="68"/>
        </w:trPr>
        <w:tc>
          <w:tcPr>
            <w:tcW w:w="3820" w:type="dxa"/>
            <w:vAlign w:val="bottom"/>
            <w:shd w:val="clear" w:color="auto" w:fill="F4F4E5"/>
          </w:tcPr>
          <w:p>
            <w:pPr>
              <w:spacing w:after="0"/>
              <w:rPr>
                <w:sz w:val="5"/>
                <w:szCs w:val="5"/>
                <w:color w:val="auto"/>
              </w:rPr>
            </w:pPr>
          </w:p>
        </w:tc>
        <w:tc>
          <w:tcPr>
            <w:tcW w:w="2200" w:type="dxa"/>
            <w:vAlign w:val="bottom"/>
            <w:gridSpan w:val="2"/>
            <w:vMerge w:val="continue"/>
            <w:shd w:val="clear" w:color="auto" w:fill="F4F4E5"/>
          </w:tcPr>
          <w:p>
            <w:pPr>
              <w:spacing w:after="0"/>
              <w:rPr>
                <w:sz w:val="5"/>
                <w:szCs w:val="5"/>
                <w:color w:val="auto"/>
              </w:rPr>
            </w:pPr>
          </w:p>
        </w:tc>
        <w:tc>
          <w:tcPr>
            <w:tcW w:w="2360" w:type="dxa"/>
            <w:vAlign w:val="bottom"/>
            <w:gridSpan w:val="2"/>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COMPANY’S</w:t>
            </w:r>
          </w:p>
        </w:tc>
        <w:tc>
          <w:tcPr>
            <w:tcW w:w="2640" w:type="dxa"/>
            <w:vAlign w:val="bottom"/>
            <w:gridSpan w:val="2"/>
            <w:vMerge w:val="continue"/>
            <w:shd w:val="clear" w:color="auto" w:fill="F4F4E5"/>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820" w:type="dxa"/>
            <w:vAlign w:val="bottom"/>
            <w:shd w:val="clear" w:color="auto" w:fill="F4F4E5"/>
          </w:tcPr>
          <w:p>
            <w:pPr>
              <w:spacing w:after="0"/>
              <w:rPr>
                <w:sz w:val="5"/>
                <w:szCs w:val="5"/>
                <w:color w:val="auto"/>
              </w:rPr>
            </w:pPr>
          </w:p>
        </w:tc>
        <w:tc>
          <w:tcPr>
            <w:tcW w:w="2200" w:type="dxa"/>
            <w:vAlign w:val="bottom"/>
            <w:gridSpan w:val="2"/>
            <w:vMerge w:val="restart"/>
            <w:shd w:val="clear" w:color="auto" w:fill="F4F4E5"/>
          </w:tcPr>
          <w:p>
            <w:pPr>
              <w:jc w:val="right"/>
              <w:ind w:right="688"/>
              <w:spacing w:after="0"/>
              <w:rPr>
                <w:sz w:val="20"/>
                <w:szCs w:val="20"/>
                <w:color w:val="auto"/>
              </w:rPr>
            </w:pPr>
            <w:r>
              <w:rPr>
                <w:rFonts w:ascii="Arial" w:cs="Arial" w:eastAsia="Arial" w:hAnsi="Arial"/>
                <w:sz w:val="13"/>
                <w:szCs w:val="13"/>
                <w:b w:val="1"/>
                <w:bCs w:val="1"/>
                <w:color w:val="auto"/>
              </w:rPr>
              <w:t>DISABILITY</w:t>
            </w:r>
          </w:p>
        </w:tc>
        <w:tc>
          <w:tcPr>
            <w:tcW w:w="2360" w:type="dxa"/>
            <w:vAlign w:val="bottom"/>
            <w:gridSpan w:val="2"/>
            <w:vMerge w:val="continue"/>
            <w:shd w:val="clear" w:color="auto" w:fill="F4F4E5"/>
          </w:tcPr>
          <w:p>
            <w:pPr>
              <w:spacing w:after="0"/>
              <w:rPr>
                <w:sz w:val="5"/>
                <w:szCs w:val="5"/>
                <w:color w:val="auto"/>
              </w:rPr>
            </w:pPr>
          </w:p>
        </w:tc>
        <w:tc>
          <w:tcPr>
            <w:tcW w:w="2640" w:type="dxa"/>
            <w:vAlign w:val="bottom"/>
            <w:gridSpan w:val="2"/>
            <w:vMerge w:val="restart"/>
            <w:shd w:val="clear" w:color="auto" w:fill="F4F4E5"/>
          </w:tcPr>
          <w:p>
            <w:pPr>
              <w:jc w:val="center"/>
              <w:spacing w:after="0"/>
              <w:rPr>
                <w:sz w:val="20"/>
                <w:szCs w:val="20"/>
                <w:color w:val="auto"/>
              </w:rPr>
            </w:pPr>
            <w:r>
              <w:rPr>
                <w:rFonts w:ascii="Arial" w:cs="Arial" w:eastAsia="Arial" w:hAnsi="Arial"/>
                <w:sz w:val="13"/>
                <w:szCs w:val="13"/>
                <w:b w:val="1"/>
                <w:bCs w:val="1"/>
                <w:color w:val="auto"/>
                <w:w w:val="96"/>
              </w:rPr>
              <w:t>CHANGE IN CONTROL</w:t>
            </w:r>
          </w:p>
        </w:tc>
        <w:tc>
          <w:tcPr>
            <w:tcW w:w="0" w:type="dxa"/>
            <w:vAlign w:val="bottom"/>
          </w:tcPr>
          <w:p>
            <w:pPr>
              <w:spacing w:after="0"/>
              <w:rPr>
                <w:sz w:val="1"/>
                <w:szCs w:val="1"/>
                <w:color w:val="auto"/>
              </w:rPr>
            </w:pPr>
          </w:p>
        </w:tc>
      </w:tr>
      <w:tr>
        <w:trPr>
          <w:trHeight w:val="100"/>
        </w:trPr>
        <w:tc>
          <w:tcPr>
            <w:tcW w:w="3820" w:type="dxa"/>
            <w:vAlign w:val="bottom"/>
            <w:shd w:val="clear" w:color="auto" w:fill="F4F4E5"/>
          </w:tcPr>
          <w:p>
            <w:pPr>
              <w:spacing w:after="0"/>
              <w:rPr>
                <w:sz w:val="8"/>
                <w:szCs w:val="8"/>
                <w:color w:val="auto"/>
              </w:rPr>
            </w:pPr>
          </w:p>
        </w:tc>
        <w:tc>
          <w:tcPr>
            <w:tcW w:w="2200" w:type="dxa"/>
            <w:vAlign w:val="bottom"/>
            <w:gridSpan w:val="2"/>
            <w:vMerge w:val="continue"/>
            <w:shd w:val="clear" w:color="auto" w:fill="F4F4E5"/>
          </w:tcPr>
          <w:p>
            <w:pPr>
              <w:spacing w:after="0"/>
              <w:rPr>
                <w:sz w:val="8"/>
                <w:szCs w:val="8"/>
                <w:color w:val="auto"/>
              </w:rPr>
            </w:pPr>
          </w:p>
        </w:tc>
        <w:tc>
          <w:tcPr>
            <w:tcW w:w="2360" w:type="dxa"/>
            <w:vAlign w:val="bottom"/>
            <w:gridSpan w:val="2"/>
            <w:vMerge w:val="restart"/>
            <w:shd w:val="clear" w:color="auto" w:fill="F4F4E5"/>
          </w:tcPr>
          <w:p>
            <w:pPr>
              <w:jc w:val="center"/>
              <w:spacing w:after="0"/>
              <w:rPr>
                <w:sz w:val="20"/>
                <w:szCs w:val="20"/>
                <w:color w:val="auto"/>
              </w:rPr>
            </w:pPr>
            <w:r>
              <w:rPr>
                <w:rFonts w:ascii="Arial" w:cs="Arial" w:eastAsia="Arial" w:hAnsi="Arial"/>
                <w:sz w:val="13"/>
                <w:szCs w:val="13"/>
                <w:b w:val="1"/>
                <w:bCs w:val="1"/>
                <w:color w:val="auto"/>
                <w:w w:val="96"/>
              </w:rPr>
              <w:t>MATERIAL BREACH</w:t>
            </w:r>
          </w:p>
        </w:tc>
        <w:tc>
          <w:tcPr>
            <w:tcW w:w="2640" w:type="dxa"/>
            <w:vAlign w:val="bottom"/>
            <w:gridSpan w:val="2"/>
            <w:vMerge w:val="continue"/>
            <w:shd w:val="clear" w:color="auto" w:fill="F4F4E5"/>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820" w:type="dxa"/>
            <w:vAlign w:val="bottom"/>
            <w:tcBorders>
              <w:bottom w:val="single" w:sz="8" w:color="F4F4E5"/>
            </w:tcBorders>
            <w:shd w:val="clear" w:color="auto" w:fill="F4F4E5"/>
          </w:tcPr>
          <w:p>
            <w:pPr>
              <w:spacing w:after="0"/>
              <w:rPr>
                <w:sz w:val="6"/>
                <w:szCs w:val="6"/>
                <w:color w:val="auto"/>
              </w:rPr>
            </w:pPr>
          </w:p>
        </w:tc>
        <w:tc>
          <w:tcPr>
            <w:tcW w:w="820" w:type="dxa"/>
            <w:vAlign w:val="bottom"/>
            <w:tcBorders>
              <w:bottom w:val="single" w:sz="8" w:color="F4F4E5"/>
            </w:tcBorders>
            <w:shd w:val="clear" w:color="auto" w:fill="F4F4E5"/>
          </w:tcPr>
          <w:p>
            <w:pPr>
              <w:spacing w:after="0"/>
              <w:rPr>
                <w:sz w:val="6"/>
                <w:szCs w:val="6"/>
                <w:color w:val="auto"/>
              </w:rPr>
            </w:pPr>
          </w:p>
        </w:tc>
        <w:tc>
          <w:tcPr>
            <w:tcW w:w="1380" w:type="dxa"/>
            <w:vAlign w:val="bottom"/>
            <w:tcBorders>
              <w:bottom w:val="single" w:sz="8" w:color="F4F4E5"/>
            </w:tcBorders>
            <w:shd w:val="clear" w:color="auto" w:fill="F4F4E5"/>
          </w:tcPr>
          <w:p>
            <w:pPr>
              <w:spacing w:after="0"/>
              <w:rPr>
                <w:sz w:val="6"/>
                <w:szCs w:val="6"/>
                <w:color w:val="auto"/>
              </w:rPr>
            </w:pPr>
          </w:p>
        </w:tc>
        <w:tc>
          <w:tcPr>
            <w:tcW w:w="2360" w:type="dxa"/>
            <w:vAlign w:val="bottom"/>
            <w:tcBorders>
              <w:bottom w:val="single" w:sz="8" w:color="F4F4E5"/>
            </w:tcBorders>
            <w:gridSpan w:val="2"/>
            <w:vMerge w:val="continue"/>
            <w:shd w:val="clear" w:color="auto" w:fill="F4F4E5"/>
          </w:tcPr>
          <w:p>
            <w:pPr>
              <w:spacing w:after="0"/>
              <w:rPr>
                <w:sz w:val="6"/>
                <w:szCs w:val="6"/>
                <w:color w:val="auto"/>
              </w:rPr>
            </w:pPr>
          </w:p>
        </w:tc>
        <w:tc>
          <w:tcPr>
            <w:tcW w:w="1040" w:type="dxa"/>
            <w:vAlign w:val="bottom"/>
            <w:tcBorders>
              <w:bottom w:val="single" w:sz="8" w:color="F4F4E5"/>
            </w:tcBorders>
            <w:shd w:val="clear" w:color="auto" w:fill="F4F4E5"/>
          </w:tcPr>
          <w:p>
            <w:pPr>
              <w:spacing w:after="0"/>
              <w:rPr>
                <w:sz w:val="6"/>
                <w:szCs w:val="6"/>
                <w:color w:val="auto"/>
              </w:rPr>
            </w:pPr>
          </w:p>
        </w:tc>
        <w:tc>
          <w:tcPr>
            <w:tcW w:w="1600" w:type="dxa"/>
            <w:vAlign w:val="bottom"/>
            <w:tcBorders>
              <w:bottom w:val="single" w:sz="8" w:color="F4F4E5"/>
            </w:tcBorders>
            <w:shd w:val="clear" w:color="auto" w:fill="F4F4E5"/>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820" w:type="dxa"/>
            <w:vAlign w:val="bottom"/>
            <w:shd w:val="clear" w:color="auto" w:fill="EAEFF2"/>
          </w:tcPr>
          <w:p>
            <w:pPr>
              <w:ind w:left="60"/>
              <w:spacing w:after="0"/>
              <w:rPr>
                <w:sz w:val="20"/>
                <w:szCs w:val="20"/>
                <w:color w:val="auto"/>
              </w:rPr>
            </w:pPr>
            <w:r>
              <w:rPr>
                <w:rFonts w:ascii="Arial" w:cs="Arial" w:eastAsia="Arial" w:hAnsi="Arial"/>
                <w:sz w:val="14"/>
                <w:szCs w:val="14"/>
                <w:color w:val="auto"/>
              </w:rPr>
              <w:t>Base Salary</w:t>
            </w:r>
          </w:p>
        </w:tc>
        <w:tc>
          <w:tcPr>
            <w:tcW w:w="2200" w:type="dxa"/>
            <w:vAlign w:val="bottom"/>
            <w:gridSpan w:val="2"/>
            <w:shd w:val="clear" w:color="auto" w:fill="EAEFF2"/>
          </w:tcPr>
          <w:p>
            <w:pPr>
              <w:jc w:val="right"/>
              <w:ind w:right="348"/>
              <w:spacing w:after="0"/>
              <w:rPr>
                <w:sz w:val="20"/>
                <w:szCs w:val="20"/>
                <w:color w:val="auto"/>
              </w:rPr>
            </w:pPr>
            <w:r>
              <w:rPr>
                <w:rFonts w:ascii="Arial" w:cs="Arial" w:eastAsia="Arial" w:hAnsi="Arial"/>
                <w:sz w:val="14"/>
                <w:szCs w:val="14"/>
                <w:color w:val="auto"/>
              </w:rPr>
              <w:t>Amounts earned and</w:t>
            </w:r>
          </w:p>
        </w:tc>
        <w:tc>
          <w:tcPr>
            <w:tcW w:w="960" w:type="dxa"/>
            <w:vAlign w:val="bottom"/>
            <w:shd w:val="clear" w:color="auto" w:fill="EAEFF2"/>
          </w:tcPr>
          <w:p>
            <w:pPr>
              <w:spacing w:after="0"/>
              <w:rPr>
                <w:sz w:val="15"/>
                <w:szCs w:val="15"/>
                <w:color w:val="auto"/>
              </w:rPr>
            </w:pPr>
          </w:p>
        </w:tc>
        <w:tc>
          <w:tcPr>
            <w:tcW w:w="1400" w:type="dxa"/>
            <w:vAlign w:val="bottom"/>
            <w:shd w:val="clear" w:color="auto" w:fill="EAEFF2"/>
          </w:tcPr>
          <w:p>
            <w:pPr>
              <w:spacing w:after="0"/>
              <w:rPr>
                <w:sz w:val="15"/>
                <w:szCs w:val="15"/>
                <w:color w:val="auto"/>
              </w:rPr>
            </w:pPr>
          </w:p>
        </w:tc>
        <w:tc>
          <w:tcPr>
            <w:tcW w:w="1040" w:type="dxa"/>
            <w:vAlign w:val="bottom"/>
            <w:shd w:val="clear" w:color="auto" w:fill="EAEFF2"/>
          </w:tcPr>
          <w:p>
            <w:pPr>
              <w:spacing w:after="0"/>
              <w:rPr>
                <w:sz w:val="15"/>
                <w:szCs w:val="15"/>
                <w:color w:val="auto"/>
              </w:rPr>
            </w:pPr>
          </w:p>
        </w:tc>
        <w:tc>
          <w:tcPr>
            <w:tcW w:w="1600" w:type="dxa"/>
            <w:vAlign w:val="bottom"/>
            <w:shd w:val="clear" w:color="auto" w:fill="EAEF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20" w:type="dxa"/>
            <w:vAlign w:val="bottom"/>
            <w:shd w:val="clear" w:color="auto" w:fill="EAEFF2"/>
          </w:tcPr>
          <w:p>
            <w:pPr>
              <w:spacing w:after="0"/>
              <w:rPr>
                <w:sz w:val="14"/>
                <w:szCs w:val="14"/>
                <w:color w:val="auto"/>
              </w:rPr>
            </w:pPr>
          </w:p>
        </w:tc>
        <w:tc>
          <w:tcPr>
            <w:tcW w:w="2200" w:type="dxa"/>
            <w:vAlign w:val="bottom"/>
            <w:gridSpan w:val="2"/>
            <w:shd w:val="clear" w:color="auto" w:fill="EAEFF2"/>
          </w:tcPr>
          <w:p>
            <w:pPr>
              <w:jc w:val="right"/>
              <w:ind w:right="348"/>
              <w:spacing w:after="0"/>
              <w:rPr>
                <w:sz w:val="20"/>
                <w:szCs w:val="20"/>
                <w:color w:val="auto"/>
              </w:rPr>
            </w:pPr>
            <w:r>
              <w:rPr>
                <w:rFonts w:ascii="Arial" w:cs="Arial" w:eastAsia="Arial" w:hAnsi="Arial"/>
                <w:sz w:val="14"/>
                <w:szCs w:val="14"/>
                <w:color w:val="auto"/>
              </w:rPr>
              <w:t>unpaid through the</w:t>
            </w:r>
          </w:p>
        </w:tc>
        <w:tc>
          <w:tcPr>
            <w:tcW w:w="960" w:type="dxa"/>
            <w:vAlign w:val="bottom"/>
            <w:shd w:val="clear" w:color="auto" w:fill="EAEFF2"/>
          </w:tcPr>
          <w:p>
            <w:pPr>
              <w:spacing w:after="0"/>
              <w:rPr>
                <w:sz w:val="14"/>
                <w:szCs w:val="14"/>
                <w:color w:val="auto"/>
              </w:rPr>
            </w:pPr>
          </w:p>
        </w:tc>
        <w:tc>
          <w:tcPr>
            <w:tcW w:w="1400" w:type="dxa"/>
            <w:vAlign w:val="bottom"/>
            <w:shd w:val="clear" w:color="auto" w:fill="EAEFF2"/>
          </w:tcPr>
          <w:p>
            <w:pPr>
              <w:spacing w:after="0"/>
              <w:rPr>
                <w:sz w:val="14"/>
                <w:szCs w:val="14"/>
                <w:color w:val="auto"/>
              </w:rPr>
            </w:pPr>
          </w:p>
        </w:tc>
        <w:tc>
          <w:tcPr>
            <w:tcW w:w="1040" w:type="dxa"/>
            <w:vAlign w:val="bottom"/>
            <w:shd w:val="clear" w:color="auto" w:fill="EAEFF2"/>
          </w:tcPr>
          <w:p>
            <w:pPr>
              <w:spacing w:after="0"/>
              <w:rPr>
                <w:sz w:val="14"/>
                <w:szCs w:val="14"/>
                <w:color w:val="auto"/>
              </w:rPr>
            </w:pPr>
          </w:p>
        </w:tc>
        <w:tc>
          <w:tcPr>
            <w:tcW w:w="1600" w:type="dxa"/>
            <w:vAlign w:val="bottom"/>
            <w:shd w:val="clear" w:color="auto" w:fill="EAEFF2"/>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EAEFF2"/>
          </w:tcPr>
          <w:p>
            <w:pPr>
              <w:spacing w:after="0"/>
              <w:rPr>
                <w:sz w:val="13"/>
                <w:szCs w:val="13"/>
                <w:color w:val="auto"/>
              </w:rPr>
            </w:pPr>
          </w:p>
        </w:tc>
        <w:tc>
          <w:tcPr>
            <w:tcW w:w="2200" w:type="dxa"/>
            <w:vAlign w:val="bottom"/>
            <w:gridSpan w:val="2"/>
            <w:shd w:val="clear" w:color="auto" w:fill="EAEFF2"/>
          </w:tcPr>
          <w:p>
            <w:pPr>
              <w:jc w:val="right"/>
              <w:ind w:right="348"/>
              <w:spacing w:after="0" w:line="157" w:lineRule="exact"/>
              <w:rPr>
                <w:sz w:val="20"/>
                <w:szCs w:val="20"/>
                <w:color w:val="auto"/>
              </w:rPr>
            </w:pPr>
            <w:r>
              <w:rPr>
                <w:rFonts w:ascii="Arial" w:cs="Arial" w:eastAsia="Arial" w:hAnsi="Arial"/>
                <w:sz w:val="14"/>
                <w:szCs w:val="14"/>
                <w:color w:val="auto"/>
              </w:rPr>
              <w:t>date of termination</w:t>
            </w:r>
          </w:p>
        </w:tc>
        <w:tc>
          <w:tcPr>
            <w:tcW w:w="2360" w:type="dxa"/>
            <w:vAlign w:val="bottom"/>
            <w:gridSpan w:val="2"/>
            <w:shd w:val="clear" w:color="auto" w:fill="EAEFF2"/>
          </w:tcPr>
          <w:p>
            <w:pPr>
              <w:jc w:val="right"/>
              <w:ind w:right="788"/>
              <w:spacing w:after="0" w:line="157" w:lineRule="exact"/>
              <w:rPr>
                <w:sz w:val="20"/>
                <w:szCs w:val="20"/>
                <w:color w:val="auto"/>
              </w:rPr>
            </w:pPr>
            <w:r>
              <w:rPr>
                <w:rFonts w:ascii="Arial" w:cs="Arial" w:eastAsia="Arial" w:hAnsi="Arial"/>
                <w:sz w:val="14"/>
                <w:szCs w:val="14"/>
                <w:color w:val="auto"/>
              </w:rPr>
              <w:t>$3,833,333</w:t>
            </w:r>
          </w:p>
        </w:tc>
        <w:tc>
          <w:tcPr>
            <w:tcW w:w="1040" w:type="dxa"/>
            <w:vAlign w:val="bottom"/>
            <w:shd w:val="clear" w:color="auto" w:fill="EAEFF2"/>
          </w:tcPr>
          <w:p>
            <w:pPr>
              <w:jc w:val="right"/>
              <w:spacing w:after="0" w:line="157" w:lineRule="exact"/>
              <w:rPr>
                <w:sz w:val="20"/>
                <w:szCs w:val="20"/>
                <w:color w:val="auto"/>
              </w:rPr>
            </w:pPr>
            <w:r>
              <w:rPr>
                <w:rFonts w:ascii="Arial" w:cs="Arial" w:eastAsia="Arial" w:hAnsi="Arial"/>
                <w:sz w:val="14"/>
                <w:szCs w:val="14"/>
                <w:color w:val="auto"/>
              </w:rPr>
              <w:t>$</w:t>
            </w:r>
          </w:p>
        </w:tc>
        <w:tc>
          <w:tcPr>
            <w:tcW w:w="1600" w:type="dxa"/>
            <w:vAlign w:val="bottom"/>
            <w:shd w:val="clear" w:color="auto" w:fill="EAEFF2"/>
          </w:tcPr>
          <w:p>
            <w:pPr>
              <w:jc w:val="right"/>
              <w:ind w:right="848"/>
              <w:spacing w:after="0" w:line="157" w:lineRule="exact"/>
              <w:rPr>
                <w:sz w:val="20"/>
                <w:szCs w:val="20"/>
                <w:color w:val="auto"/>
              </w:rPr>
            </w:pPr>
            <w:r>
              <w:rPr>
                <w:rFonts w:ascii="Arial" w:cs="Arial" w:eastAsia="Arial" w:hAnsi="Arial"/>
                <w:sz w:val="14"/>
                <w:szCs w:val="14"/>
                <w:color w:val="auto"/>
              </w:rPr>
              <w:t>3,833,333</w:t>
            </w:r>
          </w:p>
        </w:tc>
        <w:tc>
          <w:tcPr>
            <w:tcW w:w="0" w:type="dxa"/>
            <w:vAlign w:val="bottom"/>
          </w:tcPr>
          <w:p>
            <w:pPr>
              <w:spacing w:after="0"/>
              <w:rPr>
                <w:sz w:val="1"/>
                <w:szCs w:val="1"/>
                <w:color w:val="auto"/>
              </w:rPr>
            </w:pPr>
          </w:p>
        </w:tc>
      </w:tr>
      <w:tr>
        <w:trPr>
          <w:trHeight w:val="176"/>
        </w:trPr>
        <w:tc>
          <w:tcPr>
            <w:tcW w:w="3820" w:type="dxa"/>
            <w:vAlign w:val="bottom"/>
            <w:shd w:val="clear" w:color="auto" w:fill="F4F4E5"/>
          </w:tcPr>
          <w:p>
            <w:pPr>
              <w:ind w:left="60"/>
              <w:spacing w:after="0"/>
              <w:rPr>
                <w:sz w:val="20"/>
                <w:szCs w:val="20"/>
                <w:color w:val="auto"/>
              </w:rPr>
            </w:pPr>
            <w:r>
              <w:rPr>
                <w:rFonts w:ascii="Arial" w:cs="Arial" w:eastAsia="Arial" w:hAnsi="Arial"/>
                <w:sz w:val="14"/>
                <w:szCs w:val="14"/>
                <w:color w:val="auto"/>
              </w:rPr>
              <w:t>Bonus</w:t>
            </w:r>
          </w:p>
        </w:tc>
        <w:tc>
          <w:tcPr>
            <w:tcW w:w="82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F4F4E5"/>
          </w:tcPr>
          <w:p>
            <w:pPr>
              <w:jc w:val="right"/>
              <w:ind w:right="628"/>
              <w:spacing w:after="0"/>
              <w:rPr>
                <w:sz w:val="20"/>
                <w:szCs w:val="20"/>
                <w:color w:val="auto"/>
              </w:rPr>
            </w:pPr>
            <w:r>
              <w:rPr>
                <w:rFonts w:ascii="Arial" w:cs="Arial" w:eastAsia="Arial" w:hAnsi="Arial"/>
                <w:sz w:val="14"/>
                <w:szCs w:val="14"/>
                <w:color w:val="auto"/>
              </w:rPr>
              <w:t>-</w:t>
            </w:r>
          </w:p>
        </w:tc>
        <w:tc>
          <w:tcPr>
            <w:tcW w:w="2360" w:type="dxa"/>
            <w:vAlign w:val="bottom"/>
            <w:gridSpan w:val="2"/>
            <w:shd w:val="clear" w:color="auto" w:fill="F4F4E5"/>
          </w:tcPr>
          <w:p>
            <w:pPr>
              <w:jc w:val="right"/>
              <w:ind w:right="788"/>
              <w:spacing w:after="0"/>
              <w:rPr>
                <w:sz w:val="20"/>
                <w:szCs w:val="20"/>
                <w:color w:val="auto"/>
              </w:rPr>
            </w:pPr>
            <w:r>
              <w:rPr>
                <w:rFonts w:ascii="Arial" w:cs="Arial" w:eastAsia="Arial" w:hAnsi="Arial"/>
                <w:sz w:val="14"/>
                <w:szCs w:val="14"/>
                <w:color w:val="auto"/>
              </w:rPr>
              <w:t>$4,400,000</w:t>
            </w:r>
          </w:p>
        </w:tc>
        <w:tc>
          <w:tcPr>
            <w:tcW w:w="104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F4F4E5"/>
          </w:tcPr>
          <w:p>
            <w:pPr>
              <w:jc w:val="right"/>
              <w:ind w:right="848"/>
              <w:spacing w:after="0"/>
              <w:rPr>
                <w:sz w:val="20"/>
                <w:szCs w:val="20"/>
                <w:color w:val="auto"/>
              </w:rPr>
            </w:pPr>
            <w:r>
              <w:rPr>
                <w:rFonts w:ascii="Arial" w:cs="Arial" w:eastAsia="Arial" w:hAnsi="Arial"/>
                <w:sz w:val="14"/>
                <w:szCs w:val="14"/>
                <w:color w:val="auto"/>
              </w:rPr>
              <w:t>4,400,000</w:t>
            </w:r>
          </w:p>
        </w:tc>
        <w:tc>
          <w:tcPr>
            <w:tcW w:w="0" w:type="dxa"/>
            <w:vAlign w:val="bottom"/>
          </w:tcPr>
          <w:p>
            <w:pPr>
              <w:spacing w:after="0"/>
              <w:rPr>
                <w:sz w:val="1"/>
                <w:szCs w:val="1"/>
                <w:color w:val="auto"/>
              </w:rPr>
            </w:pPr>
          </w:p>
        </w:tc>
      </w:tr>
      <w:tr>
        <w:trPr>
          <w:trHeight w:val="175"/>
        </w:trPr>
        <w:tc>
          <w:tcPr>
            <w:tcW w:w="3820" w:type="dxa"/>
            <w:vAlign w:val="bottom"/>
            <w:shd w:val="clear" w:color="auto" w:fill="EAEFF2"/>
          </w:tcPr>
          <w:p>
            <w:pPr>
              <w:ind w:left="60"/>
              <w:spacing w:after="0" w:line="176" w:lineRule="exact"/>
              <w:rPr>
                <w:sz w:val="20"/>
                <w:szCs w:val="20"/>
                <w:color w:val="auto"/>
              </w:rPr>
            </w:pPr>
            <w:r>
              <w:rPr>
                <w:rFonts w:ascii="Arial" w:cs="Arial" w:eastAsia="Arial" w:hAnsi="Arial"/>
                <w:sz w:val="12"/>
                <w:szCs w:val="12"/>
                <w:color w:val="auto"/>
              </w:rPr>
              <w:t>Restricted Stock</w:t>
            </w:r>
            <w:r>
              <w:rPr>
                <w:rFonts w:ascii="Arial" w:cs="Arial" w:eastAsia="Arial" w:hAnsi="Arial"/>
                <w:sz w:val="20"/>
                <w:szCs w:val="20"/>
                <w:color w:val="auto"/>
                <w:vertAlign w:val="superscript"/>
              </w:rPr>
              <w:t>(1)(2)</w:t>
            </w:r>
          </w:p>
        </w:tc>
        <w:tc>
          <w:tcPr>
            <w:tcW w:w="2200" w:type="dxa"/>
            <w:vAlign w:val="bottom"/>
            <w:gridSpan w:val="2"/>
            <w:shd w:val="clear" w:color="auto" w:fill="EAEFF2"/>
          </w:tcPr>
          <w:p>
            <w:pPr>
              <w:jc w:val="right"/>
              <w:ind w:right="628"/>
              <w:spacing w:after="0"/>
              <w:rPr>
                <w:sz w:val="20"/>
                <w:szCs w:val="20"/>
                <w:color w:val="auto"/>
              </w:rPr>
            </w:pPr>
            <w:r>
              <w:rPr>
                <w:rFonts w:ascii="Arial" w:cs="Arial" w:eastAsia="Arial" w:hAnsi="Arial"/>
                <w:sz w:val="14"/>
                <w:szCs w:val="14"/>
                <w:color w:val="auto"/>
              </w:rPr>
              <w:t>$25,353,127</w:t>
            </w:r>
          </w:p>
        </w:tc>
        <w:tc>
          <w:tcPr>
            <w:tcW w:w="2360" w:type="dxa"/>
            <w:vAlign w:val="bottom"/>
            <w:gridSpan w:val="2"/>
            <w:shd w:val="clear" w:color="auto" w:fill="EAEFF2"/>
          </w:tcPr>
          <w:p>
            <w:pPr>
              <w:jc w:val="right"/>
              <w:ind w:right="788"/>
              <w:spacing w:after="0"/>
              <w:rPr>
                <w:sz w:val="20"/>
                <w:szCs w:val="20"/>
                <w:color w:val="auto"/>
              </w:rPr>
            </w:pPr>
            <w:r>
              <w:rPr>
                <w:rFonts w:ascii="Arial" w:cs="Arial" w:eastAsia="Arial" w:hAnsi="Arial"/>
                <w:sz w:val="14"/>
                <w:szCs w:val="14"/>
                <w:color w:val="auto"/>
              </w:rPr>
              <w:t>$8,162,708</w:t>
            </w:r>
          </w:p>
        </w:tc>
        <w:tc>
          <w:tcPr>
            <w:tcW w:w="2640" w:type="dxa"/>
            <w:vAlign w:val="bottom"/>
            <w:gridSpan w:val="2"/>
            <w:shd w:val="clear" w:color="auto" w:fill="EAEFF2"/>
          </w:tcPr>
          <w:p>
            <w:pPr>
              <w:jc w:val="right"/>
              <w:ind w:right="848"/>
              <w:spacing w:after="0"/>
              <w:rPr>
                <w:sz w:val="20"/>
                <w:szCs w:val="20"/>
                <w:color w:val="auto"/>
              </w:rPr>
            </w:pPr>
            <w:r>
              <w:rPr>
                <w:rFonts w:ascii="Arial" w:cs="Arial" w:eastAsia="Arial" w:hAnsi="Arial"/>
                <w:sz w:val="14"/>
                <w:szCs w:val="14"/>
                <w:color w:val="auto"/>
              </w:rPr>
              <w:t>$25,353,127</w:t>
            </w:r>
          </w:p>
        </w:tc>
        <w:tc>
          <w:tcPr>
            <w:tcW w:w="0" w:type="dxa"/>
            <w:vAlign w:val="bottom"/>
          </w:tcPr>
          <w:p>
            <w:pPr>
              <w:spacing w:after="0"/>
              <w:rPr>
                <w:sz w:val="1"/>
                <w:szCs w:val="1"/>
                <w:color w:val="auto"/>
              </w:rPr>
            </w:pPr>
          </w:p>
        </w:tc>
      </w:tr>
      <w:tr>
        <w:trPr>
          <w:trHeight w:val="176"/>
        </w:trPr>
        <w:tc>
          <w:tcPr>
            <w:tcW w:w="3820" w:type="dxa"/>
            <w:vAlign w:val="bottom"/>
            <w:shd w:val="clear" w:color="auto" w:fill="F4F4E5"/>
          </w:tcPr>
          <w:p>
            <w:pPr>
              <w:ind w:left="60"/>
              <w:spacing w:after="0"/>
              <w:rPr>
                <w:sz w:val="20"/>
                <w:szCs w:val="20"/>
                <w:color w:val="auto"/>
              </w:rPr>
            </w:pPr>
            <w:r>
              <w:rPr>
                <w:rFonts w:ascii="Arial" w:cs="Arial" w:eastAsia="Arial" w:hAnsi="Arial"/>
                <w:sz w:val="14"/>
                <w:szCs w:val="14"/>
                <w:color w:val="auto"/>
              </w:rPr>
              <w:t>Company Paid Life Insurance</w:t>
            </w:r>
          </w:p>
        </w:tc>
        <w:tc>
          <w:tcPr>
            <w:tcW w:w="82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F4F4E5"/>
          </w:tcPr>
          <w:p>
            <w:pPr>
              <w:jc w:val="right"/>
              <w:ind w:right="628"/>
              <w:spacing w:after="0"/>
              <w:rPr>
                <w:sz w:val="20"/>
                <w:szCs w:val="20"/>
                <w:color w:val="auto"/>
              </w:rPr>
            </w:pPr>
            <w:r>
              <w:rPr>
                <w:rFonts w:ascii="Arial" w:cs="Arial" w:eastAsia="Arial" w:hAnsi="Arial"/>
                <w:sz w:val="14"/>
                <w:szCs w:val="14"/>
                <w:color w:val="auto"/>
              </w:rPr>
              <w:t>2,000,000</w:t>
            </w:r>
          </w:p>
        </w:tc>
        <w:tc>
          <w:tcPr>
            <w:tcW w:w="960" w:type="dxa"/>
            <w:vAlign w:val="bottom"/>
            <w:shd w:val="clear" w:color="auto" w:fill="F4F4E5"/>
          </w:tcPr>
          <w:p>
            <w:pPr>
              <w:jc w:val="right"/>
              <w:ind w:right="32"/>
              <w:spacing w:after="0"/>
              <w:rPr>
                <w:sz w:val="20"/>
                <w:szCs w:val="20"/>
                <w:color w:val="auto"/>
              </w:rPr>
            </w:pPr>
            <w:r>
              <w:rPr>
                <w:rFonts w:ascii="Arial" w:cs="Arial" w:eastAsia="Arial" w:hAnsi="Arial"/>
                <w:sz w:val="14"/>
                <w:szCs w:val="14"/>
                <w:color w:val="auto"/>
              </w:rPr>
              <w:t>$</w:t>
            </w:r>
          </w:p>
        </w:tc>
        <w:tc>
          <w:tcPr>
            <w:tcW w:w="1400" w:type="dxa"/>
            <w:vAlign w:val="bottom"/>
            <w:shd w:val="clear" w:color="auto" w:fill="F4F4E5"/>
          </w:tcPr>
          <w:p>
            <w:pPr>
              <w:jc w:val="right"/>
              <w:ind w:right="76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E5"/>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F4F4E5"/>
          </w:tcPr>
          <w:p>
            <w:pPr>
              <w:jc w:val="right"/>
              <w:ind w:right="8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820" w:type="dxa"/>
            <w:vAlign w:val="bottom"/>
            <w:shd w:val="clear" w:color="auto" w:fill="EAEFF2"/>
          </w:tcPr>
          <w:p>
            <w:pPr>
              <w:ind w:left="60"/>
              <w:spacing w:after="0" w:line="176" w:lineRule="exact"/>
              <w:rPr>
                <w:sz w:val="20"/>
                <w:szCs w:val="20"/>
                <w:color w:val="auto"/>
              </w:rPr>
            </w:pPr>
            <w:r>
              <w:rPr>
                <w:rFonts w:ascii="Arial" w:cs="Arial" w:eastAsia="Arial" w:hAnsi="Arial"/>
                <w:sz w:val="12"/>
                <w:szCs w:val="12"/>
                <w:color w:val="auto"/>
              </w:rPr>
              <w:t>Benefits</w:t>
            </w:r>
            <w:r>
              <w:rPr>
                <w:rFonts w:ascii="Arial" w:cs="Arial" w:eastAsia="Arial" w:hAnsi="Arial"/>
                <w:sz w:val="20"/>
                <w:szCs w:val="20"/>
                <w:color w:val="auto"/>
                <w:vertAlign w:val="superscript"/>
              </w:rPr>
              <w:t>(3)</w:t>
            </w:r>
          </w:p>
        </w:tc>
        <w:tc>
          <w:tcPr>
            <w:tcW w:w="82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1380" w:type="dxa"/>
            <w:vAlign w:val="bottom"/>
            <w:shd w:val="clear" w:color="auto" w:fill="EAEFF2"/>
          </w:tcPr>
          <w:p>
            <w:pPr>
              <w:jc w:val="right"/>
              <w:ind w:right="628"/>
              <w:spacing w:after="0"/>
              <w:rPr>
                <w:sz w:val="20"/>
                <w:szCs w:val="20"/>
                <w:color w:val="auto"/>
              </w:rPr>
            </w:pPr>
            <w:r>
              <w:rPr>
                <w:rFonts w:ascii="Arial" w:cs="Arial" w:eastAsia="Arial" w:hAnsi="Arial"/>
                <w:sz w:val="14"/>
                <w:szCs w:val="14"/>
                <w:color w:val="auto"/>
              </w:rPr>
              <w:t>-</w:t>
            </w:r>
          </w:p>
        </w:tc>
        <w:tc>
          <w:tcPr>
            <w:tcW w:w="960" w:type="dxa"/>
            <w:vAlign w:val="bottom"/>
            <w:shd w:val="clear" w:color="auto" w:fill="EAEFF2"/>
          </w:tcPr>
          <w:p>
            <w:pPr>
              <w:jc w:val="right"/>
              <w:ind w:right="32"/>
              <w:spacing w:after="0"/>
              <w:rPr>
                <w:sz w:val="20"/>
                <w:szCs w:val="20"/>
                <w:color w:val="auto"/>
              </w:rPr>
            </w:pPr>
            <w:r>
              <w:rPr>
                <w:rFonts w:ascii="Arial" w:cs="Arial" w:eastAsia="Arial" w:hAnsi="Arial"/>
                <w:sz w:val="14"/>
                <w:szCs w:val="14"/>
                <w:color w:val="auto"/>
              </w:rPr>
              <w:t>$</w:t>
            </w:r>
          </w:p>
        </w:tc>
        <w:tc>
          <w:tcPr>
            <w:tcW w:w="1400" w:type="dxa"/>
            <w:vAlign w:val="bottom"/>
            <w:shd w:val="clear" w:color="auto" w:fill="EAEFF2"/>
          </w:tcPr>
          <w:p>
            <w:pPr>
              <w:jc w:val="right"/>
              <w:ind w:right="788"/>
              <w:spacing w:after="0"/>
              <w:rPr>
                <w:sz w:val="20"/>
                <w:szCs w:val="20"/>
                <w:color w:val="auto"/>
              </w:rPr>
            </w:pPr>
            <w:r>
              <w:rPr>
                <w:rFonts w:ascii="Arial" w:cs="Arial" w:eastAsia="Arial" w:hAnsi="Arial"/>
                <w:sz w:val="14"/>
                <w:szCs w:val="14"/>
                <w:color w:val="auto"/>
              </w:rPr>
              <w:t>59,806</w:t>
            </w:r>
          </w:p>
        </w:tc>
        <w:tc>
          <w:tcPr>
            <w:tcW w:w="1040" w:type="dxa"/>
            <w:vAlign w:val="bottom"/>
            <w:shd w:val="clear" w:color="auto" w:fill="EAEFF2"/>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EAEFF2"/>
          </w:tcPr>
          <w:p>
            <w:pPr>
              <w:jc w:val="right"/>
              <w:ind w:right="848"/>
              <w:spacing w:after="0"/>
              <w:rPr>
                <w:sz w:val="20"/>
                <w:szCs w:val="20"/>
                <w:color w:val="auto"/>
              </w:rPr>
            </w:pPr>
            <w:r>
              <w:rPr>
                <w:rFonts w:ascii="Arial" w:cs="Arial" w:eastAsia="Arial" w:hAnsi="Arial"/>
                <w:sz w:val="14"/>
                <w:szCs w:val="14"/>
                <w:color w:val="auto"/>
              </w:rPr>
              <w:t>59,806</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0" w:right="340" w:hanging="4"/>
        <w:spacing w:after="0" w:line="230" w:lineRule="auto"/>
        <w:tabs>
          <w:tab w:leader="none" w:pos="286" w:val="left"/>
        </w:tabs>
        <w:numPr>
          <w:ilvl w:val="0"/>
          <w:numId w:val="85"/>
        </w:numPr>
        <w:rPr>
          <w:rFonts w:ascii="Arial" w:cs="Arial" w:eastAsia="Arial" w:hAnsi="Arial"/>
          <w:sz w:val="11"/>
          <w:szCs w:val="11"/>
          <w:color w:val="auto"/>
        </w:rPr>
      </w:pPr>
      <w:r>
        <w:rPr>
          <w:rFonts w:ascii="Arial" w:cs="Arial" w:eastAsia="Arial" w:hAnsi="Arial"/>
          <w:sz w:val="13"/>
          <w:szCs w:val="13"/>
          <w:color w:val="auto"/>
        </w:rPr>
        <w:t>Upon death, complete disability or change in control, 217,337 shares of restricted stock would vest in full immediately. Using the closing stock price on December 31, 2020, the value of such 217,337 shares would have been $24,522,134 plus accrued dividends of $830,993.</w:t>
      </w:r>
    </w:p>
    <w:p>
      <w:pPr>
        <w:spacing w:after="0" w:line="91" w:lineRule="exact"/>
        <w:rPr>
          <w:rFonts w:ascii="Arial" w:cs="Arial" w:eastAsia="Arial" w:hAnsi="Arial"/>
          <w:sz w:val="11"/>
          <w:szCs w:val="11"/>
          <w:color w:val="auto"/>
        </w:rPr>
      </w:pPr>
    </w:p>
    <w:p>
      <w:pPr>
        <w:ind w:left="120" w:right="240" w:hanging="4"/>
        <w:spacing w:after="0" w:line="230" w:lineRule="auto"/>
        <w:tabs>
          <w:tab w:leader="none" w:pos="286" w:val="left"/>
        </w:tabs>
        <w:numPr>
          <w:ilvl w:val="0"/>
          <w:numId w:val="85"/>
        </w:numPr>
        <w:rPr>
          <w:rFonts w:ascii="Arial" w:cs="Arial" w:eastAsia="Arial" w:hAnsi="Arial"/>
          <w:sz w:val="11"/>
          <w:szCs w:val="11"/>
          <w:color w:val="auto"/>
        </w:rPr>
      </w:pPr>
      <w:r>
        <w:rPr>
          <w:rFonts w:ascii="Arial" w:cs="Arial" w:eastAsia="Arial" w:hAnsi="Arial"/>
          <w:sz w:val="13"/>
          <w:szCs w:val="13"/>
          <w:color w:val="auto"/>
        </w:rPr>
        <w:t>Upon termination without cause or upon the Company’s material breach, 70,383 shares of restricted stock would vest on a prorated basis based on the number of months since the grant date. Using the closing stock price on December 31, 2020, the value of such 70,383 shares would have been $7,941,314, plus accrued dividends of $221,394.</w:t>
      </w:r>
    </w:p>
    <w:p>
      <w:pPr>
        <w:spacing w:after="0" w:line="91" w:lineRule="exact"/>
        <w:rPr>
          <w:rFonts w:ascii="Arial" w:cs="Arial" w:eastAsia="Arial" w:hAnsi="Arial"/>
          <w:sz w:val="11"/>
          <w:szCs w:val="11"/>
          <w:color w:val="auto"/>
        </w:rPr>
      </w:pPr>
    </w:p>
    <w:p>
      <w:pPr>
        <w:ind w:left="280" w:hanging="164"/>
        <w:spacing w:after="0"/>
        <w:tabs>
          <w:tab w:leader="none" w:pos="280" w:val="left"/>
        </w:tabs>
        <w:numPr>
          <w:ilvl w:val="0"/>
          <w:numId w:val="85"/>
        </w:numPr>
        <w:rPr>
          <w:rFonts w:ascii="Arial" w:cs="Arial" w:eastAsia="Arial" w:hAnsi="Arial"/>
          <w:sz w:val="11"/>
          <w:szCs w:val="11"/>
          <w:color w:val="auto"/>
        </w:rPr>
      </w:pPr>
      <w:r>
        <w:rPr>
          <w:rFonts w:ascii="Arial" w:cs="Arial" w:eastAsia="Arial" w:hAnsi="Arial"/>
          <w:sz w:val="13"/>
          <w:szCs w:val="13"/>
          <w:color w:val="auto"/>
        </w:rPr>
        <w:t>Continued health benefits for remainder of the term or until covered by another plan.</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E42"/>
        </w:rPr>
        <w:t>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2344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1234440"/>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3840" w:type="dxa"/>
            <w:vAlign w:val="bottom"/>
            <w:shd w:val="clear" w:color="auto" w:fill="F4F4E5"/>
          </w:tcPr>
          <w:p>
            <w:pPr>
              <w:spacing w:after="0"/>
              <w:rPr>
                <w:sz w:val="22"/>
                <w:szCs w:val="22"/>
                <w:color w:val="auto"/>
              </w:rPr>
            </w:pPr>
          </w:p>
        </w:tc>
        <w:tc>
          <w:tcPr>
            <w:tcW w:w="2200" w:type="dxa"/>
            <w:vAlign w:val="bottom"/>
            <w:gridSpan w:val="2"/>
            <w:vMerge w:val="restart"/>
            <w:shd w:val="clear" w:color="auto" w:fill="F4F4E5"/>
          </w:tcPr>
          <w:p>
            <w:pPr>
              <w:jc w:val="right"/>
              <w:ind w:right="428"/>
              <w:spacing w:after="0"/>
              <w:rPr>
                <w:sz w:val="20"/>
                <w:szCs w:val="20"/>
                <w:color w:val="auto"/>
              </w:rPr>
            </w:pPr>
            <w:r>
              <w:rPr>
                <w:rFonts w:ascii="Arial" w:cs="Arial" w:eastAsia="Arial" w:hAnsi="Arial"/>
                <w:sz w:val="13"/>
                <w:szCs w:val="13"/>
                <w:b w:val="1"/>
                <w:bCs w:val="1"/>
                <w:color w:val="auto"/>
              </w:rPr>
              <w:t>TERMINATION UPON</w:t>
            </w:r>
          </w:p>
        </w:tc>
        <w:tc>
          <w:tcPr>
            <w:tcW w:w="2340" w:type="dxa"/>
            <w:vAlign w:val="bottom"/>
            <w:gridSpan w:val="2"/>
            <w:shd w:val="clear" w:color="auto" w:fill="F4F4E5"/>
          </w:tcPr>
          <w:p>
            <w:pPr>
              <w:jc w:val="center"/>
              <w:spacing w:after="0"/>
              <w:rPr>
                <w:sz w:val="20"/>
                <w:szCs w:val="20"/>
                <w:color w:val="auto"/>
              </w:rPr>
            </w:pPr>
            <w:r>
              <w:rPr>
                <w:rFonts w:ascii="Arial" w:cs="Arial" w:eastAsia="Arial" w:hAnsi="Arial"/>
                <w:sz w:val="13"/>
                <w:szCs w:val="13"/>
                <w:b w:val="1"/>
                <w:bCs w:val="1"/>
                <w:color w:val="auto"/>
                <w:w w:val="97"/>
              </w:rPr>
              <w:t>TERMINATION WITHOUT</w:t>
            </w:r>
          </w:p>
        </w:tc>
        <w:tc>
          <w:tcPr>
            <w:tcW w:w="2640" w:type="dxa"/>
            <w:vAlign w:val="bottom"/>
            <w:gridSpan w:val="2"/>
            <w:vMerge w:val="restart"/>
            <w:shd w:val="clear" w:color="auto" w:fill="F4F4E5"/>
          </w:tcPr>
          <w:p>
            <w:pPr>
              <w:jc w:val="center"/>
              <w:spacing w:after="0"/>
              <w:rPr>
                <w:sz w:val="20"/>
                <w:szCs w:val="20"/>
                <w:color w:val="auto"/>
              </w:rPr>
            </w:pPr>
            <w:r>
              <w:rPr>
                <w:rFonts w:ascii="Arial" w:cs="Arial" w:eastAsia="Arial" w:hAnsi="Arial"/>
                <w:sz w:val="13"/>
                <w:szCs w:val="13"/>
                <w:b w:val="1"/>
                <w:bCs w:val="1"/>
                <w:color w:val="auto"/>
                <w:w w:val="95"/>
              </w:rPr>
              <w:t>TERMINATION BY EMPLOYEE</w:t>
            </w:r>
          </w:p>
        </w:tc>
        <w:tc>
          <w:tcPr>
            <w:tcW w:w="0" w:type="dxa"/>
            <w:vAlign w:val="bottom"/>
          </w:tcPr>
          <w:p>
            <w:pPr>
              <w:spacing w:after="0"/>
              <w:rPr>
                <w:sz w:val="1"/>
                <w:szCs w:val="1"/>
                <w:color w:val="auto"/>
              </w:rPr>
            </w:pPr>
          </w:p>
        </w:tc>
      </w:tr>
      <w:tr>
        <w:trPr>
          <w:trHeight w:val="68"/>
        </w:trPr>
        <w:tc>
          <w:tcPr>
            <w:tcW w:w="3840" w:type="dxa"/>
            <w:vAlign w:val="bottom"/>
            <w:shd w:val="clear" w:color="auto" w:fill="F4F4E5"/>
          </w:tcPr>
          <w:p>
            <w:pPr>
              <w:spacing w:after="0"/>
              <w:rPr>
                <w:sz w:val="5"/>
                <w:szCs w:val="5"/>
                <w:color w:val="auto"/>
              </w:rPr>
            </w:pPr>
          </w:p>
        </w:tc>
        <w:tc>
          <w:tcPr>
            <w:tcW w:w="2200" w:type="dxa"/>
            <w:vAlign w:val="bottom"/>
            <w:gridSpan w:val="2"/>
            <w:vMerge w:val="continue"/>
            <w:shd w:val="clear" w:color="auto" w:fill="F4F4E5"/>
          </w:tcPr>
          <w:p>
            <w:pPr>
              <w:spacing w:after="0"/>
              <w:rPr>
                <w:sz w:val="5"/>
                <w:szCs w:val="5"/>
                <w:color w:val="auto"/>
              </w:rPr>
            </w:pPr>
          </w:p>
        </w:tc>
        <w:tc>
          <w:tcPr>
            <w:tcW w:w="2340" w:type="dxa"/>
            <w:vAlign w:val="bottom"/>
            <w:gridSpan w:val="2"/>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CAUSE OR UPON</w:t>
            </w:r>
          </w:p>
        </w:tc>
        <w:tc>
          <w:tcPr>
            <w:tcW w:w="2640" w:type="dxa"/>
            <w:vAlign w:val="bottom"/>
            <w:gridSpan w:val="2"/>
            <w:vMerge w:val="continue"/>
            <w:shd w:val="clear" w:color="auto" w:fill="F4F4E5"/>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840" w:type="dxa"/>
            <w:vAlign w:val="bottom"/>
            <w:shd w:val="clear" w:color="auto" w:fill="F4F4E5"/>
          </w:tcPr>
          <w:p>
            <w:pPr>
              <w:spacing w:after="0"/>
              <w:rPr>
                <w:sz w:val="5"/>
                <w:szCs w:val="5"/>
                <w:color w:val="auto"/>
              </w:rPr>
            </w:pPr>
          </w:p>
        </w:tc>
        <w:tc>
          <w:tcPr>
            <w:tcW w:w="2200" w:type="dxa"/>
            <w:vAlign w:val="bottom"/>
            <w:gridSpan w:val="2"/>
            <w:vMerge w:val="restart"/>
            <w:shd w:val="clear" w:color="auto" w:fill="F4F4E5"/>
          </w:tcPr>
          <w:p>
            <w:pPr>
              <w:jc w:val="right"/>
              <w:ind w:right="368"/>
              <w:spacing w:after="0" w:line="135" w:lineRule="exact"/>
              <w:rPr>
                <w:sz w:val="20"/>
                <w:szCs w:val="20"/>
                <w:color w:val="auto"/>
              </w:rPr>
            </w:pPr>
            <w:r>
              <w:rPr>
                <w:rFonts w:ascii="Arial" w:cs="Arial" w:eastAsia="Arial" w:hAnsi="Arial"/>
                <w:sz w:val="13"/>
                <w:szCs w:val="13"/>
                <w:b w:val="1"/>
                <w:bCs w:val="1"/>
                <w:color w:val="auto"/>
              </w:rPr>
              <w:t>DEATH OR COMPLETE</w:t>
            </w:r>
          </w:p>
        </w:tc>
        <w:tc>
          <w:tcPr>
            <w:tcW w:w="2340" w:type="dxa"/>
            <w:vAlign w:val="bottom"/>
            <w:gridSpan w:val="2"/>
            <w:vMerge w:val="continue"/>
            <w:shd w:val="clear" w:color="auto" w:fill="F4F4E5"/>
          </w:tcPr>
          <w:p>
            <w:pPr>
              <w:spacing w:after="0"/>
              <w:rPr>
                <w:sz w:val="5"/>
                <w:szCs w:val="5"/>
                <w:color w:val="auto"/>
              </w:rPr>
            </w:pPr>
          </w:p>
        </w:tc>
        <w:tc>
          <w:tcPr>
            <w:tcW w:w="2640" w:type="dxa"/>
            <w:vAlign w:val="bottom"/>
            <w:gridSpan w:val="2"/>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7"/>
              </w:rPr>
              <w:t>FOR GOOD REASON AFTER</w:t>
            </w:r>
          </w:p>
        </w:tc>
        <w:tc>
          <w:tcPr>
            <w:tcW w:w="0" w:type="dxa"/>
            <w:vAlign w:val="bottom"/>
          </w:tcPr>
          <w:p>
            <w:pPr>
              <w:spacing w:after="0"/>
              <w:rPr>
                <w:sz w:val="1"/>
                <w:szCs w:val="1"/>
                <w:color w:val="auto"/>
              </w:rPr>
            </w:pPr>
          </w:p>
        </w:tc>
      </w:tr>
      <w:tr>
        <w:trPr>
          <w:trHeight w:val="68"/>
        </w:trPr>
        <w:tc>
          <w:tcPr>
            <w:tcW w:w="3840" w:type="dxa"/>
            <w:vAlign w:val="bottom"/>
            <w:shd w:val="clear" w:color="auto" w:fill="F4F4E5"/>
          </w:tcPr>
          <w:p>
            <w:pPr>
              <w:spacing w:after="0"/>
              <w:rPr>
                <w:sz w:val="5"/>
                <w:szCs w:val="5"/>
                <w:color w:val="auto"/>
              </w:rPr>
            </w:pPr>
          </w:p>
        </w:tc>
        <w:tc>
          <w:tcPr>
            <w:tcW w:w="2200" w:type="dxa"/>
            <w:vAlign w:val="bottom"/>
            <w:gridSpan w:val="2"/>
            <w:vMerge w:val="continue"/>
            <w:shd w:val="clear" w:color="auto" w:fill="F4F4E5"/>
          </w:tcPr>
          <w:p>
            <w:pPr>
              <w:spacing w:after="0"/>
              <w:rPr>
                <w:sz w:val="5"/>
                <w:szCs w:val="5"/>
                <w:color w:val="auto"/>
              </w:rPr>
            </w:pPr>
          </w:p>
        </w:tc>
        <w:tc>
          <w:tcPr>
            <w:tcW w:w="2340" w:type="dxa"/>
            <w:vAlign w:val="bottom"/>
            <w:gridSpan w:val="2"/>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3"/>
              </w:rPr>
              <w:t>COMPANY’S</w:t>
            </w:r>
          </w:p>
        </w:tc>
        <w:tc>
          <w:tcPr>
            <w:tcW w:w="2640" w:type="dxa"/>
            <w:vAlign w:val="bottom"/>
            <w:gridSpan w:val="2"/>
            <w:vMerge w:val="continue"/>
            <w:shd w:val="clear" w:color="auto" w:fill="F4F4E5"/>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840" w:type="dxa"/>
            <w:vAlign w:val="bottom"/>
            <w:shd w:val="clear" w:color="auto" w:fill="F4F4E5"/>
          </w:tcPr>
          <w:p>
            <w:pPr>
              <w:spacing w:after="0"/>
              <w:rPr>
                <w:sz w:val="5"/>
                <w:szCs w:val="5"/>
                <w:color w:val="auto"/>
              </w:rPr>
            </w:pPr>
          </w:p>
        </w:tc>
        <w:tc>
          <w:tcPr>
            <w:tcW w:w="2200" w:type="dxa"/>
            <w:vAlign w:val="bottom"/>
            <w:gridSpan w:val="2"/>
            <w:vMerge w:val="restart"/>
            <w:shd w:val="clear" w:color="auto" w:fill="F4F4E5"/>
          </w:tcPr>
          <w:p>
            <w:pPr>
              <w:ind w:left="720"/>
              <w:spacing w:after="0"/>
              <w:rPr>
                <w:sz w:val="20"/>
                <w:szCs w:val="20"/>
                <w:color w:val="auto"/>
              </w:rPr>
            </w:pPr>
            <w:r>
              <w:rPr>
                <w:rFonts w:ascii="Arial" w:cs="Arial" w:eastAsia="Arial" w:hAnsi="Arial"/>
                <w:sz w:val="13"/>
                <w:szCs w:val="13"/>
                <w:b w:val="1"/>
                <w:bCs w:val="1"/>
                <w:color w:val="auto"/>
              </w:rPr>
              <w:t>DISABILITY</w:t>
            </w:r>
          </w:p>
        </w:tc>
        <w:tc>
          <w:tcPr>
            <w:tcW w:w="2340" w:type="dxa"/>
            <w:vAlign w:val="bottom"/>
            <w:gridSpan w:val="2"/>
            <w:vMerge w:val="continue"/>
            <w:shd w:val="clear" w:color="auto" w:fill="F4F4E5"/>
          </w:tcPr>
          <w:p>
            <w:pPr>
              <w:spacing w:after="0"/>
              <w:rPr>
                <w:sz w:val="5"/>
                <w:szCs w:val="5"/>
                <w:color w:val="auto"/>
              </w:rPr>
            </w:pPr>
          </w:p>
        </w:tc>
        <w:tc>
          <w:tcPr>
            <w:tcW w:w="2640" w:type="dxa"/>
            <w:vAlign w:val="bottom"/>
            <w:gridSpan w:val="2"/>
            <w:vMerge w:val="restart"/>
            <w:shd w:val="clear" w:color="auto" w:fill="F4F4E5"/>
          </w:tcPr>
          <w:p>
            <w:pPr>
              <w:jc w:val="center"/>
              <w:spacing w:after="0"/>
              <w:rPr>
                <w:sz w:val="20"/>
                <w:szCs w:val="20"/>
                <w:color w:val="auto"/>
              </w:rPr>
            </w:pPr>
            <w:r>
              <w:rPr>
                <w:rFonts w:ascii="Arial" w:cs="Arial" w:eastAsia="Arial" w:hAnsi="Arial"/>
                <w:sz w:val="13"/>
                <w:szCs w:val="13"/>
                <w:b w:val="1"/>
                <w:bCs w:val="1"/>
                <w:color w:val="auto"/>
                <w:w w:val="96"/>
              </w:rPr>
              <w:t>CHANGE IN CONTROL</w:t>
            </w:r>
          </w:p>
        </w:tc>
        <w:tc>
          <w:tcPr>
            <w:tcW w:w="0" w:type="dxa"/>
            <w:vAlign w:val="bottom"/>
          </w:tcPr>
          <w:p>
            <w:pPr>
              <w:spacing w:after="0"/>
              <w:rPr>
                <w:sz w:val="1"/>
                <w:szCs w:val="1"/>
                <w:color w:val="auto"/>
              </w:rPr>
            </w:pPr>
          </w:p>
        </w:tc>
      </w:tr>
      <w:tr>
        <w:trPr>
          <w:trHeight w:val="100"/>
        </w:trPr>
        <w:tc>
          <w:tcPr>
            <w:tcW w:w="3840" w:type="dxa"/>
            <w:vAlign w:val="bottom"/>
            <w:shd w:val="clear" w:color="auto" w:fill="F4F4E5"/>
          </w:tcPr>
          <w:p>
            <w:pPr>
              <w:spacing w:after="0"/>
              <w:rPr>
                <w:sz w:val="8"/>
                <w:szCs w:val="8"/>
                <w:color w:val="auto"/>
              </w:rPr>
            </w:pPr>
          </w:p>
        </w:tc>
        <w:tc>
          <w:tcPr>
            <w:tcW w:w="2200" w:type="dxa"/>
            <w:vAlign w:val="bottom"/>
            <w:gridSpan w:val="2"/>
            <w:vMerge w:val="continue"/>
            <w:shd w:val="clear" w:color="auto" w:fill="F4F4E5"/>
          </w:tcPr>
          <w:p>
            <w:pPr>
              <w:spacing w:after="0"/>
              <w:rPr>
                <w:sz w:val="8"/>
                <w:szCs w:val="8"/>
                <w:color w:val="auto"/>
              </w:rPr>
            </w:pPr>
          </w:p>
        </w:tc>
        <w:tc>
          <w:tcPr>
            <w:tcW w:w="2340" w:type="dxa"/>
            <w:vAlign w:val="bottom"/>
            <w:gridSpan w:val="2"/>
            <w:vMerge w:val="restart"/>
            <w:shd w:val="clear" w:color="auto" w:fill="F4F4E5"/>
          </w:tcPr>
          <w:p>
            <w:pPr>
              <w:jc w:val="center"/>
              <w:spacing w:after="0"/>
              <w:rPr>
                <w:sz w:val="20"/>
                <w:szCs w:val="20"/>
                <w:color w:val="auto"/>
              </w:rPr>
            </w:pPr>
            <w:r>
              <w:rPr>
                <w:rFonts w:ascii="Arial" w:cs="Arial" w:eastAsia="Arial" w:hAnsi="Arial"/>
                <w:sz w:val="13"/>
                <w:szCs w:val="13"/>
                <w:b w:val="1"/>
                <w:bCs w:val="1"/>
                <w:color w:val="auto"/>
                <w:w w:val="96"/>
              </w:rPr>
              <w:t>MATERIAL BREACH</w:t>
            </w:r>
          </w:p>
        </w:tc>
        <w:tc>
          <w:tcPr>
            <w:tcW w:w="2640" w:type="dxa"/>
            <w:vAlign w:val="bottom"/>
            <w:gridSpan w:val="2"/>
            <w:vMerge w:val="continue"/>
            <w:shd w:val="clear" w:color="auto" w:fill="F4F4E5"/>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840" w:type="dxa"/>
            <w:vAlign w:val="bottom"/>
            <w:tcBorders>
              <w:bottom w:val="single" w:sz="8" w:color="F4F4E5"/>
            </w:tcBorders>
            <w:shd w:val="clear" w:color="auto" w:fill="F4F4E5"/>
          </w:tcPr>
          <w:p>
            <w:pPr>
              <w:spacing w:after="0"/>
              <w:rPr>
                <w:sz w:val="6"/>
                <w:szCs w:val="6"/>
                <w:color w:val="auto"/>
              </w:rPr>
            </w:pPr>
          </w:p>
        </w:tc>
        <w:tc>
          <w:tcPr>
            <w:tcW w:w="1120" w:type="dxa"/>
            <w:vAlign w:val="bottom"/>
            <w:tcBorders>
              <w:bottom w:val="single" w:sz="8" w:color="F4F4E5"/>
            </w:tcBorders>
            <w:shd w:val="clear" w:color="auto" w:fill="F4F4E5"/>
          </w:tcPr>
          <w:p>
            <w:pPr>
              <w:spacing w:after="0"/>
              <w:rPr>
                <w:sz w:val="6"/>
                <w:szCs w:val="6"/>
                <w:color w:val="auto"/>
              </w:rPr>
            </w:pPr>
          </w:p>
        </w:tc>
        <w:tc>
          <w:tcPr>
            <w:tcW w:w="1080" w:type="dxa"/>
            <w:vAlign w:val="bottom"/>
            <w:tcBorders>
              <w:bottom w:val="single" w:sz="8" w:color="F4F4E5"/>
            </w:tcBorders>
            <w:shd w:val="clear" w:color="auto" w:fill="F4F4E5"/>
          </w:tcPr>
          <w:p>
            <w:pPr>
              <w:spacing w:after="0"/>
              <w:rPr>
                <w:sz w:val="6"/>
                <w:szCs w:val="6"/>
                <w:color w:val="auto"/>
              </w:rPr>
            </w:pPr>
          </w:p>
        </w:tc>
        <w:tc>
          <w:tcPr>
            <w:tcW w:w="2340" w:type="dxa"/>
            <w:vAlign w:val="bottom"/>
            <w:tcBorders>
              <w:bottom w:val="single" w:sz="8" w:color="F4F4E5"/>
            </w:tcBorders>
            <w:gridSpan w:val="2"/>
            <w:vMerge w:val="continue"/>
            <w:shd w:val="clear" w:color="auto" w:fill="F4F4E5"/>
          </w:tcPr>
          <w:p>
            <w:pPr>
              <w:spacing w:after="0"/>
              <w:rPr>
                <w:sz w:val="6"/>
                <w:szCs w:val="6"/>
                <w:color w:val="auto"/>
              </w:rPr>
            </w:pPr>
          </w:p>
        </w:tc>
        <w:tc>
          <w:tcPr>
            <w:tcW w:w="1140" w:type="dxa"/>
            <w:vAlign w:val="bottom"/>
            <w:tcBorders>
              <w:bottom w:val="single" w:sz="8" w:color="F4F4E5"/>
            </w:tcBorders>
            <w:shd w:val="clear" w:color="auto" w:fill="F4F4E5"/>
          </w:tcPr>
          <w:p>
            <w:pPr>
              <w:spacing w:after="0"/>
              <w:rPr>
                <w:sz w:val="6"/>
                <w:szCs w:val="6"/>
                <w:color w:val="auto"/>
              </w:rPr>
            </w:pPr>
          </w:p>
        </w:tc>
        <w:tc>
          <w:tcPr>
            <w:tcW w:w="1500" w:type="dxa"/>
            <w:vAlign w:val="bottom"/>
            <w:tcBorders>
              <w:bottom w:val="single" w:sz="8" w:color="F4F4E5"/>
            </w:tcBorders>
            <w:shd w:val="clear" w:color="auto" w:fill="F4F4E5"/>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840" w:type="dxa"/>
            <w:vAlign w:val="bottom"/>
            <w:shd w:val="clear" w:color="auto" w:fill="EAEFF2"/>
          </w:tcPr>
          <w:p>
            <w:pPr>
              <w:ind w:left="60"/>
              <w:spacing w:after="0"/>
              <w:rPr>
                <w:sz w:val="20"/>
                <w:szCs w:val="20"/>
                <w:color w:val="auto"/>
              </w:rPr>
            </w:pPr>
            <w:r>
              <w:rPr>
                <w:rFonts w:ascii="Arial" w:cs="Arial" w:eastAsia="Arial" w:hAnsi="Arial"/>
                <w:sz w:val="14"/>
                <w:szCs w:val="14"/>
                <w:color w:val="auto"/>
              </w:rPr>
              <w:t>Base Salary</w:t>
            </w:r>
          </w:p>
        </w:tc>
        <w:tc>
          <w:tcPr>
            <w:tcW w:w="2200" w:type="dxa"/>
            <w:vAlign w:val="bottom"/>
            <w:gridSpan w:val="2"/>
            <w:shd w:val="clear" w:color="auto" w:fill="EAEFF2"/>
          </w:tcPr>
          <w:p>
            <w:pPr>
              <w:jc w:val="right"/>
              <w:ind w:right="348"/>
              <w:spacing w:after="0"/>
              <w:rPr>
                <w:sz w:val="20"/>
                <w:szCs w:val="20"/>
                <w:color w:val="auto"/>
              </w:rPr>
            </w:pPr>
            <w:r>
              <w:rPr>
                <w:rFonts w:ascii="Arial" w:cs="Arial" w:eastAsia="Arial" w:hAnsi="Arial"/>
                <w:sz w:val="14"/>
                <w:szCs w:val="14"/>
                <w:color w:val="auto"/>
              </w:rPr>
              <w:t>Amounts earned and</w:t>
            </w:r>
          </w:p>
        </w:tc>
        <w:tc>
          <w:tcPr>
            <w:tcW w:w="960" w:type="dxa"/>
            <w:vAlign w:val="bottom"/>
            <w:shd w:val="clear" w:color="auto" w:fill="EAEFF2"/>
          </w:tcPr>
          <w:p>
            <w:pPr>
              <w:spacing w:after="0"/>
              <w:rPr>
                <w:sz w:val="15"/>
                <w:szCs w:val="15"/>
                <w:color w:val="auto"/>
              </w:rPr>
            </w:pPr>
          </w:p>
        </w:tc>
        <w:tc>
          <w:tcPr>
            <w:tcW w:w="1380" w:type="dxa"/>
            <w:vAlign w:val="bottom"/>
            <w:shd w:val="clear" w:color="auto" w:fill="EAEFF2"/>
          </w:tcPr>
          <w:p>
            <w:pPr>
              <w:spacing w:after="0"/>
              <w:rPr>
                <w:sz w:val="15"/>
                <w:szCs w:val="15"/>
                <w:color w:val="auto"/>
              </w:rPr>
            </w:pPr>
          </w:p>
        </w:tc>
        <w:tc>
          <w:tcPr>
            <w:tcW w:w="1140" w:type="dxa"/>
            <w:vAlign w:val="bottom"/>
            <w:shd w:val="clear" w:color="auto" w:fill="EAEFF2"/>
          </w:tcPr>
          <w:p>
            <w:pPr>
              <w:spacing w:after="0"/>
              <w:rPr>
                <w:sz w:val="15"/>
                <w:szCs w:val="15"/>
                <w:color w:val="auto"/>
              </w:rPr>
            </w:pPr>
          </w:p>
        </w:tc>
        <w:tc>
          <w:tcPr>
            <w:tcW w:w="1500" w:type="dxa"/>
            <w:vAlign w:val="bottom"/>
            <w:shd w:val="clear" w:color="auto" w:fill="EAEF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EAEFF2"/>
          </w:tcPr>
          <w:p>
            <w:pPr>
              <w:spacing w:after="0"/>
              <w:rPr>
                <w:sz w:val="14"/>
                <w:szCs w:val="14"/>
                <w:color w:val="auto"/>
              </w:rPr>
            </w:pPr>
          </w:p>
        </w:tc>
        <w:tc>
          <w:tcPr>
            <w:tcW w:w="2200" w:type="dxa"/>
            <w:vAlign w:val="bottom"/>
            <w:gridSpan w:val="2"/>
            <w:shd w:val="clear" w:color="auto" w:fill="EAEFF2"/>
          </w:tcPr>
          <w:p>
            <w:pPr>
              <w:jc w:val="right"/>
              <w:ind w:right="348"/>
              <w:spacing w:after="0"/>
              <w:rPr>
                <w:sz w:val="20"/>
                <w:szCs w:val="20"/>
                <w:color w:val="auto"/>
              </w:rPr>
            </w:pPr>
            <w:r>
              <w:rPr>
                <w:rFonts w:ascii="Arial" w:cs="Arial" w:eastAsia="Arial" w:hAnsi="Arial"/>
                <w:sz w:val="14"/>
                <w:szCs w:val="14"/>
                <w:color w:val="auto"/>
              </w:rPr>
              <w:t>unpaid through the</w:t>
            </w:r>
          </w:p>
        </w:tc>
        <w:tc>
          <w:tcPr>
            <w:tcW w:w="960" w:type="dxa"/>
            <w:vAlign w:val="bottom"/>
            <w:shd w:val="clear" w:color="auto" w:fill="EAEFF2"/>
          </w:tcPr>
          <w:p>
            <w:pPr>
              <w:spacing w:after="0"/>
              <w:rPr>
                <w:sz w:val="14"/>
                <w:szCs w:val="14"/>
                <w:color w:val="auto"/>
              </w:rPr>
            </w:pPr>
          </w:p>
        </w:tc>
        <w:tc>
          <w:tcPr>
            <w:tcW w:w="1380" w:type="dxa"/>
            <w:vAlign w:val="bottom"/>
            <w:shd w:val="clear" w:color="auto" w:fill="EAEFF2"/>
          </w:tcPr>
          <w:p>
            <w:pPr>
              <w:spacing w:after="0"/>
              <w:rPr>
                <w:sz w:val="14"/>
                <w:szCs w:val="14"/>
                <w:color w:val="auto"/>
              </w:rPr>
            </w:pPr>
          </w:p>
        </w:tc>
        <w:tc>
          <w:tcPr>
            <w:tcW w:w="1140" w:type="dxa"/>
            <w:vAlign w:val="bottom"/>
            <w:shd w:val="clear" w:color="auto" w:fill="EAEFF2"/>
          </w:tcPr>
          <w:p>
            <w:pPr>
              <w:spacing w:after="0"/>
              <w:rPr>
                <w:sz w:val="14"/>
                <w:szCs w:val="14"/>
                <w:color w:val="auto"/>
              </w:rPr>
            </w:pPr>
          </w:p>
        </w:tc>
        <w:tc>
          <w:tcPr>
            <w:tcW w:w="1500" w:type="dxa"/>
            <w:vAlign w:val="bottom"/>
            <w:shd w:val="clear" w:color="auto" w:fill="EAEFF2"/>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EAEFF2"/>
          </w:tcPr>
          <w:p>
            <w:pPr>
              <w:spacing w:after="0"/>
              <w:rPr>
                <w:sz w:val="13"/>
                <w:szCs w:val="13"/>
                <w:color w:val="auto"/>
              </w:rPr>
            </w:pPr>
          </w:p>
        </w:tc>
        <w:tc>
          <w:tcPr>
            <w:tcW w:w="2200" w:type="dxa"/>
            <w:vAlign w:val="bottom"/>
            <w:gridSpan w:val="2"/>
            <w:shd w:val="clear" w:color="auto" w:fill="EAEFF2"/>
          </w:tcPr>
          <w:p>
            <w:pPr>
              <w:jc w:val="right"/>
              <w:ind w:right="348"/>
              <w:spacing w:after="0" w:line="157" w:lineRule="exact"/>
              <w:rPr>
                <w:sz w:val="20"/>
                <w:szCs w:val="20"/>
                <w:color w:val="auto"/>
              </w:rPr>
            </w:pPr>
            <w:r>
              <w:rPr>
                <w:rFonts w:ascii="Arial" w:cs="Arial" w:eastAsia="Arial" w:hAnsi="Arial"/>
                <w:sz w:val="14"/>
                <w:szCs w:val="14"/>
                <w:color w:val="auto"/>
              </w:rPr>
              <w:t>date of termination</w:t>
            </w:r>
          </w:p>
        </w:tc>
        <w:tc>
          <w:tcPr>
            <w:tcW w:w="2340" w:type="dxa"/>
            <w:vAlign w:val="bottom"/>
            <w:gridSpan w:val="2"/>
            <w:shd w:val="clear" w:color="auto" w:fill="EAEFF2"/>
          </w:tcPr>
          <w:p>
            <w:pPr>
              <w:jc w:val="right"/>
              <w:ind w:right="768"/>
              <w:spacing w:after="0" w:line="157" w:lineRule="exact"/>
              <w:rPr>
                <w:sz w:val="20"/>
                <w:szCs w:val="20"/>
                <w:color w:val="auto"/>
              </w:rPr>
            </w:pPr>
            <w:r>
              <w:rPr>
                <w:rFonts w:ascii="Arial" w:cs="Arial" w:eastAsia="Arial" w:hAnsi="Arial"/>
                <w:sz w:val="14"/>
                <w:szCs w:val="14"/>
                <w:color w:val="auto"/>
              </w:rPr>
              <w:t>$1,300,000</w:t>
            </w:r>
          </w:p>
        </w:tc>
        <w:tc>
          <w:tcPr>
            <w:tcW w:w="2640" w:type="dxa"/>
            <w:vAlign w:val="bottom"/>
            <w:gridSpan w:val="2"/>
            <w:shd w:val="clear" w:color="auto" w:fill="EAEFF2"/>
          </w:tcPr>
          <w:p>
            <w:pPr>
              <w:jc w:val="right"/>
              <w:ind w:right="888"/>
              <w:spacing w:after="0" w:line="157" w:lineRule="exact"/>
              <w:rPr>
                <w:sz w:val="20"/>
                <w:szCs w:val="20"/>
                <w:color w:val="auto"/>
              </w:rPr>
            </w:pPr>
            <w:r>
              <w:rPr>
                <w:rFonts w:ascii="Arial" w:cs="Arial" w:eastAsia="Arial" w:hAnsi="Arial"/>
                <w:sz w:val="14"/>
                <w:szCs w:val="14"/>
                <w:color w:val="auto"/>
              </w:rPr>
              <w:t>$1,300,000</w:t>
            </w:r>
          </w:p>
        </w:tc>
        <w:tc>
          <w:tcPr>
            <w:tcW w:w="0" w:type="dxa"/>
            <w:vAlign w:val="bottom"/>
          </w:tcPr>
          <w:p>
            <w:pPr>
              <w:spacing w:after="0"/>
              <w:rPr>
                <w:sz w:val="1"/>
                <w:szCs w:val="1"/>
                <w:color w:val="auto"/>
              </w:rPr>
            </w:pPr>
          </w:p>
        </w:tc>
      </w:tr>
      <w:tr>
        <w:trPr>
          <w:trHeight w:val="176"/>
        </w:trPr>
        <w:tc>
          <w:tcPr>
            <w:tcW w:w="3840" w:type="dxa"/>
            <w:vAlign w:val="bottom"/>
            <w:shd w:val="clear" w:color="auto" w:fill="F4F4E5"/>
          </w:tcPr>
          <w:p>
            <w:pPr>
              <w:ind w:left="60"/>
              <w:spacing w:after="0"/>
              <w:rPr>
                <w:sz w:val="20"/>
                <w:szCs w:val="20"/>
                <w:color w:val="auto"/>
              </w:rPr>
            </w:pPr>
            <w:r>
              <w:rPr>
                <w:rFonts w:ascii="Arial" w:cs="Arial" w:eastAsia="Arial" w:hAnsi="Arial"/>
                <w:sz w:val="14"/>
                <w:szCs w:val="14"/>
                <w:color w:val="auto"/>
              </w:rPr>
              <w:t>Bonus</w:t>
            </w:r>
          </w:p>
        </w:tc>
        <w:tc>
          <w:tcPr>
            <w:tcW w:w="1120" w:type="dxa"/>
            <w:vAlign w:val="bottom"/>
            <w:shd w:val="clear" w:color="auto" w:fill="F4F4E5"/>
          </w:tcPr>
          <w:p>
            <w:pPr>
              <w:ind w:left="7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E5"/>
          </w:tcPr>
          <w:p>
            <w:pPr>
              <w:jc w:val="right"/>
              <w:ind w:right="668"/>
              <w:spacing w:after="0"/>
              <w:rPr>
                <w:sz w:val="20"/>
                <w:szCs w:val="20"/>
                <w:color w:val="auto"/>
              </w:rPr>
            </w:pPr>
            <w:r>
              <w:rPr>
                <w:rFonts w:ascii="Arial" w:cs="Arial" w:eastAsia="Arial" w:hAnsi="Arial"/>
                <w:sz w:val="14"/>
                <w:szCs w:val="14"/>
                <w:color w:val="auto"/>
              </w:rPr>
              <w:t>-</w:t>
            </w:r>
          </w:p>
        </w:tc>
        <w:tc>
          <w:tcPr>
            <w:tcW w:w="2340" w:type="dxa"/>
            <w:vAlign w:val="bottom"/>
            <w:gridSpan w:val="2"/>
            <w:shd w:val="clear" w:color="auto" w:fill="F4F4E5"/>
          </w:tcPr>
          <w:p>
            <w:pPr>
              <w:jc w:val="right"/>
              <w:ind w:right="768"/>
              <w:spacing w:after="0"/>
              <w:rPr>
                <w:sz w:val="20"/>
                <w:szCs w:val="20"/>
                <w:color w:val="auto"/>
              </w:rPr>
            </w:pPr>
            <w:r>
              <w:rPr>
                <w:rFonts w:ascii="Arial" w:cs="Arial" w:eastAsia="Arial" w:hAnsi="Arial"/>
                <w:sz w:val="14"/>
                <w:szCs w:val="14"/>
                <w:color w:val="auto"/>
              </w:rPr>
              <w:t>$2,112,000</w:t>
            </w:r>
          </w:p>
        </w:tc>
        <w:tc>
          <w:tcPr>
            <w:tcW w:w="2640" w:type="dxa"/>
            <w:vAlign w:val="bottom"/>
            <w:gridSpan w:val="2"/>
            <w:shd w:val="clear" w:color="auto" w:fill="F4F4E5"/>
          </w:tcPr>
          <w:p>
            <w:pPr>
              <w:jc w:val="right"/>
              <w:ind w:right="888"/>
              <w:spacing w:after="0"/>
              <w:rPr>
                <w:sz w:val="20"/>
                <w:szCs w:val="20"/>
                <w:color w:val="auto"/>
              </w:rPr>
            </w:pPr>
            <w:r>
              <w:rPr>
                <w:rFonts w:ascii="Arial" w:cs="Arial" w:eastAsia="Arial" w:hAnsi="Arial"/>
                <w:sz w:val="14"/>
                <w:szCs w:val="14"/>
                <w:color w:val="auto"/>
              </w:rPr>
              <w:t>$2,112,000</w:t>
            </w:r>
          </w:p>
        </w:tc>
        <w:tc>
          <w:tcPr>
            <w:tcW w:w="0" w:type="dxa"/>
            <w:vAlign w:val="bottom"/>
          </w:tcPr>
          <w:p>
            <w:pPr>
              <w:spacing w:after="0"/>
              <w:rPr>
                <w:sz w:val="1"/>
                <w:szCs w:val="1"/>
                <w:color w:val="auto"/>
              </w:rPr>
            </w:pPr>
          </w:p>
        </w:tc>
      </w:tr>
      <w:tr>
        <w:trPr>
          <w:trHeight w:val="175"/>
        </w:trPr>
        <w:tc>
          <w:tcPr>
            <w:tcW w:w="3840" w:type="dxa"/>
            <w:vAlign w:val="bottom"/>
            <w:shd w:val="clear" w:color="auto" w:fill="EAEFF2"/>
          </w:tcPr>
          <w:p>
            <w:pPr>
              <w:ind w:left="60"/>
              <w:spacing w:after="0" w:line="176" w:lineRule="exact"/>
              <w:rPr>
                <w:sz w:val="20"/>
                <w:szCs w:val="20"/>
                <w:color w:val="auto"/>
              </w:rPr>
            </w:pPr>
            <w:r>
              <w:rPr>
                <w:rFonts w:ascii="Arial" w:cs="Arial" w:eastAsia="Arial" w:hAnsi="Arial"/>
                <w:sz w:val="12"/>
                <w:szCs w:val="12"/>
                <w:color w:val="auto"/>
              </w:rPr>
              <w:t>Restricted Stock</w:t>
            </w:r>
            <w:r>
              <w:rPr>
                <w:rFonts w:ascii="Arial" w:cs="Arial" w:eastAsia="Arial" w:hAnsi="Arial"/>
                <w:sz w:val="20"/>
                <w:szCs w:val="20"/>
                <w:color w:val="auto"/>
                <w:vertAlign w:val="superscript"/>
              </w:rPr>
              <w:t>(1)(2)</w:t>
            </w:r>
          </w:p>
        </w:tc>
        <w:tc>
          <w:tcPr>
            <w:tcW w:w="2200" w:type="dxa"/>
            <w:vAlign w:val="bottom"/>
            <w:gridSpan w:val="2"/>
            <w:shd w:val="clear" w:color="auto" w:fill="EAEFF2"/>
          </w:tcPr>
          <w:p>
            <w:pPr>
              <w:jc w:val="right"/>
              <w:ind w:right="668"/>
              <w:spacing w:after="0"/>
              <w:rPr>
                <w:sz w:val="20"/>
                <w:szCs w:val="20"/>
                <w:color w:val="auto"/>
              </w:rPr>
            </w:pPr>
            <w:r>
              <w:rPr>
                <w:rFonts w:ascii="Arial" w:cs="Arial" w:eastAsia="Arial" w:hAnsi="Arial"/>
                <w:sz w:val="14"/>
                <w:szCs w:val="14"/>
                <w:color w:val="auto"/>
              </w:rPr>
              <w:t>$7,506,898</w:t>
            </w:r>
          </w:p>
        </w:tc>
        <w:tc>
          <w:tcPr>
            <w:tcW w:w="2340" w:type="dxa"/>
            <w:vAlign w:val="bottom"/>
            <w:gridSpan w:val="2"/>
            <w:shd w:val="clear" w:color="auto" w:fill="EAEFF2"/>
          </w:tcPr>
          <w:p>
            <w:pPr>
              <w:jc w:val="right"/>
              <w:ind w:right="768"/>
              <w:spacing w:after="0"/>
              <w:rPr>
                <w:sz w:val="20"/>
                <w:szCs w:val="20"/>
                <w:color w:val="auto"/>
              </w:rPr>
            </w:pPr>
            <w:r>
              <w:rPr>
                <w:rFonts w:ascii="Arial" w:cs="Arial" w:eastAsia="Arial" w:hAnsi="Arial"/>
                <w:sz w:val="14"/>
                <w:szCs w:val="14"/>
                <w:color w:val="auto"/>
              </w:rPr>
              <w:t>$2,756,228</w:t>
            </w:r>
          </w:p>
        </w:tc>
        <w:tc>
          <w:tcPr>
            <w:tcW w:w="2640" w:type="dxa"/>
            <w:vAlign w:val="bottom"/>
            <w:gridSpan w:val="2"/>
            <w:shd w:val="clear" w:color="auto" w:fill="EAEFF2"/>
          </w:tcPr>
          <w:p>
            <w:pPr>
              <w:jc w:val="right"/>
              <w:ind w:right="888"/>
              <w:spacing w:after="0"/>
              <w:rPr>
                <w:sz w:val="20"/>
                <w:szCs w:val="20"/>
                <w:color w:val="auto"/>
              </w:rPr>
            </w:pPr>
            <w:r>
              <w:rPr>
                <w:rFonts w:ascii="Arial" w:cs="Arial" w:eastAsia="Arial" w:hAnsi="Arial"/>
                <w:sz w:val="14"/>
                <w:szCs w:val="14"/>
                <w:color w:val="auto"/>
              </w:rPr>
              <w:t>$7,506,898</w:t>
            </w:r>
          </w:p>
        </w:tc>
        <w:tc>
          <w:tcPr>
            <w:tcW w:w="0" w:type="dxa"/>
            <w:vAlign w:val="bottom"/>
          </w:tcPr>
          <w:p>
            <w:pPr>
              <w:spacing w:after="0"/>
              <w:rPr>
                <w:sz w:val="1"/>
                <w:szCs w:val="1"/>
                <w:color w:val="auto"/>
              </w:rPr>
            </w:pPr>
          </w:p>
        </w:tc>
      </w:tr>
      <w:tr>
        <w:trPr>
          <w:trHeight w:val="175"/>
        </w:trPr>
        <w:tc>
          <w:tcPr>
            <w:tcW w:w="3840" w:type="dxa"/>
            <w:vAlign w:val="bottom"/>
            <w:shd w:val="clear" w:color="auto" w:fill="F4F4E5"/>
          </w:tcPr>
          <w:p>
            <w:pPr>
              <w:ind w:left="60"/>
              <w:spacing w:after="0"/>
              <w:rPr>
                <w:sz w:val="20"/>
                <w:szCs w:val="20"/>
                <w:color w:val="auto"/>
              </w:rPr>
            </w:pPr>
            <w:r>
              <w:rPr>
                <w:rFonts w:ascii="Arial" w:cs="Arial" w:eastAsia="Arial" w:hAnsi="Arial"/>
                <w:sz w:val="14"/>
                <w:szCs w:val="14"/>
                <w:color w:val="auto"/>
              </w:rPr>
              <w:t>Company Paid Life Insurance</w:t>
            </w:r>
          </w:p>
        </w:tc>
        <w:tc>
          <w:tcPr>
            <w:tcW w:w="2200" w:type="dxa"/>
            <w:vAlign w:val="bottom"/>
            <w:gridSpan w:val="2"/>
            <w:shd w:val="clear" w:color="auto" w:fill="F4F4E5"/>
          </w:tcPr>
          <w:p>
            <w:pPr>
              <w:jc w:val="right"/>
              <w:ind w:right="668"/>
              <w:spacing w:after="0"/>
              <w:rPr>
                <w:sz w:val="20"/>
                <w:szCs w:val="20"/>
                <w:color w:val="auto"/>
              </w:rPr>
            </w:pPr>
            <w:r>
              <w:rPr>
                <w:rFonts w:ascii="Arial" w:cs="Arial" w:eastAsia="Arial" w:hAnsi="Arial"/>
                <w:sz w:val="14"/>
                <w:szCs w:val="14"/>
                <w:color w:val="auto"/>
              </w:rPr>
              <w:t>$1,200,000</w:t>
            </w:r>
          </w:p>
        </w:tc>
        <w:tc>
          <w:tcPr>
            <w:tcW w:w="960" w:type="dxa"/>
            <w:vAlign w:val="bottom"/>
            <w:shd w:val="clear" w:color="auto" w:fill="F4F4E5"/>
          </w:tcPr>
          <w:p>
            <w:pPr>
              <w:jc w:val="right"/>
              <w:ind w:right="52"/>
              <w:spacing w:after="0"/>
              <w:rPr>
                <w:sz w:val="20"/>
                <w:szCs w:val="20"/>
                <w:color w:val="auto"/>
              </w:rPr>
            </w:pPr>
            <w:r>
              <w:rPr>
                <w:rFonts w:ascii="Arial" w:cs="Arial" w:eastAsia="Arial" w:hAnsi="Arial"/>
                <w:sz w:val="14"/>
                <w:szCs w:val="14"/>
                <w:color w:val="auto"/>
              </w:rPr>
              <w:t>$</w:t>
            </w:r>
          </w:p>
        </w:tc>
        <w:tc>
          <w:tcPr>
            <w:tcW w:w="1380" w:type="dxa"/>
            <w:vAlign w:val="bottom"/>
            <w:shd w:val="clear" w:color="auto" w:fill="F4F4E5"/>
          </w:tcPr>
          <w:p>
            <w:pPr>
              <w:jc w:val="right"/>
              <w:ind w:right="7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4F4E5"/>
          </w:tcPr>
          <w:p>
            <w:pPr>
              <w:jc w:val="right"/>
              <w:ind w:right="51"/>
              <w:spacing w:after="0"/>
              <w:rPr>
                <w:sz w:val="20"/>
                <w:szCs w:val="20"/>
                <w:color w:val="auto"/>
              </w:rPr>
            </w:pPr>
            <w:r>
              <w:rPr>
                <w:rFonts w:ascii="Arial" w:cs="Arial" w:eastAsia="Arial" w:hAnsi="Arial"/>
                <w:sz w:val="14"/>
                <w:szCs w:val="14"/>
                <w:color w:val="auto"/>
              </w:rPr>
              <w:t>$</w:t>
            </w:r>
          </w:p>
        </w:tc>
        <w:tc>
          <w:tcPr>
            <w:tcW w:w="1500" w:type="dxa"/>
            <w:vAlign w:val="bottom"/>
            <w:shd w:val="clear" w:color="auto" w:fill="F4F4E5"/>
          </w:tcPr>
          <w:p>
            <w:pPr>
              <w:jc w:val="right"/>
              <w:ind w:right="8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3840" w:type="dxa"/>
            <w:vAlign w:val="bottom"/>
            <w:shd w:val="clear" w:color="auto" w:fill="EAEFF2"/>
          </w:tcPr>
          <w:p>
            <w:pPr>
              <w:ind w:left="60"/>
              <w:spacing w:after="0" w:line="176" w:lineRule="exact"/>
              <w:rPr>
                <w:sz w:val="20"/>
                <w:szCs w:val="20"/>
                <w:color w:val="auto"/>
              </w:rPr>
            </w:pPr>
            <w:r>
              <w:rPr>
                <w:rFonts w:ascii="Arial" w:cs="Arial" w:eastAsia="Arial" w:hAnsi="Arial"/>
                <w:sz w:val="12"/>
                <w:szCs w:val="12"/>
                <w:color w:val="auto"/>
              </w:rPr>
              <w:t>Benefits</w:t>
            </w:r>
            <w:r>
              <w:rPr>
                <w:rFonts w:ascii="Arial" w:cs="Arial" w:eastAsia="Arial" w:hAnsi="Arial"/>
                <w:sz w:val="20"/>
                <w:szCs w:val="20"/>
                <w:color w:val="auto"/>
                <w:vertAlign w:val="superscript"/>
              </w:rPr>
              <w:t>(3)</w:t>
            </w:r>
          </w:p>
        </w:tc>
        <w:tc>
          <w:tcPr>
            <w:tcW w:w="1120" w:type="dxa"/>
            <w:vAlign w:val="bottom"/>
            <w:shd w:val="clear" w:color="auto" w:fill="EAEFF2"/>
          </w:tcPr>
          <w:p>
            <w:pPr>
              <w:ind w:left="74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AEFF2"/>
          </w:tcPr>
          <w:p>
            <w:pPr>
              <w:jc w:val="right"/>
              <w:ind w:right="668"/>
              <w:spacing w:after="0"/>
              <w:rPr>
                <w:sz w:val="20"/>
                <w:szCs w:val="20"/>
                <w:color w:val="auto"/>
              </w:rPr>
            </w:pPr>
            <w:r>
              <w:rPr>
                <w:rFonts w:ascii="Arial" w:cs="Arial" w:eastAsia="Arial" w:hAnsi="Arial"/>
                <w:sz w:val="14"/>
                <w:szCs w:val="14"/>
                <w:color w:val="auto"/>
              </w:rPr>
              <w:t>-</w:t>
            </w:r>
          </w:p>
        </w:tc>
        <w:tc>
          <w:tcPr>
            <w:tcW w:w="960" w:type="dxa"/>
            <w:vAlign w:val="bottom"/>
            <w:shd w:val="clear" w:color="auto" w:fill="EAEFF2"/>
          </w:tcPr>
          <w:p>
            <w:pPr>
              <w:jc w:val="right"/>
              <w:ind w:right="32"/>
              <w:spacing w:after="0"/>
              <w:rPr>
                <w:sz w:val="20"/>
                <w:szCs w:val="20"/>
                <w:color w:val="auto"/>
              </w:rPr>
            </w:pPr>
            <w:r>
              <w:rPr>
                <w:rFonts w:ascii="Arial" w:cs="Arial" w:eastAsia="Arial" w:hAnsi="Arial"/>
                <w:sz w:val="14"/>
                <w:szCs w:val="14"/>
                <w:color w:val="auto"/>
              </w:rPr>
              <w:t>$</w:t>
            </w:r>
          </w:p>
        </w:tc>
        <w:tc>
          <w:tcPr>
            <w:tcW w:w="1380" w:type="dxa"/>
            <w:vAlign w:val="bottom"/>
            <w:shd w:val="clear" w:color="auto" w:fill="EAEFF2"/>
          </w:tcPr>
          <w:p>
            <w:pPr>
              <w:jc w:val="right"/>
              <w:ind w:right="768"/>
              <w:spacing w:after="0"/>
              <w:rPr>
                <w:sz w:val="20"/>
                <w:szCs w:val="20"/>
                <w:color w:val="auto"/>
              </w:rPr>
            </w:pPr>
            <w:r>
              <w:rPr>
                <w:rFonts w:ascii="Arial" w:cs="Arial" w:eastAsia="Arial" w:hAnsi="Arial"/>
                <w:sz w:val="14"/>
                <w:szCs w:val="14"/>
                <w:color w:val="auto"/>
              </w:rPr>
              <w:t>33,381</w:t>
            </w:r>
          </w:p>
        </w:tc>
        <w:tc>
          <w:tcPr>
            <w:tcW w:w="1140" w:type="dxa"/>
            <w:vAlign w:val="bottom"/>
            <w:shd w:val="clear" w:color="auto" w:fill="EAEFF2"/>
          </w:tcPr>
          <w:p>
            <w:pPr>
              <w:jc w:val="right"/>
              <w:ind w:right="31"/>
              <w:spacing w:after="0"/>
              <w:rPr>
                <w:sz w:val="20"/>
                <w:szCs w:val="20"/>
                <w:color w:val="auto"/>
              </w:rPr>
            </w:pPr>
            <w:r>
              <w:rPr>
                <w:rFonts w:ascii="Arial" w:cs="Arial" w:eastAsia="Arial" w:hAnsi="Arial"/>
                <w:sz w:val="14"/>
                <w:szCs w:val="14"/>
                <w:color w:val="auto"/>
              </w:rPr>
              <w:t>$</w:t>
            </w:r>
          </w:p>
        </w:tc>
        <w:tc>
          <w:tcPr>
            <w:tcW w:w="1500" w:type="dxa"/>
            <w:vAlign w:val="bottom"/>
            <w:shd w:val="clear" w:color="auto" w:fill="EAEFF2"/>
          </w:tcPr>
          <w:p>
            <w:pPr>
              <w:jc w:val="right"/>
              <w:ind w:right="888"/>
              <w:spacing w:after="0"/>
              <w:rPr>
                <w:sz w:val="20"/>
                <w:szCs w:val="20"/>
                <w:color w:val="auto"/>
              </w:rPr>
            </w:pPr>
            <w:r>
              <w:rPr>
                <w:rFonts w:ascii="Arial" w:cs="Arial" w:eastAsia="Arial" w:hAnsi="Arial"/>
                <w:sz w:val="14"/>
                <w:szCs w:val="14"/>
                <w:color w:val="auto"/>
              </w:rPr>
              <w:t>33,381</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0" w:right="420" w:hanging="4"/>
        <w:spacing w:after="0" w:line="230" w:lineRule="auto"/>
        <w:tabs>
          <w:tab w:leader="none" w:pos="286" w:val="left"/>
        </w:tabs>
        <w:numPr>
          <w:ilvl w:val="0"/>
          <w:numId w:val="86"/>
        </w:numPr>
        <w:rPr>
          <w:rFonts w:ascii="Arial" w:cs="Arial" w:eastAsia="Arial" w:hAnsi="Arial"/>
          <w:sz w:val="11"/>
          <w:szCs w:val="11"/>
          <w:color w:val="auto"/>
        </w:rPr>
      </w:pPr>
      <w:r>
        <w:rPr>
          <w:rFonts w:ascii="Arial" w:cs="Arial" w:eastAsia="Arial" w:hAnsi="Arial"/>
          <w:sz w:val="13"/>
          <w:szCs w:val="13"/>
          <w:color w:val="auto"/>
        </w:rPr>
        <w:t>Upon death, complete disability or change in control, 64,232 shares of restricted stock would vest in full immediately. Using the closing stock price on December 31, 2020, the value of such 64,232 shares would have been $7,247,297 plus accrued dividends of $259,601.</w:t>
      </w:r>
    </w:p>
    <w:p>
      <w:pPr>
        <w:spacing w:after="0" w:line="91" w:lineRule="exact"/>
        <w:rPr>
          <w:rFonts w:ascii="Arial" w:cs="Arial" w:eastAsia="Arial" w:hAnsi="Arial"/>
          <w:sz w:val="11"/>
          <w:szCs w:val="11"/>
          <w:color w:val="auto"/>
        </w:rPr>
      </w:pPr>
    </w:p>
    <w:p>
      <w:pPr>
        <w:ind w:left="120" w:right="240" w:hanging="4"/>
        <w:spacing w:after="0" w:line="230" w:lineRule="auto"/>
        <w:tabs>
          <w:tab w:leader="none" w:pos="286" w:val="left"/>
        </w:tabs>
        <w:numPr>
          <w:ilvl w:val="0"/>
          <w:numId w:val="86"/>
        </w:numPr>
        <w:rPr>
          <w:rFonts w:ascii="Arial" w:cs="Arial" w:eastAsia="Arial" w:hAnsi="Arial"/>
          <w:sz w:val="11"/>
          <w:szCs w:val="11"/>
          <w:color w:val="auto"/>
        </w:rPr>
      </w:pPr>
      <w:r>
        <w:rPr>
          <w:rFonts w:ascii="Arial" w:cs="Arial" w:eastAsia="Arial" w:hAnsi="Arial"/>
          <w:sz w:val="13"/>
          <w:szCs w:val="13"/>
          <w:color w:val="auto"/>
        </w:rPr>
        <w:t>Upon termination without cause or upon the Company’s material breach, 23,609 shares of restricted stock would vest on a prorated basis based on the number of months since the grant date. Using the closing stock price on December 31, 2020, the value of such 23,609 shares would have been $2,663,803, plus accrued dividends of $92,425.</w:t>
      </w:r>
    </w:p>
    <w:p>
      <w:pPr>
        <w:spacing w:after="0" w:line="91" w:lineRule="exact"/>
        <w:rPr>
          <w:rFonts w:ascii="Arial" w:cs="Arial" w:eastAsia="Arial" w:hAnsi="Arial"/>
          <w:sz w:val="11"/>
          <w:szCs w:val="11"/>
          <w:color w:val="auto"/>
        </w:rPr>
      </w:pPr>
    </w:p>
    <w:p>
      <w:pPr>
        <w:ind w:left="280" w:hanging="164"/>
        <w:spacing w:after="0"/>
        <w:tabs>
          <w:tab w:leader="none" w:pos="280" w:val="left"/>
        </w:tabs>
        <w:numPr>
          <w:ilvl w:val="0"/>
          <w:numId w:val="86"/>
        </w:numPr>
        <w:rPr>
          <w:rFonts w:ascii="Arial" w:cs="Arial" w:eastAsia="Arial" w:hAnsi="Arial"/>
          <w:sz w:val="11"/>
          <w:szCs w:val="11"/>
          <w:color w:val="auto"/>
        </w:rPr>
      </w:pPr>
      <w:r>
        <w:rPr>
          <w:rFonts w:ascii="Arial" w:cs="Arial" w:eastAsia="Arial" w:hAnsi="Arial"/>
          <w:sz w:val="13"/>
          <w:szCs w:val="13"/>
          <w:color w:val="auto"/>
        </w:rPr>
        <w:t>Continued health benefits for remainder of the term or until covered by another plan.</w:t>
      </w:r>
    </w:p>
    <w:p>
      <w:pPr>
        <w:spacing w:after="0" w:line="51" w:lineRule="exact"/>
        <w:rPr>
          <w:sz w:val="20"/>
          <w:szCs w:val="20"/>
          <w:color w:val="auto"/>
        </w:rPr>
      </w:pPr>
    </w:p>
    <w:p>
      <w:pPr>
        <w:ind w:left="800" w:hanging="684"/>
        <w:spacing w:after="0"/>
        <w:tabs>
          <w:tab w:leader="none" w:pos="800" w:val="left"/>
        </w:tabs>
        <w:numPr>
          <w:ilvl w:val="0"/>
          <w:numId w:val="87"/>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E42"/>
        </w:rPr>
        <w:t>ELLEN F. WHITTEMORE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12344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234440"/>
                    </a:xfrm>
                    <a:prstGeom prst="rect">
                      <a:avLst/>
                    </a:prstGeom>
                    <a:noFill/>
                  </pic:spPr>
                </pic:pic>
              </a:graphicData>
            </a:graphic>
          </wp:anchor>
        </w:drawing>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3840" w:type="dxa"/>
            <w:vAlign w:val="bottom"/>
            <w:shd w:val="clear" w:color="auto" w:fill="F4F4E5"/>
          </w:tcPr>
          <w:p>
            <w:pPr>
              <w:spacing w:after="0"/>
              <w:rPr>
                <w:sz w:val="22"/>
                <w:szCs w:val="22"/>
                <w:color w:val="auto"/>
              </w:rPr>
            </w:pPr>
          </w:p>
        </w:tc>
        <w:tc>
          <w:tcPr>
            <w:tcW w:w="2200" w:type="dxa"/>
            <w:vAlign w:val="bottom"/>
            <w:gridSpan w:val="2"/>
            <w:vMerge w:val="restart"/>
            <w:shd w:val="clear" w:color="auto" w:fill="F4F4E5"/>
          </w:tcPr>
          <w:p>
            <w:pPr>
              <w:jc w:val="right"/>
              <w:ind w:right="428"/>
              <w:spacing w:after="0"/>
              <w:rPr>
                <w:sz w:val="20"/>
                <w:szCs w:val="20"/>
                <w:color w:val="auto"/>
              </w:rPr>
            </w:pPr>
            <w:r>
              <w:rPr>
                <w:rFonts w:ascii="Arial" w:cs="Arial" w:eastAsia="Arial" w:hAnsi="Arial"/>
                <w:sz w:val="13"/>
                <w:szCs w:val="13"/>
                <w:b w:val="1"/>
                <w:bCs w:val="1"/>
                <w:color w:val="auto"/>
              </w:rPr>
              <w:t>TERMINATION UPON</w:t>
            </w:r>
          </w:p>
        </w:tc>
        <w:tc>
          <w:tcPr>
            <w:tcW w:w="2340" w:type="dxa"/>
            <w:vAlign w:val="bottom"/>
            <w:gridSpan w:val="2"/>
            <w:shd w:val="clear" w:color="auto" w:fill="F4F4E5"/>
          </w:tcPr>
          <w:p>
            <w:pPr>
              <w:jc w:val="center"/>
              <w:spacing w:after="0"/>
              <w:rPr>
                <w:sz w:val="20"/>
                <w:szCs w:val="20"/>
                <w:color w:val="auto"/>
              </w:rPr>
            </w:pPr>
            <w:r>
              <w:rPr>
                <w:rFonts w:ascii="Arial" w:cs="Arial" w:eastAsia="Arial" w:hAnsi="Arial"/>
                <w:sz w:val="13"/>
                <w:szCs w:val="13"/>
                <w:b w:val="1"/>
                <w:bCs w:val="1"/>
                <w:color w:val="auto"/>
                <w:w w:val="97"/>
              </w:rPr>
              <w:t>TERMINATION WITHOUT</w:t>
            </w:r>
          </w:p>
        </w:tc>
        <w:tc>
          <w:tcPr>
            <w:tcW w:w="2640" w:type="dxa"/>
            <w:vAlign w:val="bottom"/>
            <w:gridSpan w:val="2"/>
            <w:vMerge w:val="restart"/>
            <w:shd w:val="clear" w:color="auto" w:fill="F4F4E5"/>
          </w:tcPr>
          <w:p>
            <w:pPr>
              <w:jc w:val="center"/>
              <w:spacing w:after="0"/>
              <w:rPr>
                <w:sz w:val="20"/>
                <w:szCs w:val="20"/>
                <w:color w:val="auto"/>
              </w:rPr>
            </w:pPr>
            <w:r>
              <w:rPr>
                <w:rFonts w:ascii="Arial" w:cs="Arial" w:eastAsia="Arial" w:hAnsi="Arial"/>
                <w:sz w:val="13"/>
                <w:szCs w:val="13"/>
                <w:b w:val="1"/>
                <w:bCs w:val="1"/>
                <w:color w:val="auto"/>
                <w:w w:val="95"/>
              </w:rPr>
              <w:t>TERMINATION BY EMPLOYEE</w:t>
            </w:r>
          </w:p>
        </w:tc>
        <w:tc>
          <w:tcPr>
            <w:tcW w:w="0" w:type="dxa"/>
            <w:vAlign w:val="bottom"/>
          </w:tcPr>
          <w:p>
            <w:pPr>
              <w:spacing w:after="0"/>
              <w:rPr>
                <w:sz w:val="1"/>
                <w:szCs w:val="1"/>
                <w:color w:val="auto"/>
              </w:rPr>
            </w:pPr>
          </w:p>
        </w:tc>
      </w:tr>
      <w:tr>
        <w:trPr>
          <w:trHeight w:val="68"/>
        </w:trPr>
        <w:tc>
          <w:tcPr>
            <w:tcW w:w="3840" w:type="dxa"/>
            <w:vAlign w:val="bottom"/>
            <w:shd w:val="clear" w:color="auto" w:fill="F4F4E5"/>
          </w:tcPr>
          <w:p>
            <w:pPr>
              <w:spacing w:after="0"/>
              <w:rPr>
                <w:sz w:val="5"/>
                <w:szCs w:val="5"/>
                <w:color w:val="auto"/>
              </w:rPr>
            </w:pPr>
          </w:p>
        </w:tc>
        <w:tc>
          <w:tcPr>
            <w:tcW w:w="2200" w:type="dxa"/>
            <w:vAlign w:val="bottom"/>
            <w:gridSpan w:val="2"/>
            <w:vMerge w:val="continue"/>
            <w:shd w:val="clear" w:color="auto" w:fill="F4F4E5"/>
          </w:tcPr>
          <w:p>
            <w:pPr>
              <w:spacing w:after="0"/>
              <w:rPr>
                <w:sz w:val="5"/>
                <w:szCs w:val="5"/>
                <w:color w:val="auto"/>
              </w:rPr>
            </w:pPr>
          </w:p>
        </w:tc>
        <w:tc>
          <w:tcPr>
            <w:tcW w:w="2340" w:type="dxa"/>
            <w:vAlign w:val="bottom"/>
            <w:gridSpan w:val="2"/>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6"/>
              </w:rPr>
              <w:t>CAUSE OR UPON</w:t>
            </w:r>
          </w:p>
        </w:tc>
        <w:tc>
          <w:tcPr>
            <w:tcW w:w="2640" w:type="dxa"/>
            <w:vAlign w:val="bottom"/>
            <w:gridSpan w:val="2"/>
            <w:vMerge w:val="continue"/>
            <w:shd w:val="clear" w:color="auto" w:fill="F4F4E5"/>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840" w:type="dxa"/>
            <w:vAlign w:val="bottom"/>
            <w:shd w:val="clear" w:color="auto" w:fill="F4F4E5"/>
          </w:tcPr>
          <w:p>
            <w:pPr>
              <w:spacing w:after="0"/>
              <w:rPr>
                <w:sz w:val="5"/>
                <w:szCs w:val="5"/>
                <w:color w:val="auto"/>
              </w:rPr>
            </w:pPr>
          </w:p>
        </w:tc>
        <w:tc>
          <w:tcPr>
            <w:tcW w:w="2200" w:type="dxa"/>
            <w:vAlign w:val="bottom"/>
            <w:gridSpan w:val="2"/>
            <w:vMerge w:val="restart"/>
            <w:shd w:val="clear" w:color="auto" w:fill="F4F4E5"/>
          </w:tcPr>
          <w:p>
            <w:pPr>
              <w:jc w:val="right"/>
              <w:ind w:right="368"/>
              <w:spacing w:after="0" w:line="135" w:lineRule="exact"/>
              <w:rPr>
                <w:sz w:val="20"/>
                <w:szCs w:val="20"/>
                <w:color w:val="auto"/>
              </w:rPr>
            </w:pPr>
            <w:r>
              <w:rPr>
                <w:rFonts w:ascii="Arial" w:cs="Arial" w:eastAsia="Arial" w:hAnsi="Arial"/>
                <w:sz w:val="13"/>
                <w:szCs w:val="13"/>
                <w:b w:val="1"/>
                <w:bCs w:val="1"/>
                <w:color w:val="auto"/>
              </w:rPr>
              <w:t>DEATH OR COMPLETE</w:t>
            </w:r>
          </w:p>
        </w:tc>
        <w:tc>
          <w:tcPr>
            <w:tcW w:w="2340" w:type="dxa"/>
            <w:vAlign w:val="bottom"/>
            <w:gridSpan w:val="2"/>
            <w:vMerge w:val="continue"/>
            <w:shd w:val="clear" w:color="auto" w:fill="F4F4E5"/>
          </w:tcPr>
          <w:p>
            <w:pPr>
              <w:spacing w:after="0"/>
              <w:rPr>
                <w:sz w:val="5"/>
                <w:szCs w:val="5"/>
                <w:color w:val="auto"/>
              </w:rPr>
            </w:pPr>
          </w:p>
        </w:tc>
        <w:tc>
          <w:tcPr>
            <w:tcW w:w="2640" w:type="dxa"/>
            <w:vAlign w:val="bottom"/>
            <w:gridSpan w:val="2"/>
            <w:vMerge w:val="restart"/>
            <w:shd w:val="clear" w:color="auto" w:fill="F4F4E5"/>
          </w:tcPr>
          <w:p>
            <w:pPr>
              <w:jc w:val="center"/>
              <w:spacing w:after="0" w:line="135" w:lineRule="exact"/>
              <w:rPr>
                <w:sz w:val="20"/>
                <w:szCs w:val="20"/>
                <w:color w:val="auto"/>
              </w:rPr>
            </w:pPr>
            <w:r>
              <w:rPr>
                <w:rFonts w:ascii="Arial" w:cs="Arial" w:eastAsia="Arial" w:hAnsi="Arial"/>
                <w:sz w:val="13"/>
                <w:szCs w:val="13"/>
                <w:b w:val="1"/>
                <w:bCs w:val="1"/>
                <w:color w:val="auto"/>
                <w:w w:val="97"/>
              </w:rPr>
              <w:t>FOR GOOD REASON AFTER</w:t>
            </w:r>
          </w:p>
        </w:tc>
        <w:tc>
          <w:tcPr>
            <w:tcW w:w="0" w:type="dxa"/>
            <w:vAlign w:val="bottom"/>
          </w:tcPr>
          <w:p>
            <w:pPr>
              <w:spacing w:after="0"/>
              <w:rPr>
                <w:sz w:val="1"/>
                <w:szCs w:val="1"/>
                <w:color w:val="auto"/>
              </w:rPr>
            </w:pPr>
          </w:p>
        </w:tc>
      </w:tr>
      <w:tr>
        <w:trPr>
          <w:trHeight w:val="68"/>
        </w:trPr>
        <w:tc>
          <w:tcPr>
            <w:tcW w:w="3840" w:type="dxa"/>
            <w:vAlign w:val="bottom"/>
            <w:shd w:val="clear" w:color="auto" w:fill="F4F4E5"/>
          </w:tcPr>
          <w:p>
            <w:pPr>
              <w:spacing w:after="0"/>
              <w:rPr>
                <w:sz w:val="5"/>
                <w:szCs w:val="5"/>
                <w:color w:val="auto"/>
              </w:rPr>
            </w:pPr>
          </w:p>
        </w:tc>
        <w:tc>
          <w:tcPr>
            <w:tcW w:w="2200" w:type="dxa"/>
            <w:vAlign w:val="bottom"/>
            <w:gridSpan w:val="2"/>
            <w:vMerge w:val="continue"/>
            <w:shd w:val="clear" w:color="auto" w:fill="F4F4E5"/>
          </w:tcPr>
          <w:p>
            <w:pPr>
              <w:spacing w:after="0"/>
              <w:rPr>
                <w:sz w:val="5"/>
                <w:szCs w:val="5"/>
                <w:color w:val="auto"/>
              </w:rPr>
            </w:pPr>
          </w:p>
        </w:tc>
        <w:tc>
          <w:tcPr>
            <w:tcW w:w="2340" w:type="dxa"/>
            <w:vAlign w:val="bottom"/>
            <w:gridSpan w:val="2"/>
            <w:vMerge w:val="restart"/>
            <w:shd w:val="clear" w:color="auto" w:fill="F4F4E5"/>
          </w:tcPr>
          <w:p>
            <w:pPr>
              <w:ind w:left="800"/>
              <w:spacing w:after="0" w:line="135" w:lineRule="exact"/>
              <w:rPr>
                <w:sz w:val="20"/>
                <w:szCs w:val="20"/>
                <w:color w:val="auto"/>
              </w:rPr>
            </w:pPr>
            <w:r>
              <w:rPr>
                <w:rFonts w:ascii="Arial" w:cs="Arial" w:eastAsia="Arial" w:hAnsi="Arial"/>
                <w:sz w:val="13"/>
                <w:szCs w:val="13"/>
                <w:b w:val="1"/>
                <w:bCs w:val="1"/>
                <w:color w:val="auto"/>
              </w:rPr>
              <w:t>COMPANY’S</w:t>
            </w:r>
          </w:p>
        </w:tc>
        <w:tc>
          <w:tcPr>
            <w:tcW w:w="2640" w:type="dxa"/>
            <w:vAlign w:val="bottom"/>
            <w:gridSpan w:val="2"/>
            <w:vMerge w:val="continue"/>
            <w:shd w:val="clear" w:color="auto" w:fill="F4F4E5"/>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840" w:type="dxa"/>
            <w:vAlign w:val="bottom"/>
            <w:shd w:val="clear" w:color="auto" w:fill="F4F4E5"/>
          </w:tcPr>
          <w:p>
            <w:pPr>
              <w:spacing w:after="0"/>
              <w:rPr>
                <w:sz w:val="5"/>
                <w:szCs w:val="5"/>
                <w:color w:val="auto"/>
              </w:rPr>
            </w:pPr>
          </w:p>
        </w:tc>
        <w:tc>
          <w:tcPr>
            <w:tcW w:w="2200" w:type="dxa"/>
            <w:vAlign w:val="bottom"/>
            <w:gridSpan w:val="2"/>
            <w:vMerge w:val="restart"/>
            <w:shd w:val="clear" w:color="auto" w:fill="F4F4E5"/>
          </w:tcPr>
          <w:p>
            <w:pPr>
              <w:ind w:left="720"/>
              <w:spacing w:after="0"/>
              <w:rPr>
                <w:sz w:val="20"/>
                <w:szCs w:val="20"/>
                <w:color w:val="auto"/>
              </w:rPr>
            </w:pPr>
            <w:r>
              <w:rPr>
                <w:rFonts w:ascii="Arial" w:cs="Arial" w:eastAsia="Arial" w:hAnsi="Arial"/>
                <w:sz w:val="13"/>
                <w:szCs w:val="13"/>
                <w:b w:val="1"/>
                <w:bCs w:val="1"/>
                <w:color w:val="auto"/>
              </w:rPr>
              <w:t>DISABILITY</w:t>
            </w:r>
          </w:p>
        </w:tc>
        <w:tc>
          <w:tcPr>
            <w:tcW w:w="2340" w:type="dxa"/>
            <w:vAlign w:val="bottom"/>
            <w:gridSpan w:val="2"/>
            <w:vMerge w:val="continue"/>
            <w:shd w:val="clear" w:color="auto" w:fill="F4F4E5"/>
          </w:tcPr>
          <w:p>
            <w:pPr>
              <w:spacing w:after="0"/>
              <w:rPr>
                <w:sz w:val="5"/>
                <w:szCs w:val="5"/>
                <w:color w:val="auto"/>
              </w:rPr>
            </w:pPr>
          </w:p>
        </w:tc>
        <w:tc>
          <w:tcPr>
            <w:tcW w:w="2640" w:type="dxa"/>
            <w:vAlign w:val="bottom"/>
            <w:gridSpan w:val="2"/>
            <w:vMerge w:val="restart"/>
            <w:shd w:val="clear" w:color="auto" w:fill="F4F4E5"/>
          </w:tcPr>
          <w:p>
            <w:pPr>
              <w:jc w:val="center"/>
              <w:spacing w:after="0"/>
              <w:rPr>
                <w:sz w:val="20"/>
                <w:szCs w:val="20"/>
                <w:color w:val="auto"/>
              </w:rPr>
            </w:pPr>
            <w:r>
              <w:rPr>
                <w:rFonts w:ascii="Arial" w:cs="Arial" w:eastAsia="Arial" w:hAnsi="Arial"/>
                <w:sz w:val="13"/>
                <w:szCs w:val="13"/>
                <w:b w:val="1"/>
                <w:bCs w:val="1"/>
                <w:color w:val="auto"/>
                <w:w w:val="96"/>
              </w:rPr>
              <w:t>CHANGE IN CONTROL</w:t>
            </w:r>
          </w:p>
        </w:tc>
        <w:tc>
          <w:tcPr>
            <w:tcW w:w="0" w:type="dxa"/>
            <w:vAlign w:val="bottom"/>
          </w:tcPr>
          <w:p>
            <w:pPr>
              <w:spacing w:after="0"/>
              <w:rPr>
                <w:sz w:val="1"/>
                <w:szCs w:val="1"/>
                <w:color w:val="auto"/>
              </w:rPr>
            </w:pPr>
          </w:p>
        </w:tc>
      </w:tr>
      <w:tr>
        <w:trPr>
          <w:trHeight w:val="100"/>
        </w:trPr>
        <w:tc>
          <w:tcPr>
            <w:tcW w:w="3840" w:type="dxa"/>
            <w:vAlign w:val="bottom"/>
            <w:shd w:val="clear" w:color="auto" w:fill="F4F4E5"/>
          </w:tcPr>
          <w:p>
            <w:pPr>
              <w:spacing w:after="0"/>
              <w:rPr>
                <w:sz w:val="8"/>
                <w:szCs w:val="8"/>
                <w:color w:val="auto"/>
              </w:rPr>
            </w:pPr>
          </w:p>
        </w:tc>
        <w:tc>
          <w:tcPr>
            <w:tcW w:w="2200" w:type="dxa"/>
            <w:vAlign w:val="bottom"/>
            <w:gridSpan w:val="2"/>
            <w:vMerge w:val="continue"/>
            <w:shd w:val="clear" w:color="auto" w:fill="F4F4E5"/>
          </w:tcPr>
          <w:p>
            <w:pPr>
              <w:spacing w:after="0"/>
              <w:rPr>
                <w:sz w:val="8"/>
                <w:szCs w:val="8"/>
                <w:color w:val="auto"/>
              </w:rPr>
            </w:pPr>
          </w:p>
        </w:tc>
        <w:tc>
          <w:tcPr>
            <w:tcW w:w="2340" w:type="dxa"/>
            <w:vAlign w:val="bottom"/>
            <w:gridSpan w:val="2"/>
            <w:vMerge w:val="restart"/>
            <w:shd w:val="clear" w:color="auto" w:fill="F4F4E5"/>
          </w:tcPr>
          <w:p>
            <w:pPr>
              <w:jc w:val="center"/>
              <w:spacing w:after="0"/>
              <w:rPr>
                <w:sz w:val="20"/>
                <w:szCs w:val="20"/>
                <w:color w:val="auto"/>
              </w:rPr>
            </w:pPr>
            <w:r>
              <w:rPr>
                <w:rFonts w:ascii="Arial" w:cs="Arial" w:eastAsia="Arial" w:hAnsi="Arial"/>
                <w:sz w:val="13"/>
                <w:szCs w:val="13"/>
                <w:b w:val="1"/>
                <w:bCs w:val="1"/>
                <w:color w:val="auto"/>
                <w:w w:val="96"/>
              </w:rPr>
              <w:t>MATERIAL BREACH</w:t>
            </w:r>
          </w:p>
        </w:tc>
        <w:tc>
          <w:tcPr>
            <w:tcW w:w="2640" w:type="dxa"/>
            <w:vAlign w:val="bottom"/>
            <w:gridSpan w:val="2"/>
            <w:vMerge w:val="continue"/>
            <w:shd w:val="clear" w:color="auto" w:fill="F4F4E5"/>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3840" w:type="dxa"/>
            <w:vAlign w:val="bottom"/>
            <w:tcBorders>
              <w:bottom w:val="single" w:sz="8" w:color="F4F4E5"/>
            </w:tcBorders>
            <w:shd w:val="clear" w:color="auto" w:fill="F4F4E5"/>
          </w:tcPr>
          <w:p>
            <w:pPr>
              <w:spacing w:after="0"/>
              <w:rPr>
                <w:sz w:val="6"/>
                <w:szCs w:val="6"/>
                <w:color w:val="auto"/>
              </w:rPr>
            </w:pPr>
          </w:p>
        </w:tc>
        <w:tc>
          <w:tcPr>
            <w:tcW w:w="880" w:type="dxa"/>
            <w:vAlign w:val="bottom"/>
            <w:tcBorders>
              <w:bottom w:val="single" w:sz="8" w:color="F4F4E5"/>
            </w:tcBorders>
            <w:shd w:val="clear" w:color="auto" w:fill="F4F4E5"/>
          </w:tcPr>
          <w:p>
            <w:pPr>
              <w:spacing w:after="0"/>
              <w:rPr>
                <w:sz w:val="6"/>
                <w:szCs w:val="6"/>
                <w:color w:val="auto"/>
              </w:rPr>
            </w:pPr>
          </w:p>
        </w:tc>
        <w:tc>
          <w:tcPr>
            <w:tcW w:w="1320" w:type="dxa"/>
            <w:vAlign w:val="bottom"/>
            <w:tcBorders>
              <w:bottom w:val="single" w:sz="8" w:color="F4F4E5"/>
            </w:tcBorders>
            <w:shd w:val="clear" w:color="auto" w:fill="F4F4E5"/>
          </w:tcPr>
          <w:p>
            <w:pPr>
              <w:spacing w:after="0"/>
              <w:rPr>
                <w:sz w:val="6"/>
                <w:szCs w:val="6"/>
                <w:color w:val="auto"/>
              </w:rPr>
            </w:pPr>
          </w:p>
        </w:tc>
        <w:tc>
          <w:tcPr>
            <w:tcW w:w="2340" w:type="dxa"/>
            <w:vAlign w:val="bottom"/>
            <w:tcBorders>
              <w:bottom w:val="single" w:sz="8" w:color="F4F4E5"/>
            </w:tcBorders>
            <w:gridSpan w:val="2"/>
            <w:vMerge w:val="continue"/>
            <w:shd w:val="clear" w:color="auto" w:fill="F4F4E5"/>
          </w:tcPr>
          <w:p>
            <w:pPr>
              <w:spacing w:after="0"/>
              <w:rPr>
                <w:sz w:val="6"/>
                <w:szCs w:val="6"/>
                <w:color w:val="auto"/>
              </w:rPr>
            </w:pPr>
          </w:p>
        </w:tc>
        <w:tc>
          <w:tcPr>
            <w:tcW w:w="1140" w:type="dxa"/>
            <w:vAlign w:val="bottom"/>
            <w:tcBorders>
              <w:bottom w:val="single" w:sz="8" w:color="F4F4E5"/>
            </w:tcBorders>
            <w:shd w:val="clear" w:color="auto" w:fill="F4F4E5"/>
          </w:tcPr>
          <w:p>
            <w:pPr>
              <w:spacing w:after="0"/>
              <w:rPr>
                <w:sz w:val="6"/>
                <w:szCs w:val="6"/>
                <w:color w:val="auto"/>
              </w:rPr>
            </w:pPr>
          </w:p>
        </w:tc>
        <w:tc>
          <w:tcPr>
            <w:tcW w:w="1500" w:type="dxa"/>
            <w:vAlign w:val="bottom"/>
            <w:tcBorders>
              <w:bottom w:val="single" w:sz="8" w:color="F4F4E5"/>
            </w:tcBorders>
            <w:shd w:val="clear" w:color="auto" w:fill="F4F4E5"/>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3840" w:type="dxa"/>
            <w:vAlign w:val="bottom"/>
            <w:shd w:val="clear" w:color="auto" w:fill="EAEFF2"/>
          </w:tcPr>
          <w:p>
            <w:pPr>
              <w:ind w:left="60"/>
              <w:spacing w:after="0"/>
              <w:rPr>
                <w:sz w:val="20"/>
                <w:szCs w:val="20"/>
                <w:color w:val="auto"/>
              </w:rPr>
            </w:pPr>
            <w:r>
              <w:rPr>
                <w:rFonts w:ascii="Arial" w:cs="Arial" w:eastAsia="Arial" w:hAnsi="Arial"/>
                <w:sz w:val="14"/>
                <w:szCs w:val="14"/>
                <w:color w:val="auto"/>
              </w:rPr>
              <w:t>Base Salary</w:t>
            </w:r>
          </w:p>
        </w:tc>
        <w:tc>
          <w:tcPr>
            <w:tcW w:w="2200" w:type="dxa"/>
            <w:vAlign w:val="bottom"/>
            <w:gridSpan w:val="2"/>
            <w:shd w:val="clear" w:color="auto" w:fill="EAEFF2"/>
          </w:tcPr>
          <w:p>
            <w:pPr>
              <w:jc w:val="right"/>
              <w:ind w:right="348"/>
              <w:spacing w:after="0"/>
              <w:rPr>
                <w:sz w:val="20"/>
                <w:szCs w:val="20"/>
                <w:color w:val="auto"/>
              </w:rPr>
            </w:pPr>
            <w:r>
              <w:rPr>
                <w:rFonts w:ascii="Arial" w:cs="Arial" w:eastAsia="Arial" w:hAnsi="Arial"/>
                <w:sz w:val="14"/>
                <w:szCs w:val="14"/>
                <w:color w:val="auto"/>
              </w:rPr>
              <w:t>Amounts earned and</w:t>
            </w:r>
          </w:p>
        </w:tc>
        <w:tc>
          <w:tcPr>
            <w:tcW w:w="920" w:type="dxa"/>
            <w:vAlign w:val="bottom"/>
            <w:shd w:val="clear" w:color="auto" w:fill="EAEFF2"/>
          </w:tcPr>
          <w:p>
            <w:pPr>
              <w:spacing w:after="0"/>
              <w:rPr>
                <w:sz w:val="15"/>
                <w:szCs w:val="15"/>
                <w:color w:val="auto"/>
              </w:rPr>
            </w:pPr>
          </w:p>
        </w:tc>
        <w:tc>
          <w:tcPr>
            <w:tcW w:w="1420" w:type="dxa"/>
            <w:vAlign w:val="bottom"/>
            <w:shd w:val="clear" w:color="auto" w:fill="EAEFF2"/>
          </w:tcPr>
          <w:p>
            <w:pPr>
              <w:spacing w:after="0"/>
              <w:rPr>
                <w:sz w:val="15"/>
                <w:szCs w:val="15"/>
                <w:color w:val="auto"/>
              </w:rPr>
            </w:pPr>
          </w:p>
        </w:tc>
        <w:tc>
          <w:tcPr>
            <w:tcW w:w="1140" w:type="dxa"/>
            <w:vAlign w:val="bottom"/>
            <w:shd w:val="clear" w:color="auto" w:fill="EAEFF2"/>
          </w:tcPr>
          <w:p>
            <w:pPr>
              <w:spacing w:after="0"/>
              <w:rPr>
                <w:sz w:val="15"/>
                <w:szCs w:val="15"/>
                <w:color w:val="auto"/>
              </w:rPr>
            </w:pPr>
          </w:p>
        </w:tc>
        <w:tc>
          <w:tcPr>
            <w:tcW w:w="1500" w:type="dxa"/>
            <w:vAlign w:val="bottom"/>
            <w:shd w:val="clear" w:color="auto" w:fill="EAEF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40" w:type="dxa"/>
            <w:vAlign w:val="bottom"/>
            <w:shd w:val="clear" w:color="auto" w:fill="EAEFF2"/>
          </w:tcPr>
          <w:p>
            <w:pPr>
              <w:spacing w:after="0"/>
              <w:rPr>
                <w:sz w:val="14"/>
                <w:szCs w:val="14"/>
                <w:color w:val="auto"/>
              </w:rPr>
            </w:pPr>
          </w:p>
        </w:tc>
        <w:tc>
          <w:tcPr>
            <w:tcW w:w="2200" w:type="dxa"/>
            <w:vAlign w:val="bottom"/>
            <w:gridSpan w:val="2"/>
            <w:shd w:val="clear" w:color="auto" w:fill="EAEFF2"/>
          </w:tcPr>
          <w:p>
            <w:pPr>
              <w:jc w:val="right"/>
              <w:ind w:right="348"/>
              <w:spacing w:after="0"/>
              <w:rPr>
                <w:sz w:val="20"/>
                <w:szCs w:val="20"/>
                <w:color w:val="auto"/>
              </w:rPr>
            </w:pPr>
            <w:r>
              <w:rPr>
                <w:rFonts w:ascii="Arial" w:cs="Arial" w:eastAsia="Arial" w:hAnsi="Arial"/>
                <w:sz w:val="14"/>
                <w:szCs w:val="14"/>
                <w:color w:val="auto"/>
              </w:rPr>
              <w:t>unpaid through the</w:t>
            </w:r>
          </w:p>
        </w:tc>
        <w:tc>
          <w:tcPr>
            <w:tcW w:w="920" w:type="dxa"/>
            <w:vAlign w:val="bottom"/>
            <w:shd w:val="clear" w:color="auto" w:fill="EAEFF2"/>
          </w:tcPr>
          <w:p>
            <w:pPr>
              <w:spacing w:after="0"/>
              <w:rPr>
                <w:sz w:val="14"/>
                <w:szCs w:val="14"/>
                <w:color w:val="auto"/>
              </w:rPr>
            </w:pPr>
          </w:p>
        </w:tc>
        <w:tc>
          <w:tcPr>
            <w:tcW w:w="1420" w:type="dxa"/>
            <w:vAlign w:val="bottom"/>
            <w:shd w:val="clear" w:color="auto" w:fill="EAEFF2"/>
          </w:tcPr>
          <w:p>
            <w:pPr>
              <w:spacing w:after="0"/>
              <w:rPr>
                <w:sz w:val="14"/>
                <w:szCs w:val="14"/>
                <w:color w:val="auto"/>
              </w:rPr>
            </w:pPr>
          </w:p>
        </w:tc>
        <w:tc>
          <w:tcPr>
            <w:tcW w:w="1140" w:type="dxa"/>
            <w:vAlign w:val="bottom"/>
            <w:shd w:val="clear" w:color="auto" w:fill="EAEFF2"/>
          </w:tcPr>
          <w:p>
            <w:pPr>
              <w:spacing w:after="0"/>
              <w:rPr>
                <w:sz w:val="14"/>
                <w:szCs w:val="14"/>
                <w:color w:val="auto"/>
              </w:rPr>
            </w:pPr>
          </w:p>
        </w:tc>
        <w:tc>
          <w:tcPr>
            <w:tcW w:w="1500" w:type="dxa"/>
            <w:vAlign w:val="bottom"/>
            <w:shd w:val="clear" w:color="auto" w:fill="EAEFF2"/>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40" w:type="dxa"/>
            <w:vAlign w:val="bottom"/>
            <w:shd w:val="clear" w:color="auto" w:fill="EAEFF2"/>
          </w:tcPr>
          <w:p>
            <w:pPr>
              <w:spacing w:after="0"/>
              <w:rPr>
                <w:sz w:val="13"/>
                <w:szCs w:val="13"/>
                <w:color w:val="auto"/>
              </w:rPr>
            </w:pPr>
          </w:p>
        </w:tc>
        <w:tc>
          <w:tcPr>
            <w:tcW w:w="2200" w:type="dxa"/>
            <w:vAlign w:val="bottom"/>
            <w:gridSpan w:val="2"/>
            <w:shd w:val="clear" w:color="auto" w:fill="EAEFF2"/>
          </w:tcPr>
          <w:p>
            <w:pPr>
              <w:jc w:val="right"/>
              <w:ind w:right="348"/>
              <w:spacing w:after="0" w:line="157" w:lineRule="exact"/>
              <w:rPr>
                <w:sz w:val="20"/>
                <w:szCs w:val="20"/>
                <w:color w:val="auto"/>
              </w:rPr>
            </w:pPr>
            <w:r>
              <w:rPr>
                <w:rFonts w:ascii="Arial" w:cs="Arial" w:eastAsia="Arial" w:hAnsi="Arial"/>
                <w:sz w:val="14"/>
                <w:szCs w:val="14"/>
                <w:color w:val="auto"/>
              </w:rPr>
              <w:t>date of termination</w:t>
            </w:r>
          </w:p>
        </w:tc>
        <w:tc>
          <w:tcPr>
            <w:tcW w:w="2340" w:type="dxa"/>
            <w:vAlign w:val="bottom"/>
            <w:gridSpan w:val="2"/>
            <w:shd w:val="clear" w:color="auto" w:fill="EAEFF2"/>
          </w:tcPr>
          <w:p>
            <w:pPr>
              <w:jc w:val="right"/>
              <w:ind w:right="768"/>
              <w:spacing w:after="0" w:line="157" w:lineRule="exact"/>
              <w:rPr>
                <w:sz w:val="20"/>
                <w:szCs w:val="20"/>
                <w:color w:val="auto"/>
              </w:rPr>
            </w:pPr>
            <w:r>
              <w:rPr>
                <w:rFonts w:ascii="Arial" w:cs="Arial" w:eastAsia="Arial" w:hAnsi="Arial"/>
                <w:sz w:val="14"/>
                <w:szCs w:val="14"/>
                <w:color w:val="auto"/>
              </w:rPr>
              <w:t>$1,050,000</w:t>
            </w:r>
          </w:p>
        </w:tc>
        <w:tc>
          <w:tcPr>
            <w:tcW w:w="2640" w:type="dxa"/>
            <w:vAlign w:val="bottom"/>
            <w:gridSpan w:val="2"/>
            <w:shd w:val="clear" w:color="auto" w:fill="EAEFF2"/>
          </w:tcPr>
          <w:p>
            <w:pPr>
              <w:jc w:val="right"/>
              <w:ind w:right="888"/>
              <w:spacing w:after="0" w:line="157" w:lineRule="exact"/>
              <w:rPr>
                <w:sz w:val="20"/>
                <w:szCs w:val="20"/>
                <w:color w:val="auto"/>
              </w:rPr>
            </w:pPr>
            <w:r>
              <w:rPr>
                <w:rFonts w:ascii="Arial" w:cs="Arial" w:eastAsia="Arial" w:hAnsi="Arial"/>
                <w:sz w:val="14"/>
                <w:szCs w:val="14"/>
                <w:color w:val="auto"/>
              </w:rPr>
              <w:t>$1,050,000</w:t>
            </w:r>
          </w:p>
        </w:tc>
        <w:tc>
          <w:tcPr>
            <w:tcW w:w="0" w:type="dxa"/>
            <w:vAlign w:val="bottom"/>
          </w:tcPr>
          <w:p>
            <w:pPr>
              <w:spacing w:after="0"/>
              <w:rPr>
                <w:sz w:val="1"/>
                <w:szCs w:val="1"/>
                <w:color w:val="auto"/>
              </w:rPr>
            </w:pPr>
          </w:p>
        </w:tc>
      </w:tr>
      <w:tr>
        <w:trPr>
          <w:trHeight w:val="176"/>
        </w:trPr>
        <w:tc>
          <w:tcPr>
            <w:tcW w:w="3840" w:type="dxa"/>
            <w:vAlign w:val="bottom"/>
            <w:shd w:val="clear" w:color="auto" w:fill="F4F4E5"/>
          </w:tcPr>
          <w:p>
            <w:pPr>
              <w:ind w:left="60"/>
              <w:spacing w:after="0"/>
              <w:rPr>
                <w:sz w:val="20"/>
                <w:szCs w:val="20"/>
                <w:color w:val="auto"/>
              </w:rPr>
            </w:pPr>
            <w:r>
              <w:rPr>
                <w:rFonts w:ascii="Arial" w:cs="Arial" w:eastAsia="Arial" w:hAnsi="Arial"/>
                <w:sz w:val="14"/>
                <w:szCs w:val="14"/>
                <w:color w:val="auto"/>
              </w:rPr>
              <w:t>Bonus</w:t>
            </w:r>
          </w:p>
        </w:tc>
        <w:tc>
          <w:tcPr>
            <w:tcW w:w="880" w:type="dxa"/>
            <w:vAlign w:val="bottom"/>
            <w:shd w:val="clear" w:color="auto" w:fill="F4F4E5"/>
          </w:tcPr>
          <w:p>
            <w:pPr>
              <w:ind w:left="7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F4F4E5"/>
          </w:tcPr>
          <w:p>
            <w:pPr>
              <w:jc w:val="right"/>
              <w:ind w:right="668"/>
              <w:spacing w:after="0"/>
              <w:rPr>
                <w:sz w:val="20"/>
                <w:szCs w:val="20"/>
                <w:color w:val="auto"/>
              </w:rPr>
            </w:pPr>
            <w:r>
              <w:rPr>
                <w:rFonts w:ascii="Arial" w:cs="Arial" w:eastAsia="Arial" w:hAnsi="Arial"/>
                <w:sz w:val="14"/>
                <w:szCs w:val="14"/>
                <w:color w:val="auto"/>
              </w:rPr>
              <w:t>-</w:t>
            </w:r>
          </w:p>
        </w:tc>
        <w:tc>
          <w:tcPr>
            <w:tcW w:w="2340" w:type="dxa"/>
            <w:vAlign w:val="bottom"/>
            <w:gridSpan w:val="2"/>
            <w:shd w:val="clear" w:color="auto" w:fill="F4F4E5"/>
          </w:tcPr>
          <w:p>
            <w:pPr>
              <w:jc w:val="right"/>
              <w:ind w:right="768"/>
              <w:spacing w:after="0"/>
              <w:rPr>
                <w:sz w:val="20"/>
                <w:szCs w:val="20"/>
                <w:color w:val="auto"/>
              </w:rPr>
            </w:pPr>
            <w:r>
              <w:rPr>
                <w:rFonts w:ascii="Arial" w:cs="Arial" w:eastAsia="Arial" w:hAnsi="Arial"/>
                <w:sz w:val="14"/>
                <w:szCs w:val="14"/>
                <w:color w:val="auto"/>
              </w:rPr>
              <w:t>$1,232,000</w:t>
            </w:r>
          </w:p>
        </w:tc>
        <w:tc>
          <w:tcPr>
            <w:tcW w:w="2640" w:type="dxa"/>
            <w:vAlign w:val="bottom"/>
            <w:gridSpan w:val="2"/>
            <w:shd w:val="clear" w:color="auto" w:fill="F4F4E5"/>
          </w:tcPr>
          <w:p>
            <w:pPr>
              <w:jc w:val="right"/>
              <w:ind w:right="888"/>
              <w:spacing w:after="0"/>
              <w:rPr>
                <w:sz w:val="20"/>
                <w:szCs w:val="20"/>
                <w:color w:val="auto"/>
              </w:rPr>
            </w:pPr>
            <w:r>
              <w:rPr>
                <w:rFonts w:ascii="Arial" w:cs="Arial" w:eastAsia="Arial" w:hAnsi="Arial"/>
                <w:sz w:val="14"/>
                <w:szCs w:val="14"/>
                <w:color w:val="auto"/>
              </w:rPr>
              <w:t>$1,232,000</w:t>
            </w:r>
          </w:p>
        </w:tc>
        <w:tc>
          <w:tcPr>
            <w:tcW w:w="0" w:type="dxa"/>
            <w:vAlign w:val="bottom"/>
          </w:tcPr>
          <w:p>
            <w:pPr>
              <w:spacing w:after="0"/>
              <w:rPr>
                <w:sz w:val="1"/>
                <w:szCs w:val="1"/>
                <w:color w:val="auto"/>
              </w:rPr>
            </w:pPr>
          </w:p>
        </w:tc>
      </w:tr>
      <w:tr>
        <w:trPr>
          <w:trHeight w:val="176"/>
        </w:trPr>
        <w:tc>
          <w:tcPr>
            <w:tcW w:w="3840" w:type="dxa"/>
            <w:vAlign w:val="bottom"/>
            <w:shd w:val="clear" w:color="auto" w:fill="EAEFF2"/>
          </w:tcPr>
          <w:p>
            <w:pPr>
              <w:ind w:left="60"/>
              <w:spacing w:after="0" w:line="176" w:lineRule="exact"/>
              <w:rPr>
                <w:sz w:val="20"/>
                <w:szCs w:val="20"/>
                <w:color w:val="auto"/>
              </w:rPr>
            </w:pPr>
            <w:r>
              <w:rPr>
                <w:rFonts w:ascii="Arial" w:cs="Arial" w:eastAsia="Arial" w:hAnsi="Arial"/>
                <w:sz w:val="12"/>
                <w:szCs w:val="12"/>
                <w:color w:val="auto"/>
              </w:rPr>
              <w:t>Restricted Stock</w:t>
            </w:r>
            <w:r>
              <w:rPr>
                <w:rFonts w:ascii="Arial" w:cs="Arial" w:eastAsia="Arial" w:hAnsi="Arial"/>
                <w:sz w:val="20"/>
                <w:szCs w:val="20"/>
                <w:color w:val="auto"/>
                <w:vertAlign w:val="superscript"/>
              </w:rPr>
              <w:t>(1)(2)</w:t>
            </w:r>
          </w:p>
        </w:tc>
        <w:tc>
          <w:tcPr>
            <w:tcW w:w="2200" w:type="dxa"/>
            <w:vAlign w:val="bottom"/>
            <w:gridSpan w:val="2"/>
            <w:shd w:val="clear" w:color="auto" w:fill="EAEFF2"/>
          </w:tcPr>
          <w:p>
            <w:pPr>
              <w:jc w:val="right"/>
              <w:ind w:right="668"/>
              <w:spacing w:after="0"/>
              <w:rPr>
                <w:sz w:val="20"/>
                <w:szCs w:val="20"/>
                <w:color w:val="auto"/>
              </w:rPr>
            </w:pPr>
            <w:r>
              <w:rPr>
                <w:rFonts w:ascii="Arial" w:cs="Arial" w:eastAsia="Arial" w:hAnsi="Arial"/>
                <w:sz w:val="14"/>
                <w:szCs w:val="14"/>
                <w:color w:val="auto"/>
              </w:rPr>
              <w:t>$2,707,550</w:t>
            </w:r>
          </w:p>
        </w:tc>
        <w:tc>
          <w:tcPr>
            <w:tcW w:w="920" w:type="dxa"/>
            <w:vAlign w:val="bottom"/>
            <w:shd w:val="clear" w:color="auto" w:fill="EAEFF2"/>
          </w:tcPr>
          <w:p>
            <w:pPr>
              <w:ind w:left="78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AEFF2"/>
          </w:tcPr>
          <w:p>
            <w:pPr>
              <w:jc w:val="right"/>
              <w:ind w:right="768"/>
              <w:spacing w:after="0"/>
              <w:rPr>
                <w:sz w:val="20"/>
                <w:szCs w:val="20"/>
                <w:color w:val="auto"/>
              </w:rPr>
            </w:pPr>
            <w:r>
              <w:rPr>
                <w:rFonts w:ascii="Arial" w:cs="Arial" w:eastAsia="Arial" w:hAnsi="Arial"/>
                <w:sz w:val="14"/>
                <w:szCs w:val="14"/>
                <w:color w:val="auto"/>
              </w:rPr>
              <w:t>994,095</w:t>
            </w:r>
          </w:p>
        </w:tc>
        <w:tc>
          <w:tcPr>
            <w:tcW w:w="2640" w:type="dxa"/>
            <w:vAlign w:val="bottom"/>
            <w:gridSpan w:val="2"/>
            <w:shd w:val="clear" w:color="auto" w:fill="EAEFF2"/>
          </w:tcPr>
          <w:p>
            <w:pPr>
              <w:jc w:val="right"/>
              <w:ind w:right="888"/>
              <w:spacing w:after="0"/>
              <w:rPr>
                <w:sz w:val="20"/>
                <w:szCs w:val="20"/>
                <w:color w:val="auto"/>
              </w:rPr>
            </w:pPr>
            <w:r>
              <w:rPr>
                <w:rFonts w:ascii="Arial" w:cs="Arial" w:eastAsia="Arial" w:hAnsi="Arial"/>
                <w:sz w:val="14"/>
                <w:szCs w:val="14"/>
                <w:color w:val="auto"/>
              </w:rPr>
              <w:t>$2,707,550</w:t>
            </w:r>
          </w:p>
        </w:tc>
        <w:tc>
          <w:tcPr>
            <w:tcW w:w="0" w:type="dxa"/>
            <w:vAlign w:val="bottom"/>
          </w:tcPr>
          <w:p>
            <w:pPr>
              <w:spacing w:after="0"/>
              <w:rPr>
                <w:sz w:val="1"/>
                <w:szCs w:val="1"/>
                <w:color w:val="auto"/>
              </w:rPr>
            </w:pPr>
          </w:p>
        </w:tc>
      </w:tr>
      <w:tr>
        <w:trPr>
          <w:trHeight w:val="175"/>
        </w:trPr>
        <w:tc>
          <w:tcPr>
            <w:tcW w:w="3840" w:type="dxa"/>
            <w:vAlign w:val="bottom"/>
            <w:shd w:val="clear" w:color="auto" w:fill="F4F4E5"/>
          </w:tcPr>
          <w:p>
            <w:pPr>
              <w:ind w:left="60"/>
              <w:spacing w:after="0"/>
              <w:rPr>
                <w:sz w:val="20"/>
                <w:szCs w:val="20"/>
                <w:color w:val="auto"/>
              </w:rPr>
            </w:pPr>
            <w:r>
              <w:rPr>
                <w:rFonts w:ascii="Arial" w:cs="Arial" w:eastAsia="Arial" w:hAnsi="Arial"/>
                <w:sz w:val="14"/>
                <w:szCs w:val="14"/>
                <w:color w:val="auto"/>
              </w:rPr>
              <w:t>Company Paid Life Insurance</w:t>
            </w:r>
          </w:p>
        </w:tc>
        <w:tc>
          <w:tcPr>
            <w:tcW w:w="880" w:type="dxa"/>
            <w:vAlign w:val="bottom"/>
            <w:shd w:val="clear" w:color="auto" w:fill="F4F4E5"/>
          </w:tcPr>
          <w:p>
            <w:pPr>
              <w:ind w:left="7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F4F4E5"/>
          </w:tcPr>
          <w:p>
            <w:pPr>
              <w:jc w:val="right"/>
              <w:ind w:right="668"/>
              <w:spacing w:after="0"/>
              <w:rPr>
                <w:sz w:val="20"/>
                <w:szCs w:val="20"/>
                <w:color w:val="auto"/>
              </w:rPr>
            </w:pPr>
            <w:r>
              <w:rPr>
                <w:rFonts w:ascii="Arial" w:cs="Arial" w:eastAsia="Arial" w:hAnsi="Arial"/>
                <w:sz w:val="14"/>
                <w:szCs w:val="14"/>
                <w:color w:val="auto"/>
              </w:rPr>
              <w:t>700,000</w:t>
            </w:r>
          </w:p>
        </w:tc>
        <w:tc>
          <w:tcPr>
            <w:tcW w:w="920" w:type="dxa"/>
            <w:vAlign w:val="bottom"/>
            <w:shd w:val="clear" w:color="auto" w:fill="F4F4E5"/>
          </w:tcPr>
          <w:p>
            <w:pPr>
              <w:ind w:left="780"/>
              <w:spacing w:after="0"/>
              <w:rPr>
                <w:sz w:val="20"/>
                <w:szCs w:val="20"/>
                <w:color w:val="auto"/>
              </w:rPr>
            </w:pPr>
            <w:r>
              <w:rPr>
                <w:rFonts w:ascii="Arial" w:cs="Arial" w:eastAsia="Arial" w:hAnsi="Arial"/>
                <w:sz w:val="14"/>
                <w:szCs w:val="14"/>
                <w:color w:val="auto"/>
              </w:rPr>
              <w:t>$</w:t>
            </w:r>
          </w:p>
        </w:tc>
        <w:tc>
          <w:tcPr>
            <w:tcW w:w="1420" w:type="dxa"/>
            <w:vAlign w:val="bottom"/>
            <w:shd w:val="clear" w:color="auto" w:fill="F4F4E5"/>
          </w:tcPr>
          <w:p>
            <w:pPr>
              <w:jc w:val="right"/>
              <w:ind w:right="768"/>
              <w:spacing w:after="0"/>
              <w:rPr>
                <w:sz w:val="20"/>
                <w:szCs w:val="20"/>
                <w:color w:val="auto"/>
              </w:rPr>
            </w:pPr>
            <w:r>
              <w:rPr>
                <w:rFonts w:ascii="Arial" w:cs="Arial" w:eastAsia="Arial" w:hAnsi="Arial"/>
                <w:sz w:val="14"/>
                <w:szCs w:val="14"/>
                <w:color w:val="auto"/>
              </w:rPr>
              <w:t>-</w:t>
            </w:r>
          </w:p>
        </w:tc>
        <w:tc>
          <w:tcPr>
            <w:tcW w:w="1140" w:type="dxa"/>
            <w:vAlign w:val="bottom"/>
            <w:shd w:val="clear" w:color="auto" w:fill="F4F4E5"/>
          </w:tcPr>
          <w:p>
            <w:pPr>
              <w:jc w:val="right"/>
              <w:ind w:right="51"/>
              <w:spacing w:after="0"/>
              <w:rPr>
                <w:sz w:val="20"/>
                <w:szCs w:val="20"/>
                <w:color w:val="auto"/>
              </w:rPr>
            </w:pPr>
            <w:r>
              <w:rPr>
                <w:rFonts w:ascii="Arial" w:cs="Arial" w:eastAsia="Arial" w:hAnsi="Arial"/>
                <w:sz w:val="14"/>
                <w:szCs w:val="14"/>
                <w:color w:val="auto"/>
              </w:rPr>
              <w:t>$</w:t>
            </w:r>
          </w:p>
        </w:tc>
        <w:tc>
          <w:tcPr>
            <w:tcW w:w="1500" w:type="dxa"/>
            <w:vAlign w:val="bottom"/>
            <w:shd w:val="clear" w:color="auto" w:fill="F4F4E5"/>
          </w:tcPr>
          <w:p>
            <w:pPr>
              <w:jc w:val="right"/>
              <w:ind w:right="8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840" w:type="dxa"/>
            <w:vAlign w:val="bottom"/>
            <w:shd w:val="clear" w:color="auto" w:fill="EAEFF2"/>
          </w:tcPr>
          <w:p>
            <w:pPr>
              <w:ind w:left="60"/>
              <w:spacing w:after="0" w:line="176" w:lineRule="exact"/>
              <w:rPr>
                <w:sz w:val="20"/>
                <w:szCs w:val="20"/>
                <w:color w:val="auto"/>
              </w:rPr>
            </w:pPr>
            <w:r>
              <w:rPr>
                <w:rFonts w:ascii="Arial" w:cs="Arial" w:eastAsia="Arial" w:hAnsi="Arial"/>
                <w:sz w:val="12"/>
                <w:szCs w:val="12"/>
                <w:color w:val="auto"/>
              </w:rPr>
              <w:t>Benefits</w:t>
            </w:r>
            <w:r>
              <w:rPr>
                <w:rFonts w:ascii="Arial" w:cs="Arial" w:eastAsia="Arial" w:hAnsi="Arial"/>
                <w:sz w:val="20"/>
                <w:szCs w:val="20"/>
                <w:color w:val="auto"/>
                <w:vertAlign w:val="superscript"/>
              </w:rPr>
              <w:t>(3)</w:t>
            </w:r>
          </w:p>
        </w:tc>
        <w:tc>
          <w:tcPr>
            <w:tcW w:w="880" w:type="dxa"/>
            <w:vAlign w:val="bottom"/>
            <w:shd w:val="clear" w:color="auto" w:fill="EAEFF2"/>
          </w:tcPr>
          <w:p>
            <w:pPr>
              <w:ind w:left="7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EAEFF2"/>
          </w:tcPr>
          <w:p>
            <w:pPr>
              <w:jc w:val="right"/>
              <w:ind w:right="668"/>
              <w:spacing w:after="0"/>
              <w:rPr>
                <w:sz w:val="20"/>
                <w:szCs w:val="20"/>
                <w:color w:val="auto"/>
              </w:rPr>
            </w:pPr>
            <w:r>
              <w:rPr>
                <w:rFonts w:ascii="Arial" w:cs="Arial" w:eastAsia="Arial" w:hAnsi="Arial"/>
                <w:sz w:val="14"/>
                <w:szCs w:val="14"/>
                <w:color w:val="auto"/>
              </w:rPr>
              <w:t>-</w:t>
            </w:r>
          </w:p>
        </w:tc>
        <w:tc>
          <w:tcPr>
            <w:tcW w:w="920" w:type="dxa"/>
            <w:vAlign w:val="bottom"/>
            <w:shd w:val="clear" w:color="auto" w:fill="EAEFF2"/>
          </w:tcPr>
          <w:p>
            <w:pPr>
              <w:ind w:left="780"/>
              <w:spacing w:after="0"/>
              <w:rPr>
                <w:sz w:val="20"/>
                <w:szCs w:val="20"/>
                <w:color w:val="auto"/>
              </w:rPr>
            </w:pPr>
            <w:r>
              <w:rPr>
                <w:rFonts w:ascii="Arial" w:cs="Arial" w:eastAsia="Arial" w:hAnsi="Arial"/>
                <w:sz w:val="14"/>
                <w:szCs w:val="14"/>
                <w:color w:val="auto"/>
              </w:rPr>
              <w:t>$</w:t>
            </w:r>
          </w:p>
        </w:tc>
        <w:tc>
          <w:tcPr>
            <w:tcW w:w="1420" w:type="dxa"/>
            <w:vAlign w:val="bottom"/>
            <w:shd w:val="clear" w:color="auto" w:fill="EAEFF2"/>
          </w:tcPr>
          <w:p>
            <w:pPr>
              <w:jc w:val="right"/>
              <w:ind w:right="768"/>
              <w:spacing w:after="0"/>
              <w:rPr>
                <w:sz w:val="20"/>
                <w:szCs w:val="20"/>
                <w:color w:val="auto"/>
              </w:rPr>
            </w:pPr>
            <w:r>
              <w:rPr>
                <w:rFonts w:ascii="Arial" w:cs="Arial" w:eastAsia="Arial" w:hAnsi="Arial"/>
                <w:sz w:val="14"/>
                <w:szCs w:val="14"/>
                <w:color w:val="auto"/>
              </w:rPr>
              <w:t>46,511</w:t>
            </w:r>
          </w:p>
        </w:tc>
        <w:tc>
          <w:tcPr>
            <w:tcW w:w="1140" w:type="dxa"/>
            <w:vAlign w:val="bottom"/>
            <w:shd w:val="clear" w:color="auto" w:fill="EAEFF2"/>
          </w:tcPr>
          <w:p>
            <w:pPr>
              <w:jc w:val="right"/>
              <w:ind w:right="31"/>
              <w:spacing w:after="0"/>
              <w:rPr>
                <w:sz w:val="20"/>
                <w:szCs w:val="20"/>
                <w:color w:val="auto"/>
              </w:rPr>
            </w:pPr>
            <w:r>
              <w:rPr>
                <w:rFonts w:ascii="Arial" w:cs="Arial" w:eastAsia="Arial" w:hAnsi="Arial"/>
                <w:sz w:val="14"/>
                <w:szCs w:val="14"/>
                <w:color w:val="auto"/>
              </w:rPr>
              <w:t>$</w:t>
            </w:r>
          </w:p>
        </w:tc>
        <w:tc>
          <w:tcPr>
            <w:tcW w:w="1500" w:type="dxa"/>
            <w:vAlign w:val="bottom"/>
            <w:shd w:val="clear" w:color="auto" w:fill="EAEFF2"/>
          </w:tcPr>
          <w:p>
            <w:pPr>
              <w:jc w:val="right"/>
              <w:ind w:right="888"/>
              <w:spacing w:after="0"/>
              <w:rPr>
                <w:sz w:val="20"/>
                <w:szCs w:val="20"/>
                <w:color w:val="auto"/>
              </w:rPr>
            </w:pPr>
            <w:r>
              <w:rPr>
                <w:rFonts w:ascii="Arial" w:cs="Arial" w:eastAsia="Arial" w:hAnsi="Arial"/>
                <w:sz w:val="14"/>
                <w:szCs w:val="14"/>
                <w:color w:val="auto"/>
              </w:rPr>
              <w:t>46,511</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120" w:right="420" w:hanging="4"/>
        <w:spacing w:after="0" w:line="230" w:lineRule="auto"/>
        <w:tabs>
          <w:tab w:leader="none" w:pos="286" w:val="left"/>
        </w:tabs>
        <w:numPr>
          <w:ilvl w:val="0"/>
          <w:numId w:val="88"/>
        </w:numPr>
        <w:rPr>
          <w:rFonts w:ascii="Arial" w:cs="Arial" w:eastAsia="Arial" w:hAnsi="Arial"/>
          <w:sz w:val="11"/>
          <w:szCs w:val="11"/>
          <w:color w:val="auto"/>
        </w:rPr>
      </w:pPr>
      <w:r>
        <w:rPr>
          <w:rFonts w:ascii="Arial" w:cs="Arial" w:eastAsia="Arial" w:hAnsi="Arial"/>
          <w:sz w:val="13"/>
          <w:szCs w:val="13"/>
          <w:color w:val="auto"/>
        </w:rPr>
        <w:t>Upon death, complete disability or change in control, 23,482 shares of restricted stock would vest in full immediately. Using the closing stock price on December 31, 2020, the value of such 23,482 shares would have been $2,649,474 plus accrued dividends of $58,076.</w:t>
      </w:r>
    </w:p>
    <w:p>
      <w:pPr>
        <w:spacing w:after="0" w:line="91" w:lineRule="exact"/>
        <w:rPr>
          <w:rFonts w:ascii="Arial" w:cs="Arial" w:eastAsia="Arial" w:hAnsi="Arial"/>
          <w:sz w:val="11"/>
          <w:szCs w:val="11"/>
          <w:color w:val="auto"/>
        </w:rPr>
      </w:pPr>
    </w:p>
    <w:p>
      <w:pPr>
        <w:ind w:left="120" w:right="300" w:hanging="4"/>
        <w:spacing w:after="0" w:line="230" w:lineRule="auto"/>
        <w:tabs>
          <w:tab w:leader="none" w:pos="286" w:val="left"/>
        </w:tabs>
        <w:numPr>
          <w:ilvl w:val="0"/>
          <w:numId w:val="88"/>
        </w:numPr>
        <w:rPr>
          <w:rFonts w:ascii="Arial" w:cs="Arial" w:eastAsia="Arial" w:hAnsi="Arial"/>
          <w:sz w:val="11"/>
          <w:szCs w:val="11"/>
          <w:color w:val="auto"/>
        </w:rPr>
      </w:pPr>
      <w:r>
        <w:rPr>
          <w:rFonts w:ascii="Arial" w:cs="Arial" w:eastAsia="Arial" w:hAnsi="Arial"/>
          <w:sz w:val="13"/>
          <w:szCs w:val="13"/>
          <w:color w:val="auto"/>
        </w:rPr>
        <w:t>Upon termination without cause or upon the Company’s material breach, 8,611 shares of restricted stock would vest on a prorated basis based on the number of months since the grant date. Using the closing stock price on December 31, 2020, the value of such 8,611 shares would have been $971,579, plus accrued dividends of $22,516.</w:t>
      </w:r>
    </w:p>
    <w:p>
      <w:pPr>
        <w:spacing w:after="0" w:line="91" w:lineRule="exact"/>
        <w:rPr>
          <w:rFonts w:ascii="Arial" w:cs="Arial" w:eastAsia="Arial" w:hAnsi="Arial"/>
          <w:sz w:val="11"/>
          <w:szCs w:val="11"/>
          <w:color w:val="auto"/>
        </w:rPr>
      </w:pPr>
    </w:p>
    <w:p>
      <w:pPr>
        <w:ind w:left="280" w:hanging="164"/>
        <w:spacing w:after="0"/>
        <w:tabs>
          <w:tab w:leader="none" w:pos="280" w:val="left"/>
        </w:tabs>
        <w:numPr>
          <w:ilvl w:val="0"/>
          <w:numId w:val="88"/>
        </w:numPr>
        <w:rPr>
          <w:rFonts w:ascii="Arial" w:cs="Arial" w:eastAsia="Arial" w:hAnsi="Arial"/>
          <w:sz w:val="11"/>
          <w:szCs w:val="11"/>
          <w:color w:val="auto"/>
        </w:rPr>
      </w:pPr>
      <w:r>
        <w:rPr>
          <w:rFonts w:ascii="Arial" w:cs="Arial" w:eastAsia="Arial" w:hAnsi="Arial"/>
          <w:sz w:val="13"/>
          <w:szCs w:val="13"/>
          <w:color w:val="auto"/>
        </w:rPr>
        <w:t>Continued health benefits for remainder of the term or until covered by another plan.</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61</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31"/>
          <w:szCs w:val="31"/>
          <w:color w:val="0A1E42"/>
        </w:rPr>
        <w:t>Certain relationships and transactions</w:t>
      </w:r>
    </w:p>
    <w:p>
      <w:pPr>
        <w:spacing w:after="0" w:line="211" w:lineRule="exact"/>
        <w:rPr>
          <w:sz w:val="20"/>
          <w:szCs w:val="20"/>
          <w:color w:val="auto"/>
        </w:rPr>
      </w:pPr>
    </w:p>
    <w:p>
      <w:pPr>
        <w:jc w:val="both"/>
        <w:ind w:left="120"/>
        <w:spacing w:after="0" w:line="248" w:lineRule="auto"/>
        <w:rPr>
          <w:sz w:val="20"/>
          <w:szCs w:val="20"/>
          <w:color w:val="auto"/>
        </w:rPr>
      </w:pPr>
      <w:r>
        <w:rPr>
          <w:rFonts w:ascii="Arial" w:cs="Arial" w:eastAsia="Arial" w:hAnsi="Arial"/>
          <w:sz w:val="17"/>
          <w:szCs w:val="17"/>
          <w:color w:val="auto"/>
        </w:rPr>
        <w:t>Pursuant to written Company policy, the Audit Committee reviews for approval or ratification all transactions with any related person, which SEC rules define to include directors, director nominees, executive officers, beneficial owners of in excess of 5% of the outstanding shares of the Company’s Common Stock, and their respective immediate family members. The policy classifies as pre-approved: (a) employment of executive officers and director compensation if the compensation is required to be reported under Item 402 of Regulation S-K;</w:t>
      </w:r>
    </w:p>
    <w:p>
      <w:pPr>
        <w:spacing w:after="0" w:line="2" w:lineRule="exact"/>
        <w:rPr>
          <w:sz w:val="20"/>
          <w:szCs w:val="20"/>
          <w:color w:val="auto"/>
        </w:rPr>
      </w:pPr>
    </w:p>
    <w:p>
      <w:pPr>
        <w:ind w:left="120" w:right="160" w:hanging="4"/>
        <w:spacing w:after="0" w:line="236" w:lineRule="auto"/>
        <w:tabs>
          <w:tab w:leader="none" w:pos="39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transactions with another company or charitable contributions if the related person’s only relationship is as an employee (other than executive officer), director or beneficial owner of less than 10% of that company’s or donee’s shares if the aggregate amount does not exceed the greater of $200,000 or 5% of that company’s or donee’s total annual revenues; (c) transactions where the related person’s interest arises solely from the ownership of the Company’s stock and all shareholders benefit on a pro rata basis; (d) transactions involving competitive bids; (e) regulated transactions involving services as a common carrier or public utility at rates fixed in conformity with law or governmental authority; and (f) transactions with related parties involving a bank as depositary of funds, transfer agent, registrar, trustee under a trust indenture or similar services. The Audit Committee receives notice of the occurrence of all pre-approved transactions. All other transactions with related persons are subject to approval or ratification by the Audit Committee. In determining whether to approve or ratify a transaction, the Audit Committee will take into account, among other factors it deems appropriate, whether the transaction is on terms no less favorable than terms generally available to an unaffiliated third-party under the same or similar circumstances and the extent of the related person’s interest in the transaction.</w:t>
      </w:r>
    </w:p>
    <w:p>
      <w:pPr>
        <w:spacing w:after="0" w:line="164"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The following are the material transactions or agreements that occurred or were in effect at any time after January 1, 2020, between the Company and related persons. The Audit Committee has approved or ratified all of these transactions that occurred after the date of the adoption of the policy.</w:t>
      </w:r>
    </w:p>
    <w:p>
      <w:pPr>
        <w:spacing w:after="0" w:line="140" w:lineRule="exact"/>
        <w:rPr>
          <w:sz w:val="20"/>
          <w:szCs w:val="20"/>
          <w:color w:val="auto"/>
        </w:rPr>
      </w:pPr>
    </w:p>
    <w:p>
      <w:pPr>
        <w:ind w:left="120" w:right="60"/>
        <w:spacing w:after="0" w:line="244" w:lineRule="auto"/>
        <w:rPr>
          <w:sz w:val="20"/>
          <w:szCs w:val="20"/>
          <w:color w:val="auto"/>
        </w:rPr>
      </w:pPr>
      <w:r>
        <w:rPr>
          <w:rFonts w:ascii="Arial" w:cs="Arial" w:eastAsia="Arial" w:hAnsi="Arial"/>
          <w:sz w:val="18"/>
          <w:szCs w:val="18"/>
          <w:b w:val="1"/>
          <w:bCs w:val="1"/>
          <w:color w:val="0A1E42"/>
        </w:rPr>
        <w:t xml:space="preserve">Cooperation Agreement. </w:t>
      </w:r>
      <w:r>
        <w:rPr>
          <w:rFonts w:ascii="Arial" w:cs="Arial" w:eastAsia="Arial" w:hAnsi="Arial"/>
          <w:sz w:val="18"/>
          <w:szCs w:val="18"/>
          <w:color w:val="000000"/>
        </w:rPr>
        <w:t>On August 3, 2018, the Company entered into a Cooperation Agreement (the “Cooperation Agreement”)</w:t>
      </w:r>
      <w:r>
        <w:rPr>
          <w:rFonts w:ascii="Arial" w:cs="Arial" w:eastAsia="Arial" w:hAnsi="Arial"/>
          <w:sz w:val="18"/>
          <w:szCs w:val="18"/>
          <w:b w:val="1"/>
          <w:bCs w:val="1"/>
          <w:color w:val="0A1E42"/>
        </w:rPr>
        <w:t xml:space="preserve"> </w:t>
      </w:r>
      <w:r>
        <w:rPr>
          <w:rFonts w:ascii="Arial" w:cs="Arial" w:eastAsia="Arial" w:hAnsi="Arial"/>
          <w:sz w:val="18"/>
          <w:szCs w:val="18"/>
          <w:color w:val="000000"/>
        </w:rPr>
        <w:t>with Elaine P. Wynn (“Ms. Wynn”) regarding the composition of the Company’s Board and certain other matters, including, among other things, the appointment of Mr. Satre to the Board, standstill restrictions, releases, non-disparagement, reimbursement of expenses, and the grant of certain complimentary privileges. The term of the Cooperation Agreement expires on the date that Phil Satre no longer serves as Chair of the Board, unless earlier terminated pursuant to the circumstances described in the Cooperation Agreement.</w:t>
      </w:r>
    </w:p>
    <w:p>
      <w:pPr>
        <w:spacing w:after="0" w:line="149"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b w:val="1"/>
          <w:bCs w:val="1"/>
          <w:color w:val="0A1E42"/>
        </w:rPr>
        <w:t xml:space="preserve">Reimbursable Costs. </w:t>
      </w:r>
      <w:r>
        <w:rPr>
          <w:rFonts w:ascii="Arial" w:cs="Arial" w:eastAsia="Arial" w:hAnsi="Arial"/>
          <w:sz w:val="18"/>
          <w:szCs w:val="18"/>
          <w:color w:val="000000"/>
        </w:rPr>
        <w:t>The Company periodically provides services to certain executive officers, directors, or former directors of the</w:t>
      </w:r>
      <w:r>
        <w:rPr>
          <w:rFonts w:ascii="Arial" w:cs="Arial" w:eastAsia="Arial" w:hAnsi="Arial"/>
          <w:sz w:val="18"/>
          <w:szCs w:val="18"/>
          <w:b w:val="1"/>
          <w:bCs w:val="1"/>
          <w:color w:val="0A1E42"/>
        </w:rPr>
        <w:t xml:space="preserve"> </w:t>
      </w:r>
      <w:r>
        <w:rPr>
          <w:rFonts w:ascii="Arial" w:cs="Arial" w:eastAsia="Arial" w:hAnsi="Arial"/>
          <w:sz w:val="18"/>
          <w:szCs w:val="18"/>
          <w:color w:val="000000"/>
        </w:rPr>
        <w:t>Company, including the personal use of employees, construction work and other personal services, for which the officers, directors, or former directors reimburse the Company. The Company requires prepayment for any such services, which amounts are replenished on an ongoing basis as needed. As of December 31, 2020, these net deposit balances with the Company were immaterial, as were the services provided.</w:t>
      </w:r>
    </w:p>
    <w:p>
      <w:pPr>
        <w:spacing w:after="0" w:line="136"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b w:val="1"/>
          <w:bCs w:val="1"/>
          <w:color w:val="0A1E42"/>
        </w:rPr>
        <w:t xml:space="preserve">Aircraft Arrangements. </w:t>
      </w:r>
      <w:r>
        <w:rPr>
          <w:rFonts w:ascii="Arial" w:cs="Arial" w:eastAsia="Arial" w:hAnsi="Arial"/>
          <w:sz w:val="18"/>
          <w:szCs w:val="18"/>
          <w:color w:val="000000"/>
        </w:rPr>
        <w:t>Named Executive Officers, among other executives, may periodically use the Company’s aircraft for business or</w:t>
      </w:r>
      <w:r>
        <w:rPr>
          <w:rFonts w:ascii="Arial" w:cs="Arial" w:eastAsia="Arial" w:hAnsi="Arial"/>
          <w:sz w:val="18"/>
          <w:szCs w:val="18"/>
          <w:b w:val="1"/>
          <w:bCs w:val="1"/>
          <w:color w:val="0A1E42"/>
        </w:rPr>
        <w:t xml:space="preserve"> </w:t>
      </w:r>
      <w:r>
        <w:rPr>
          <w:rFonts w:ascii="Arial" w:cs="Arial" w:eastAsia="Arial" w:hAnsi="Arial"/>
          <w:sz w:val="18"/>
          <w:szCs w:val="18"/>
          <w:color w:val="000000"/>
        </w:rPr>
        <w:t>personal travel. Should an executive use the Company’s aircraft for personal reasons, they are required to enter into a time-sharing arrangement with the Company, whereby the executive would reimburse the Company for the direct, incremental cost associated with the flight. Additionally, the Company is required to include as taxable compensation of an executive, the direct costs that the Company incurs in operating the aircraft where personal passengers accompany the executive on business flights, up to an amount determined by using the Internal Revenue Service Standard Industry Fare Level (SIFL) tables. During 2020, $2,769 was included in Mr. Maddox’s taxable compensation for business flights with personal accompaniment, and Mr. Maddox reimbursed the Company $26,100 through his deposit account described above for personal use of the aircraft. The Company does not provide tax gross ups related to the value of aircraft usage that is imputed into compensation. Neither Mr. Billings nor Ms. Whittemore used the Company’s aircraft for personal travel during 2020.</w:t>
      </w:r>
    </w:p>
    <w:p>
      <w:pPr>
        <w:spacing w:after="0" w:line="139"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b w:val="1"/>
          <w:bCs w:val="1"/>
          <w:color w:val="0A1E42"/>
        </w:rPr>
        <w:t xml:space="preserve">Other. </w:t>
      </w:r>
      <w:r>
        <w:rPr>
          <w:rFonts w:ascii="Arial" w:cs="Arial" w:eastAsia="Arial" w:hAnsi="Arial"/>
          <w:sz w:val="18"/>
          <w:szCs w:val="18"/>
          <w:color w:val="000000"/>
        </w:rPr>
        <w:t>In addition to the above, the Company (or its subsidiaries) employs Mary Ann Pascal, the sister-in-law of Ms. Wynn (who is a</w:t>
      </w:r>
      <w:r>
        <w:rPr>
          <w:rFonts w:ascii="Arial" w:cs="Arial" w:eastAsia="Arial" w:hAnsi="Arial"/>
          <w:sz w:val="18"/>
          <w:szCs w:val="18"/>
          <w:b w:val="1"/>
          <w:bCs w:val="1"/>
          <w:color w:val="0A1E42"/>
        </w:rPr>
        <w:t xml:space="preserve"> </w:t>
      </w:r>
      <w:r>
        <w:rPr>
          <w:rFonts w:ascii="Arial" w:cs="Arial" w:eastAsia="Arial" w:hAnsi="Arial"/>
          <w:sz w:val="18"/>
          <w:szCs w:val="18"/>
          <w:color w:val="000000"/>
        </w:rPr>
        <w:t>beneficial owner of in excess of 5% of the outstanding shares of the Company’s Common Stock), as Vice President – Player Development at Wynn Las Vegas. The Audit Committee of the Company approved the employment arrangement and determined that compensation was at (or below) levels paid to non-family members. Total compensation paid to Ms. Pascal for 2020 included the following amounts calculated in the same manner as the Summary Compensation Table values presented for NEOs: salary of $248,981, stock awards of $84,634, bonus of $14,550, and other compensation of $0.</w:t>
      </w:r>
    </w:p>
    <w:p>
      <w:pPr>
        <w:spacing w:after="0" w:line="45" w:lineRule="exact"/>
        <w:rPr>
          <w:sz w:val="20"/>
          <w:szCs w:val="20"/>
          <w:color w:val="auto"/>
        </w:rPr>
      </w:pPr>
    </w:p>
    <w:p>
      <w:pPr>
        <w:ind w:left="800" w:hanging="684"/>
        <w:spacing w:after="0"/>
        <w:tabs>
          <w:tab w:leader="none" w:pos="800" w:val="left"/>
        </w:tabs>
        <w:numPr>
          <w:ilvl w:val="0"/>
          <w:numId w:val="90"/>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31"/>
          <w:szCs w:val="31"/>
          <w:color w:val="0A1E42"/>
        </w:rPr>
        <w:t>Pay ratio disclosure</w:t>
      </w:r>
    </w:p>
    <w:p>
      <w:pPr>
        <w:spacing w:after="0" w:line="211" w:lineRule="exact"/>
        <w:rPr>
          <w:sz w:val="20"/>
          <w:szCs w:val="20"/>
          <w:color w:val="auto"/>
        </w:rPr>
      </w:pPr>
    </w:p>
    <w:p>
      <w:pPr>
        <w:jc w:val="both"/>
        <w:ind w:left="120" w:right="160"/>
        <w:spacing w:after="0" w:line="255" w:lineRule="auto"/>
        <w:rPr>
          <w:sz w:val="20"/>
          <w:szCs w:val="20"/>
          <w:color w:val="auto"/>
        </w:rPr>
      </w:pPr>
      <w:r>
        <w:rPr>
          <w:rFonts w:ascii="Arial" w:cs="Arial" w:eastAsia="Arial" w:hAnsi="Arial"/>
          <w:sz w:val="17"/>
          <w:szCs w:val="17"/>
          <w:color w:val="auto"/>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may have different employee populations and compensation practices and may utilize different methodologies, exclusions, estimates and assumptions in calculating their own pay ratios.</w:t>
      </w:r>
    </w:p>
    <w:p>
      <w:pPr>
        <w:spacing w:after="0" w:line="150"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pay ratio reported below is a reasonable estimate calculated in a manner consistent with SEC rules based on our payroll records and the methodology described below. For these purposes, we determined the median compensated employee using taxable income for 2020, which we annualized for any employee who did not work for the entire year unless designated as a temporary employee. We determined that, as of December 31, 2020, our employee population consisted of approximately 27,500 employees, with approximately 48% working in Macau as an employee of Wynn Macau, Limited or one of its subsidiaries. In identifying the median employee, we made a cost-of-living adjustment using the International Monetary Fund’s implied purchasing power conversion rate of 5.18 with respect to employees located in Macau. Using this methodology, we determined that the median employee in 2020 was a full-time, hourly employee located in Las Vegas. We recomputed our median employee for 2020 as our employee base decreased by approximately 10% since we selected the median employee in 2019.</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2020 annual total compensation of our median compensated employee, other than our CEO, was $41,551; the 2020 annual total</w:t>
      </w:r>
    </w:p>
    <w:p>
      <w:pPr>
        <w:ind w:left="120"/>
        <w:spacing w:after="0" w:line="234" w:lineRule="auto"/>
        <w:rPr>
          <w:sz w:val="20"/>
          <w:szCs w:val="20"/>
          <w:color w:val="auto"/>
        </w:rPr>
      </w:pPr>
      <w:r>
        <w:rPr>
          <w:rFonts w:ascii="Arial" w:cs="Arial" w:eastAsia="Arial" w:hAnsi="Arial"/>
          <w:sz w:val="18"/>
          <w:szCs w:val="18"/>
          <w:color w:val="auto"/>
        </w:rPr>
        <w:t>compensation of our CEO, Mr. Maddox, was $24,571,980; and the ratio of these amounts was 1-to-591. The increase in the ratio when</w:t>
      </w:r>
    </w:p>
    <w:p>
      <w:pPr>
        <w:ind w:left="120"/>
        <w:spacing w:after="0" w:line="235" w:lineRule="auto"/>
        <w:rPr>
          <w:sz w:val="20"/>
          <w:szCs w:val="20"/>
          <w:color w:val="auto"/>
        </w:rPr>
      </w:pPr>
      <w:r>
        <w:rPr>
          <w:rFonts w:ascii="Arial" w:cs="Arial" w:eastAsia="Arial" w:hAnsi="Arial"/>
          <w:sz w:val="18"/>
          <w:szCs w:val="18"/>
          <w:color w:val="auto"/>
        </w:rPr>
        <w:t>compared to 2019 is a result of the Compensation Committee awarding Mr. Maddox restricted shares with a grant date fair value of</w:t>
      </w:r>
    </w:p>
    <w:p>
      <w:pPr>
        <w:ind w:left="120"/>
        <w:spacing w:after="0" w:line="235" w:lineRule="auto"/>
        <w:rPr>
          <w:sz w:val="20"/>
          <w:szCs w:val="20"/>
          <w:color w:val="auto"/>
        </w:rPr>
      </w:pPr>
      <w:r>
        <w:rPr>
          <w:rFonts w:ascii="Arial" w:cs="Arial" w:eastAsia="Arial" w:hAnsi="Arial"/>
          <w:sz w:val="18"/>
          <w:szCs w:val="18"/>
          <w:color w:val="auto"/>
        </w:rPr>
        <w:t>$10,798,125 in 2020 in connection with the extension of his employment agreement. Refer to the 2020 Grants of Plan-Based Awards for</w:t>
      </w:r>
    </w:p>
    <w:p>
      <w:pPr>
        <w:ind w:left="120"/>
        <w:spacing w:after="0"/>
        <w:rPr>
          <w:sz w:val="20"/>
          <w:szCs w:val="20"/>
          <w:color w:val="auto"/>
        </w:rPr>
      </w:pPr>
      <w:r>
        <w:rPr>
          <w:rFonts w:ascii="Arial" w:cs="Arial" w:eastAsia="Arial" w:hAnsi="Arial"/>
          <w:sz w:val="18"/>
          <w:szCs w:val="18"/>
          <w:color w:val="auto"/>
        </w:rPr>
        <w:t>further discussion of this award.</w:t>
      </w:r>
    </w:p>
    <w:p>
      <w:pPr>
        <w:spacing w:after="0" w:line="18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To identify the median employee without a cost-of-living adjustment, we converted the compensation paid in Macau currency to U.S. dollars by applying a Macau patacas to U.S. dollars exchange rate using the noon buying rate of exchange of Macau patacas to U.S. dollars of 7.99 on December 31, 2020. For 2020, we identified a new median employee for the reason described above. The 2020 annual total compensation of our median compensated employee, other than our CEO serving as of December 31, 2020, without the cost-of-living adjustment was $34,104; and the ratio of this amount to Mr. Maddox’s 2020 annual total compensation was 1-to-721.</w:t>
      </w:r>
    </w:p>
    <w:p>
      <w:pPr>
        <w:spacing w:after="0" w:line="162"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We believe the employee population for gaming and hospitality industries includes a large percentage of “steady extra workers.” These are permanent workers who are paid hourly and obtain hours based on business volumes (e.g., coverage during peak times such as when large conventions are in town) and personal needs of the employee. As of December 31, 2020, approximately 18% of our employee population of approximately 27,500 consisted of steady extra workers, most of whom are eligible for medical and other benefits. Based on SEC’s rules, these permanent workers are included in the employee population used in calculating the median employee compensation and may impact comparability of our median employee compensation amount with that in other industries.</w:t>
      </w:r>
    </w:p>
    <w:p>
      <w:pPr>
        <w:spacing w:after="0" w:line="164" w:lineRule="exact"/>
        <w:rPr>
          <w:sz w:val="20"/>
          <w:szCs w:val="20"/>
          <w:color w:val="auto"/>
        </w:rPr>
      </w:pPr>
    </w:p>
    <w:p>
      <w:pPr>
        <w:ind w:left="120" w:right="520"/>
        <w:spacing w:after="0" w:line="261" w:lineRule="auto"/>
        <w:rPr>
          <w:sz w:val="20"/>
          <w:szCs w:val="20"/>
          <w:color w:val="auto"/>
        </w:rPr>
      </w:pPr>
      <w:r>
        <w:rPr>
          <w:rFonts w:ascii="Arial" w:cs="Arial" w:eastAsia="Arial" w:hAnsi="Arial"/>
          <w:sz w:val="17"/>
          <w:szCs w:val="17"/>
          <w:color w:val="auto"/>
        </w:rPr>
        <w:t>Our talented and dedicated employees play an integral role in our overall success and we place great emphasis on creating an environment for our employees to excel and advance. We are committed to the development, health and well-being of our workforce through various programs, benefits and amenities. Please refer to “Our People and Our Stewardship” for additional information.</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63</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9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39750" cy="24892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31"/>
          <w:szCs w:val="31"/>
          <w:color w:val="0A1E42"/>
        </w:rPr>
        <w:t>Security ownership</w:t>
      </w:r>
    </w:p>
    <w:p>
      <w:pPr>
        <w:spacing w:after="0" w:line="33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0A1E42"/>
        </w:rPr>
        <w:t>CERTAIN BENEFICIAL OWNERSHIP AND MANAGEMENT</w:t>
      </w:r>
    </w:p>
    <w:p>
      <w:pPr>
        <w:spacing w:after="0" w:line="13" w:lineRule="exact"/>
        <w:rPr>
          <w:sz w:val="20"/>
          <w:szCs w:val="20"/>
          <w:color w:val="auto"/>
        </w:rPr>
      </w:pPr>
    </w:p>
    <w:p>
      <w:pPr>
        <w:ind w:left="120" w:right="60"/>
        <w:spacing w:after="0" w:line="255" w:lineRule="auto"/>
        <w:rPr>
          <w:sz w:val="20"/>
          <w:szCs w:val="20"/>
          <w:color w:val="auto"/>
        </w:rPr>
      </w:pPr>
      <w:r>
        <w:rPr>
          <w:rFonts w:ascii="Arial" w:cs="Arial" w:eastAsia="Arial" w:hAnsi="Arial"/>
          <w:sz w:val="17"/>
          <w:szCs w:val="17"/>
          <w:color w:val="auto"/>
        </w:rPr>
        <w:t>The following table sets forth, as of March 12, 2021, (unless otherwise indicated), certain information regarding the shares of the Company’s Common Stock beneficially owned by: (i) each director; (ii) each shareholder who is known by the Company to beneficially own in excess of 5% of the outstanding shares of the Company’s Common Stock; (iii) each of the Company’s NEOs; and (iv) all executive officers and directors as a group. Each shareholder’s percentage is based on 115,640,358 shares of Common Stock outstanding as of March 12, 2021, and treating as outstanding all options held by that shareholder and exercisable within 60 days of March 12,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121285</wp:posOffset>
            </wp:positionV>
            <wp:extent cx="6995160" cy="522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52260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NAME AND ADDRESS OF BENEFICIAL OWNER</w:t>
      </w:r>
      <w:r>
        <w:rPr>
          <w:rFonts w:ascii="Arial" w:cs="Arial" w:eastAsia="Arial" w:hAnsi="Arial"/>
          <w:sz w:val="10"/>
          <w:szCs w:val="10"/>
          <w:b w:val="1"/>
          <w:bCs w:val="1"/>
          <w:color w:val="auto"/>
        </w:rPr>
        <w:t>(2)</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7372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737235"/>
                    </a:xfrm>
                    <a:prstGeom prst="rect">
                      <a:avLst/>
                    </a:prstGeom>
                    <a:noFill/>
                  </pic:spPr>
                </pic:pic>
              </a:graphicData>
            </a:graphic>
          </wp:anchor>
        </w:drawing>
      </w:r>
    </w:p>
    <w:p>
      <w:pPr>
        <w:ind w:left="180"/>
        <w:spacing w:after="0" w:line="223" w:lineRule="auto"/>
        <w:rPr>
          <w:sz w:val="20"/>
          <w:szCs w:val="20"/>
          <w:color w:val="auto"/>
        </w:rPr>
      </w:pPr>
      <w:r>
        <w:rPr>
          <w:rFonts w:ascii="Arial" w:cs="Arial" w:eastAsia="Arial" w:hAnsi="Arial"/>
          <w:sz w:val="14"/>
          <w:szCs w:val="14"/>
          <w:color w:val="auto"/>
        </w:rPr>
        <w:t>T-Rowe Price Associates Inc.</w:t>
      </w:r>
      <w:r>
        <w:rPr>
          <w:rFonts w:ascii="Arial" w:cs="Arial" w:eastAsia="Arial" w:hAnsi="Arial"/>
          <w:sz w:val="24"/>
          <w:szCs w:val="24"/>
          <w:color w:val="auto"/>
          <w:vertAlign w:val="superscript"/>
        </w:rPr>
        <w:t>(3)</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100 East Pratt St.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Baltimore, MD 21202</w:t>
      </w:r>
    </w:p>
    <w:p>
      <w:pPr>
        <w:ind w:left="180"/>
        <w:spacing w:after="0" w:line="223" w:lineRule="auto"/>
        <w:rPr>
          <w:sz w:val="20"/>
          <w:szCs w:val="20"/>
          <w:color w:val="auto"/>
        </w:rPr>
      </w:pPr>
      <w:r>
        <w:rPr>
          <w:rFonts w:ascii="Arial" w:cs="Arial" w:eastAsia="Arial" w:hAnsi="Arial"/>
          <w:sz w:val="14"/>
          <w:szCs w:val="14"/>
          <w:color w:val="auto"/>
        </w:rPr>
        <w:t>The Vanguard Group</w:t>
      </w:r>
      <w:r>
        <w:rPr>
          <w:rFonts w:ascii="Arial" w:cs="Arial" w:eastAsia="Arial" w:hAnsi="Arial"/>
          <w:sz w:val="24"/>
          <w:szCs w:val="24"/>
          <w:color w:val="auto"/>
          <w:vertAlign w:val="superscript"/>
        </w:rPr>
        <w:t>(4)</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100 Vanguard Blvd.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163766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637665"/>
                    </a:xfrm>
                    <a:prstGeom prst="rect">
                      <a:avLst/>
                    </a:prstGeom>
                    <a:noFill/>
                  </pic:spPr>
                </pic:pic>
              </a:graphicData>
            </a:graphic>
          </wp:anchor>
        </w:drawing>
      </w:r>
    </w:p>
    <w:p>
      <w:pPr>
        <w:ind w:left="180"/>
        <w:spacing w:after="0" w:line="223" w:lineRule="auto"/>
        <w:rPr>
          <w:sz w:val="20"/>
          <w:szCs w:val="20"/>
          <w:color w:val="auto"/>
        </w:rPr>
      </w:pPr>
      <w:r>
        <w:rPr>
          <w:rFonts w:ascii="Arial" w:cs="Arial" w:eastAsia="Arial" w:hAnsi="Arial"/>
          <w:sz w:val="14"/>
          <w:szCs w:val="14"/>
          <w:color w:val="auto"/>
        </w:rPr>
        <w:t>Elaine P. Wynn</w:t>
      </w:r>
      <w:r>
        <w:rPr>
          <w:rFonts w:ascii="Arial" w:cs="Arial" w:eastAsia="Arial" w:hAnsi="Arial"/>
          <w:sz w:val="24"/>
          <w:szCs w:val="24"/>
          <w:color w:val="auto"/>
          <w:vertAlign w:val="superscript"/>
        </w:rPr>
        <w:t>(5)</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 Elaine P. Wynn and Family Foundation</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3800 Howard Hughes Parkway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Suite 960</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Las Vegas, Nevada 89169</w:t>
      </w:r>
    </w:p>
    <w:p>
      <w:pPr>
        <w:ind w:left="180"/>
        <w:spacing w:after="0" w:line="223" w:lineRule="auto"/>
        <w:rPr>
          <w:sz w:val="20"/>
          <w:szCs w:val="20"/>
          <w:color w:val="auto"/>
        </w:rPr>
      </w:pPr>
      <w:r>
        <w:rPr>
          <w:rFonts w:ascii="Arial" w:cs="Arial" w:eastAsia="Arial" w:hAnsi="Arial"/>
          <w:sz w:val="14"/>
          <w:szCs w:val="14"/>
          <w:color w:val="auto"/>
        </w:rPr>
        <w:t>Capital International Investors</w:t>
      </w:r>
      <w:r>
        <w:rPr>
          <w:rFonts w:ascii="Arial" w:cs="Arial" w:eastAsia="Arial" w:hAnsi="Arial"/>
          <w:sz w:val="24"/>
          <w:szCs w:val="24"/>
          <w:color w:val="auto"/>
          <w:vertAlign w:val="superscript"/>
        </w:rPr>
        <w:t>(6)</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333 South Hope St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Los Angeles, CA 90071</w:t>
      </w:r>
    </w:p>
    <w:p>
      <w:pPr>
        <w:ind w:left="180"/>
        <w:spacing w:after="0" w:line="223" w:lineRule="auto"/>
        <w:rPr>
          <w:sz w:val="20"/>
          <w:szCs w:val="20"/>
          <w:color w:val="auto"/>
        </w:rPr>
      </w:pPr>
      <w:r>
        <w:rPr>
          <w:rFonts w:ascii="Arial" w:cs="Arial" w:eastAsia="Arial" w:hAnsi="Arial"/>
          <w:sz w:val="14"/>
          <w:szCs w:val="14"/>
          <w:color w:val="auto"/>
        </w:rPr>
        <w:t>Blackrock Inc.</w:t>
      </w:r>
      <w:r>
        <w:rPr>
          <w:rFonts w:ascii="Arial" w:cs="Arial" w:eastAsia="Arial" w:hAnsi="Arial"/>
          <w:sz w:val="24"/>
          <w:szCs w:val="24"/>
          <w:color w:val="auto"/>
          <w:vertAlign w:val="superscript"/>
        </w:rPr>
        <w:t>(7)</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55 East 52nd St.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New York, NY 10055</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Named Executive Officers and Directors: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Philip G. Satre</w:t>
      </w:r>
      <w:r>
        <w:rPr>
          <w:rFonts w:ascii="Arial" w:cs="Arial" w:eastAsia="Arial" w:hAnsi="Arial"/>
          <w:sz w:val="24"/>
          <w:szCs w:val="24"/>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651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ind w:left="180"/>
        <w:spacing w:after="0" w:line="223" w:lineRule="auto"/>
        <w:rPr>
          <w:sz w:val="20"/>
          <w:szCs w:val="20"/>
          <w:color w:val="auto"/>
        </w:rPr>
      </w:pPr>
      <w:r>
        <w:rPr>
          <w:rFonts w:ascii="Arial" w:cs="Arial" w:eastAsia="Arial" w:hAnsi="Arial"/>
          <w:sz w:val="14"/>
          <w:szCs w:val="14"/>
          <w:color w:val="auto"/>
        </w:rPr>
        <w:t>Betsy S. Atkins</w:t>
      </w:r>
      <w:r>
        <w:rPr>
          <w:rFonts w:ascii="Arial" w:cs="Arial" w:eastAsia="Arial" w:hAnsi="Arial"/>
          <w:sz w:val="24"/>
          <w:szCs w:val="24"/>
          <w:color w:val="auto"/>
          <w:vertAlign w:val="superscript"/>
        </w:rPr>
        <w:t>(9)</w:t>
      </w:r>
    </w:p>
    <w:p>
      <w:pPr>
        <w:ind w:left="180"/>
        <w:spacing w:after="0" w:line="223" w:lineRule="auto"/>
        <w:rPr>
          <w:sz w:val="20"/>
          <w:szCs w:val="20"/>
          <w:color w:val="auto"/>
        </w:rPr>
      </w:pPr>
      <w:r>
        <w:rPr>
          <w:rFonts w:ascii="Arial" w:cs="Arial" w:eastAsia="Arial" w:hAnsi="Arial"/>
          <w:sz w:val="14"/>
          <w:szCs w:val="14"/>
          <w:color w:val="auto"/>
        </w:rPr>
        <w:t>Richard J. Byrne</w:t>
      </w:r>
      <w:r>
        <w:rPr>
          <w:rFonts w:ascii="Arial" w:cs="Arial" w:eastAsia="Arial" w:hAnsi="Arial"/>
          <w:sz w:val="24"/>
          <w:szCs w:val="24"/>
          <w:color w:val="auto"/>
          <w:vertAlign w:val="superscript"/>
        </w:rPr>
        <w:t>(10)</w:t>
      </w:r>
    </w:p>
    <w:p>
      <w:pPr>
        <w:ind w:left="180"/>
        <w:spacing w:after="0" w:line="223" w:lineRule="auto"/>
        <w:rPr>
          <w:sz w:val="20"/>
          <w:szCs w:val="20"/>
          <w:color w:val="auto"/>
        </w:rPr>
      </w:pPr>
      <w:r>
        <w:rPr>
          <w:rFonts w:ascii="Arial" w:cs="Arial" w:eastAsia="Arial" w:hAnsi="Arial"/>
          <w:sz w:val="14"/>
          <w:szCs w:val="14"/>
          <w:color w:val="auto"/>
        </w:rPr>
        <w:t>Margaret J. Myers</w:t>
      </w:r>
      <w:r>
        <w:rPr>
          <w:rFonts w:ascii="Arial" w:cs="Arial" w:eastAsia="Arial" w:hAnsi="Arial"/>
          <w:sz w:val="24"/>
          <w:szCs w:val="24"/>
          <w:color w:val="auto"/>
          <w:vertAlign w:val="superscript"/>
        </w:rPr>
        <w:t>(11)</w:t>
      </w:r>
    </w:p>
    <w:p>
      <w:pPr>
        <w:ind w:left="180"/>
        <w:spacing w:after="0" w:line="223" w:lineRule="auto"/>
        <w:rPr>
          <w:sz w:val="20"/>
          <w:szCs w:val="20"/>
          <w:color w:val="auto"/>
        </w:rPr>
      </w:pPr>
      <w:r>
        <w:rPr>
          <w:rFonts w:ascii="Arial" w:cs="Arial" w:eastAsia="Arial" w:hAnsi="Arial"/>
          <w:sz w:val="14"/>
          <w:szCs w:val="14"/>
          <w:color w:val="auto"/>
        </w:rPr>
        <w:t>Winifred M. Webb</w:t>
      </w:r>
      <w:r>
        <w:rPr>
          <w:rFonts w:ascii="Arial" w:cs="Arial" w:eastAsia="Arial" w:hAnsi="Arial"/>
          <w:sz w:val="24"/>
          <w:szCs w:val="24"/>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4889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488950"/>
                    </a:xfrm>
                    <a:prstGeom prst="rect">
                      <a:avLst/>
                    </a:prstGeom>
                    <a:noFill/>
                  </pic:spPr>
                </pic:pic>
              </a:graphicData>
            </a:graphic>
          </wp:anchor>
        </w:drawing>
      </w:r>
    </w:p>
    <w:p>
      <w:pPr>
        <w:ind w:left="180"/>
        <w:spacing w:after="0" w:line="223" w:lineRule="auto"/>
        <w:rPr>
          <w:sz w:val="20"/>
          <w:szCs w:val="20"/>
          <w:color w:val="auto"/>
        </w:rPr>
      </w:pPr>
      <w:r>
        <w:rPr>
          <w:rFonts w:ascii="Arial" w:cs="Arial" w:eastAsia="Arial" w:hAnsi="Arial"/>
          <w:sz w:val="14"/>
          <w:szCs w:val="14"/>
          <w:color w:val="auto"/>
        </w:rPr>
        <w:t>Jay L. Johnson</w:t>
      </w:r>
      <w:r>
        <w:rPr>
          <w:rFonts w:ascii="Arial" w:cs="Arial" w:eastAsia="Arial" w:hAnsi="Arial"/>
          <w:sz w:val="24"/>
          <w:szCs w:val="24"/>
          <w:color w:val="auto"/>
          <w:vertAlign w:val="superscript"/>
        </w:rPr>
        <w:t>(13)</w:t>
      </w:r>
    </w:p>
    <w:p>
      <w:pPr>
        <w:ind w:left="180"/>
        <w:spacing w:after="0" w:line="223" w:lineRule="auto"/>
        <w:rPr>
          <w:sz w:val="20"/>
          <w:szCs w:val="20"/>
          <w:color w:val="auto"/>
        </w:rPr>
      </w:pPr>
      <w:r>
        <w:rPr>
          <w:rFonts w:ascii="Arial" w:cs="Arial" w:eastAsia="Arial" w:hAnsi="Arial"/>
          <w:sz w:val="14"/>
          <w:szCs w:val="14"/>
          <w:color w:val="auto"/>
        </w:rPr>
        <w:t>Patricia Mulroy</w:t>
      </w:r>
      <w:r>
        <w:rPr>
          <w:rFonts w:ascii="Arial" w:cs="Arial" w:eastAsia="Arial" w:hAnsi="Arial"/>
          <w:sz w:val="24"/>
          <w:szCs w:val="24"/>
          <w:color w:val="auto"/>
          <w:vertAlign w:val="superscript"/>
        </w:rPr>
        <w:t>(14)</w:t>
      </w:r>
    </w:p>
    <w:p>
      <w:pPr>
        <w:ind w:left="180"/>
        <w:spacing w:after="0" w:line="229" w:lineRule="auto"/>
        <w:rPr>
          <w:sz w:val="20"/>
          <w:szCs w:val="20"/>
          <w:color w:val="auto"/>
        </w:rPr>
      </w:pPr>
      <w:r>
        <w:rPr>
          <w:rFonts w:ascii="Arial" w:cs="Arial" w:eastAsia="Arial" w:hAnsi="Arial"/>
          <w:sz w:val="14"/>
          <w:szCs w:val="14"/>
          <w:color w:val="auto"/>
        </w:rPr>
        <w:t>Clark T. Randt, Jr.</w:t>
      </w:r>
      <w:r>
        <w:rPr>
          <w:rFonts w:ascii="Arial" w:cs="Arial" w:eastAsia="Arial" w:hAnsi="Arial"/>
          <w:sz w:val="24"/>
          <w:szCs w:val="24"/>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-27305</wp:posOffset>
            </wp:positionV>
            <wp:extent cx="6995160" cy="4883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48831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Darnell Strom</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Matt Maddox</w:t>
      </w:r>
      <w:r>
        <w:rPr>
          <w:rFonts w:ascii="Arial" w:cs="Arial" w:eastAsia="Arial" w:hAnsi="Arial"/>
          <w:sz w:val="24"/>
          <w:szCs w:val="24"/>
          <w:color w:val="auto"/>
          <w:vertAlign w:val="superscript"/>
        </w:rPr>
        <w:t>(16)</w:t>
      </w:r>
    </w:p>
    <w:p>
      <w:pPr>
        <w:ind w:left="180"/>
        <w:spacing w:after="0" w:line="223" w:lineRule="auto"/>
        <w:rPr>
          <w:sz w:val="20"/>
          <w:szCs w:val="20"/>
          <w:color w:val="auto"/>
        </w:rPr>
      </w:pPr>
      <w:r>
        <w:rPr>
          <w:rFonts w:ascii="Arial" w:cs="Arial" w:eastAsia="Arial" w:hAnsi="Arial"/>
          <w:sz w:val="14"/>
          <w:szCs w:val="14"/>
          <w:color w:val="auto"/>
        </w:rPr>
        <w:t>Craig S. Billings</w:t>
      </w:r>
      <w:r>
        <w:rPr>
          <w:rFonts w:ascii="Arial" w:cs="Arial" w:eastAsia="Arial" w:hAnsi="Arial"/>
          <w:sz w:val="24"/>
          <w:szCs w:val="24"/>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1631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ind w:left="180"/>
        <w:spacing w:after="0" w:line="223" w:lineRule="auto"/>
        <w:rPr>
          <w:sz w:val="20"/>
          <w:szCs w:val="20"/>
          <w:color w:val="auto"/>
        </w:rPr>
      </w:pPr>
      <w:r>
        <w:rPr>
          <w:rFonts w:ascii="Arial" w:cs="Arial" w:eastAsia="Arial" w:hAnsi="Arial"/>
          <w:sz w:val="14"/>
          <w:szCs w:val="14"/>
          <w:color w:val="auto"/>
        </w:rPr>
        <w:t>Ellen F. Whittemore</w:t>
      </w:r>
      <w:r>
        <w:rPr>
          <w:rFonts w:ascii="Arial" w:cs="Arial" w:eastAsia="Arial" w:hAnsi="Arial"/>
          <w:sz w:val="24"/>
          <w:szCs w:val="24"/>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-23495</wp:posOffset>
            </wp:positionV>
            <wp:extent cx="6995160" cy="16256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625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color w:val="auto"/>
        </w:rPr>
        <w:t>All current directors and executive officers as a group (12 persons)</w:t>
      </w:r>
      <w:r>
        <w:rPr>
          <w:rFonts w:ascii="Arial" w:cs="Arial" w:eastAsia="Arial" w:hAnsi="Arial"/>
          <w:sz w:val="24"/>
          <w:szCs w:val="24"/>
          <w:color w:val="auto"/>
          <w:vertAlign w:val="superscript"/>
        </w:rPr>
        <w:t>(19)</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Less than one percent</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BENEFICIAL OWNERSHIP OF SHARES</w:t>
      </w:r>
      <w:r>
        <w:rPr>
          <w:rFonts w:ascii="Arial" w:cs="Arial" w:eastAsia="Arial" w:hAnsi="Arial"/>
          <w:sz w:val="9"/>
          <w:szCs w:val="9"/>
          <w:b w:val="1"/>
          <w:bCs w:val="1"/>
          <w:color w:val="auto"/>
        </w:rPr>
        <w:t>(1)</w:t>
      </w:r>
    </w:p>
    <w:p>
      <w:pPr>
        <w:spacing w:after="0" w:line="146" w:lineRule="exact"/>
        <w:rPr>
          <w:sz w:val="20"/>
          <w:szCs w:val="20"/>
          <w:color w:val="auto"/>
        </w:rPr>
      </w:pPr>
    </w:p>
    <w:p>
      <w:pPr>
        <w:ind w:left="80"/>
        <w:spacing w:after="0"/>
        <w:tabs>
          <w:tab w:leader="none" w:pos="1580" w:val="left"/>
        </w:tabs>
        <w:rPr>
          <w:sz w:val="20"/>
          <w:szCs w:val="20"/>
          <w:color w:val="auto"/>
        </w:rPr>
      </w:pPr>
      <w:r>
        <w:rPr>
          <w:rFonts w:ascii="Arial" w:cs="Arial" w:eastAsia="Arial" w:hAnsi="Arial"/>
          <w:sz w:val="12"/>
          <w:szCs w:val="12"/>
          <w:b w:val="1"/>
          <w:bCs w:val="1"/>
          <w:color w:val="auto"/>
        </w:rPr>
        <w:t>NUMBER</w:t>
      </w:r>
      <w:r>
        <w:rPr>
          <w:sz w:val="20"/>
          <w:szCs w:val="20"/>
          <w:color w:val="auto"/>
        </w:rPr>
        <w:tab/>
      </w:r>
      <w:r>
        <w:rPr>
          <w:rFonts w:ascii="Arial" w:cs="Arial" w:eastAsia="Arial" w:hAnsi="Arial"/>
          <w:sz w:val="12"/>
          <w:szCs w:val="12"/>
          <w:b w:val="1"/>
          <w:bCs w:val="1"/>
          <w:color w:val="auto"/>
        </w:rPr>
        <w:t>PERCENTAGE</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1140" w:type="dxa"/>
            <w:vAlign w:val="bottom"/>
          </w:tcPr>
          <w:p>
            <w:pPr>
              <w:jc w:val="center"/>
              <w:ind w:right="348"/>
              <w:spacing w:after="0"/>
              <w:rPr>
                <w:sz w:val="20"/>
                <w:szCs w:val="20"/>
                <w:color w:val="auto"/>
              </w:rPr>
            </w:pPr>
            <w:r>
              <w:rPr>
                <w:rFonts w:ascii="Arial" w:cs="Arial" w:eastAsia="Arial" w:hAnsi="Arial"/>
                <w:sz w:val="14"/>
                <w:szCs w:val="14"/>
                <w:color w:val="auto"/>
              </w:rPr>
              <w:t>10,877,067</w:t>
            </w:r>
          </w:p>
        </w:tc>
        <w:tc>
          <w:tcPr>
            <w:tcW w:w="820" w:type="dxa"/>
            <w:vAlign w:val="bottom"/>
          </w:tcPr>
          <w:p>
            <w:pPr>
              <w:jc w:val="right"/>
              <w:spacing w:after="0"/>
              <w:rPr>
                <w:sz w:val="20"/>
                <w:szCs w:val="20"/>
                <w:color w:val="auto"/>
              </w:rPr>
            </w:pPr>
            <w:r>
              <w:rPr>
                <w:rFonts w:ascii="Arial" w:cs="Arial" w:eastAsia="Arial" w:hAnsi="Arial"/>
                <w:sz w:val="14"/>
                <w:szCs w:val="14"/>
                <w:color w:val="auto"/>
              </w:rPr>
              <w:t>9.41%</w:t>
            </w:r>
          </w:p>
        </w:tc>
      </w:tr>
      <w:tr>
        <w:trPr>
          <w:trHeight w:val="580"/>
        </w:trPr>
        <w:tc>
          <w:tcPr>
            <w:tcW w:w="1140" w:type="dxa"/>
            <w:vAlign w:val="bottom"/>
          </w:tcPr>
          <w:p>
            <w:pPr>
              <w:jc w:val="center"/>
              <w:ind w:right="348"/>
              <w:spacing w:after="0"/>
              <w:rPr>
                <w:sz w:val="20"/>
                <w:szCs w:val="20"/>
                <w:color w:val="auto"/>
              </w:rPr>
            </w:pPr>
            <w:r>
              <w:rPr>
                <w:rFonts w:ascii="Arial" w:cs="Arial" w:eastAsia="Arial" w:hAnsi="Arial"/>
                <w:sz w:val="14"/>
                <w:szCs w:val="14"/>
                <w:color w:val="auto"/>
              </w:rPr>
              <w:t>10,080,714</w:t>
            </w:r>
          </w:p>
        </w:tc>
        <w:tc>
          <w:tcPr>
            <w:tcW w:w="820" w:type="dxa"/>
            <w:vAlign w:val="bottom"/>
          </w:tcPr>
          <w:p>
            <w:pPr>
              <w:jc w:val="right"/>
              <w:spacing w:after="0"/>
              <w:rPr>
                <w:sz w:val="20"/>
                <w:szCs w:val="20"/>
                <w:color w:val="auto"/>
              </w:rPr>
            </w:pPr>
            <w:r>
              <w:rPr>
                <w:rFonts w:ascii="Arial" w:cs="Arial" w:eastAsia="Arial" w:hAnsi="Arial"/>
                <w:sz w:val="14"/>
                <w:szCs w:val="14"/>
                <w:color w:val="auto"/>
              </w:rPr>
              <w:t>8.72%</w:t>
            </w:r>
          </w:p>
        </w:tc>
      </w:tr>
      <w:tr>
        <w:trPr>
          <w:trHeight w:val="905"/>
        </w:trPr>
        <w:tc>
          <w:tcPr>
            <w:tcW w:w="1140" w:type="dxa"/>
            <w:vAlign w:val="bottom"/>
          </w:tcPr>
          <w:p>
            <w:pPr>
              <w:jc w:val="center"/>
              <w:ind w:right="388"/>
              <w:spacing w:after="0"/>
              <w:rPr>
                <w:sz w:val="20"/>
                <w:szCs w:val="20"/>
                <w:color w:val="auto"/>
              </w:rPr>
            </w:pPr>
            <w:r>
              <w:rPr>
                <w:rFonts w:ascii="Arial" w:cs="Arial" w:eastAsia="Arial" w:hAnsi="Arial"/>
                <w:sz w:val="14"/>
                <w:szCs w:val="14"/>
                <w:color w:val="auto"/>
              </w:rPr>
              <w:t>9,539,077</w:t>
            </w:r>
          </w:p>
        </w:tc>
        <w:tc>
          <w:tcPr>
            <w:tcW w:w="820" w:type="dxa"/>
            <w:vAlign w:val="bottom"/>
          </w:tcPr>
          <w:p>
            <w:pPr>
              <w:jc w:val="right"/>
              <w:spacing w:after="0"/>
              <w:rPr>
                <w:sz w:val="20"/>
                <w:szCs w:val="20"/>
                <w:color w:val="auto"/>
              </w:rPr>
            </w:pPr>
            <w:r>
              <w:rPr>
                <w:rFonts w:ascii="Arial" w:cs="Arial" w:eastAsia="Arial" w:hAnsi="Arial"/>
                <w:sz w:val="14"/>
                <w:szCs w:val="14"/>
                <w:color w:val="auto"/>
              </w:rPr>
              <w:t>8.25%</w:t>
            </w:r>
          </w:p>
        </w:tc>
      </w:tr>
      <w:tr>
        <w:trPr>
          <w:trHeight w:val="581"/>
        </w:trPr>
        <w:tc>
          <w:tcPr>
            <w:tcW w:w="1140" w:type="dxa"/>
            <w:vAlign w:val="bottom"/>
          </w:tcPr>
          <w:p>
            <w:pPr>
              <w:jc w:val="center"/>
              <w:ind w:right="388"/>
              <w:spacing w:after="0"/>
              <w:rPr>
                <w:sz w:val="20"/>
                <w:szCs w:val="20"/>
                <w:color w:val="auto"/>
              </w:rPr>
            </w:pPr>
            <w:r>
              <w:rPr>
                <w:rFonts w:ascii="Arial" w:cs="Arial" w:eastAsia="Arial" w:hAnsi="Arial"/>
                <w:sz w:val="14"/>
                <w:szCs w:val="14"/>
                <w:color w:val="auto"/>
              </w:rPr>
              <w:t>6,937,229</w:t>
            </w:r>
          </w:p>
        </w:tc>
        <w:tc>
          <w:tcPr>
            <w:tcW w:w="820" w:type="dxa"/>
            <w:vAlign w:val="bottom"/>
          </w:tcPr>
          <w:p>
            <w:pPr>
              <w:jc w:val="right"/>
              <w:spacing w:after="0"/>
              <w:rPr>
                <w:sz w:val="20"/>
                <w:szCs w:val="20"/>
                <w:color w:val="auto"/>
              </w:rPr>
            </w:pPr>
            <w:r>
              <w:rPr>
                <w:rFonts w:ascii="Arial" w:cs="Arial" w:eastAsia="Arial" w:hAnsi="Arial"/>
                <w:sz w:val="14"/>
                <w:szCs w:val="14"/>
                <w:color w:val="auto"/>
              </w:rPr>
              <w:t>6.00%</w:t>
            </w:r>
          </w:p>
        </w:tc>
      </w:tr>
      <w:tr>
        <w:trPr>
          <w:trHeight w:val="580"/>
        </w:trPr>
        <w:tc>
          <w:tcPr>
            <w:tcW w:w="1140" w:type="dxa"/>
            <w:vAlign w:val="bottom"/>
          </w:tcPr>
          <w:p>
            <w:pPr>
              <w:jc w:val="center"/>
              <w:ind w:right="388"/>
              <w:spacing w:after="0"/>
              <w:rPr>
                <w:sz w:val="20"/>
                <w:szCs w:val="20"/>
                <w:color w:val="auto"/>
              </w:rPr>
            </w:pPr>
            <w:r>
              <w:rPr>
                <w:rFonts w:ascii="Arial" w:cs="Arial" w:eastAsia="Arial" w:hAnsi="Arial"/>
                <w:sz w:val="14"/>
                <w:szCs w:val="14"/>
                <w:color w:val="auto"/>
              </w:rPr>
              <w:t>6,740,071</w:t>
            </w:r>
          </w:p>
        </w:tc>
        <w:tc>
          <w:tcPr>
            <w:tcW w:w="820" w:type="dxa"/>
            <w:vAlign w:val="bottom"/>
          </w:tcPr>
          <w:p>
            <w:pPr>
              <w:jc w:val="right"/>
              <w:spacing w:after="0"/>
              <w:rPr>
                <w:sz w:val="20"/>
                <w:szCs w:val="20"/>
                <w:color w:val="auto"/>
              </w:rPr>
            </w:pPr>
            <w:r>
              <w:rPr>
                <w:rFonts w:ascii="Arial" w:cs="Arial" w:eastAsia="Arial" w:hAnsi="Arial"/>
                <w:sz w:val="14"/>
                <w:szCs w:val="14"/>
                <w:color w:val="auto"/>
              </w:rPr>
              <w:t>5.83%</w:t>
            </w:r>
          </w:p>
        </w:tc>
      </w:tr>
      <w:tr>
        <w:trPr>
          <w:trHeight w:val="513"/>
        </w:trPr>
        <w:tc>
          <w:tcPr>
            <w:tcW w:w="1140" w:type="dxa"/>
            <w:vAlign w:val="bottom"/>
          </w:tcPr>
          <w:p>
            <w:pPr>
              <w:jc w:val="right"/>
              <w:ind w:right="548"/>
              <w:spacing w:after="0"/>
              <w:rPr>
                <w:sz w:val="20"/>
                <w:szCs w:val="20"/>
                <w:color w:val="auto"/>
              </w:rPr>
            </w:pPr>
            <w:r>
              <w:rPr>
                <w:rFonts w:ascii="Arial" w:cs="Arial" w:eastAsia="Arial" w:hAnsi="Arial"/>
                <w:sz w:val="14"/>
                <w:szCs w:val="14"/>
                <w:color w:val="auto"/>
              </w:rPr>
              <w:t>19,567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1140" w:type="dxa"/>
            <w:vAlign w:val="bottom"/>
          </w:tcPr>
          <w:p>
            <w:pPr>
              <w:jc w:val="center"/>
              <w:ind w:right="428"/>
              <w:spacing w:after="0"/>
              <w:rPr>
                <w:sz w:val="20"/>
                <w:szCs w:val="20"/>
                <w:color w:val="auto"/>
              </w:rPr>
            </w:pPr>
            <w:r>
              <w:rPr>
                <w:rFonts w:ascii="Arial" w:cs="Arial" w:eastAsia="Arial" w:hAnsi="Arial"/>
                <w:sz w:val="14"/>
                <w:szCs w:val="14"/>
                <w:color w:val="auto"/>
              </w:rPr>
              <w:t>9,331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7"/>
        </w:trPr>
        <w:tc>
          <w:tcPr>
            <w:tcW w:w="1140" w:type="dxa"/>
            <w:vAlign w:val="bottom"/>
          </w:tcPr>
          <w:p>
            <w:pPr>
              <w:jc w:val="center"/>
              <w:ind w:right="428"/>
              <w:spacing w:after="0"/>
              <w:rPr>
                <w:sz w:val="20"/>
                <w:szCs w:val="20"/>
                <w:color w:val="auto"/>
              </w:rPr>
            </w:pPr>
            <w:r>
              <w:rPr>
                <w:rFonts w:ascii="Arial" w:cs="Arial" w:eastAsia="Arial" w:hAnsi="Arial"/>
                <w:sz w:val="14"/>
                <w:szCs w:val="14"/>
                <w:color w:val="auto"/>
              </w:rPr>
              <w:t>8,022</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1140" w:type="dxa"/>
            <w:vAlign w:val="bottom"/>
          </w:tcPr>
          <w:p>
            <w:pPr>
              <w:jc w:val="center"/>
              <w:ind w:right="428"/>
              <w:spacing w:after="0"/>
              <w:rPr>
                <w:sz w:val="20"/>
                <w:szCs w:val="20"/>
                <w:color w:val="auto"/>
              </w:rPr>
            </w:pPr>
            <w:r>
              <w:rPr>
                <w:rFonts w:ascii="Arial" w:cs="Arial" w:eastAsia="Arial" w:hAnsi="Arial"/>
                <w:sz w:val="14"/>
                <w:szCs w:val="14"/>
                <w:color w:val="auto"/>
              </w:rPr>
              <w:t>9,331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7"/>
        </w:trPr>
        <w:tc>
          <w:tcPr>
            <w:tcW w:w="1140" w:type="dxa"/>
            <w:vAlign w:val="bottom"/>
          </w:tcPr>
          <w:p>
            <w:pPr>
              <w:jc w:val="center"/>
              <w:ind w:right="428"/>
              <w:spacing w:after="0"/>
              <w:rPr>
                <w:sz w:val="20"/>
                <w:szCs w:val="20"/>
                <w:color w:val="auto"/>
              </w:rPr>
            </w:pPr>
            <w:r>
              <w:rPr>
                <w:rFonts w:ascii="Arial" w:cs="Arial" w:eastAsia="Arial" w:hAnsi="Arial"/>
                <w:sz w:val="14"/>
                <w:szCs w:val="14"/>
                <w:color w:val="auto"/>
              </w:rPr>
              <w:t>9,331</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7"/>
        </w:trPr>
        <w:tc>
          <w:tcPr>
            <w:tcW w:w="1140" w:type="dxa"/>
            <w:vAlign w:val="bottom"/>
          </w:tcPr>
          <w:p>
            <w:pPr>
              <w:jc w:val="right"/>
              <w:ind w:right="548"/>
              <w:spacing w:after="0"/>
              <w:rPr>
                <w:sz w:val="20"/>
                <w:szCs w:val="20"/>
                <w:color w:val="auto"/>
              </w:rPr>
            </w:pPr>
            <w:r>
              <w:rPr>
                <w:rFonts w:ascii="Arial" w:cs="Arial" w:eastAsia="Arial" w:hAnsi="Arial"/>
                <w:sz w:val="14"/>
                <w:szCs w:val="14"/>
                <w:color w:val="auto"/>
              </w:rPr>
              <w:t>19,483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1140" w:type="dxa"/>
            <w:vAlign w:val="bottom"/>
          </w:tcPr>
          <w:p>
            <w:pPr>
              <w:jc w:val="right"/>
              <w:ind w:right="548"/>
              <w:spacing w:after="0"/>
              <w:rPr>
                <w:sz w:val="20"/>
                <w:szCs w:val="20"/>
                <w:color w:val="auto"/>
              </w:rPr>
            </w:pPr>
            <w:r>
              <w:rPr>
                <w:rFonts w:ascii="Arial" w:cs="Arial" w:eastAsia="Arial" w:hAnsi="Arial"/>
                <w:sz w:val="14"/>
                <w:szCs w:val="14"/>
                <w:color w:val="auto"/>
              </w:rPr>
              <w:t>16,679</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7"/>
        </w:trPr>
        <w:tc>
          <w:tcPr>
            <w:tcW w:w="1140" w:type="dxa"/>
            <w:vAlign w:val="bottom"/>
          </w:tcPr>
          <w:p>
            <w:pPr>
              <w:jc w:val="right"/>
              <w:ind w:right="548"/>
              <w:spacing w:after="0"/>
              <w:rPr>
                <w:sz w:val="20"/>
                <w:szCs w:val="20"/>
                <w:color w:val="auto"/>
              </w:rPr>
            </w:pPr>
            <w:r>
              <w:rPr>
                <w:rFonts w:ascii="Arial" w:cs="Arial" w:eastAsia="Arial" w:hAnsi="Arial"/>
                <w:sz w:val="14"/>
                <w:szCs w:val="14"/>
                <w:color w:val="auto"/>
              </w:rPr>
              <w:t>18,457</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1140" w:type="dxa"/>
            <w:vAlign w:val="bottom"/>
          </w:tcPr>
          <w:p>
            <w:pPr>
              <w:jc w:val="center"/>
              <w:ind w:right="428"/>
              <w:spacing w:after="0"/>
              <w:rPr>
                <w:sz w:val="20"/>
                <w:szCs w:val="20"/>
                <w:color w:val="auto"/>
              </w:rPr>
            </w:pPr>
            <w:r>
              <w:rPr>
                <w:rFonts w:ascii="Arial" w:cs="Arial" w:eastAsia="Arial" w:hAnsi="Arial"/>
                <w:sz w:val="14"/>
                <w:szCs w:val="14"/>
                <w:color w:val="auto"/>
              </w:rPr>
              <w:t>3,000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7"/>
        </w:trPr>
        <w:tc>
          <w:tcPr>
            <w:tcW w:w="1140" w:type="dxa"/>
            <w:vAlign w:val="bottom"/>
          </w:tcPr>
          <w:p>
            <w:pPr>
              <w:jc w:val="center"/>
              <w:ind w:right="348"/>
              <w:spacing w:after="0"/>
              <w:rPr>
                <w:sz w:val="20"/>
                <w:szCs w:val="20"/>
                <w:color w:val="auto"/>
              </w:rPr>
            </w:pPr>
            <w:r>
              <w:rPr>
                <w:rFonts w:ascii="Arial" w:cs="Arial" w:eastAsia="Arial" w:hAnsi="Arial"/>
                <w:sz w:val="14"/>
                <w:szCs w:val="14"/>
                <w:color w:val="auto"/>
              </w:rPr>
              <w:t>456,266</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1140" w:type="dxa"/>
            <w:vAlign w:val="bottom"/>
          </w:tcPr>
          <w:p>
            <w:pPr>
              <w:jc w:val="center"/>
              <w:ind w:right="348"/>
              <w:spacing w:after="0"/>
              <w:rPr>
                <w:sz w:val="20"/>
                <w:szCs w:val="20"/>
                <w:color w:val="auto"/>
              </w:rPr>
            </w:pPr>
            <w:r>
              <w:rPr>
                <w:rFonts w:ascii="Arial" w:cs="Arial" w:eastAsia="Arial" w:hAnsi="Arial"/>
                <w:sz w:val="14"/>
                <w:szCs w:val="14"/>
                <w:color w:val="auto"/>
              </w:rPr>
              <w:t>104,508</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7"/>
        </w:trPr>
        <w:tc>
          <w:tcPr>
            <w:tcW w:w="1140" w:type="dxa"/>
            <w:vAlign w:val="bottom"/>
          </w:tcPr>
          <w:p>
            <w:pPr>
              <w:jc w:val="right"/>
              <w:ind w:right="548"/>
              <w:spacing w:after="0"/>
              <w:rPr>
                <w:sz w:val="20"/>
                <w:szCs w:val="20"/>
                <w:color w:val="auto"/>
              </w:rPr>
            </w:pPr>
            <w:r>
              <w:rPr>
                <w:rFonts w:ascii="Arial" w:cs="Arial" w:eastAsia="Arial" w:hAnsi="Arial"/>
                <w:sz w:val="14"/>
                <w:szCs w:val="14"/>
                <w:color w:val="auto"/>
              </w:rPr>
              <w:t>38,855</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6"/>
        </w:trPr>
        <w:tc>
          <w:tcPr>
            <w:tcW w:w="1140" w:type="dxa"/>
            <w:vAlign w:val="bottom"/>
          </w:tcPr>
          <w:p>
            <w:pPr>
              <w:jc w:val="center"/>
              <w:ind w:right="348"/>
              <w:spacing w:after="0"/>
              <w:rPr>
                <w:sz w:val="20"/>
                <w:szCs w:val="20"/>
                <w:color w:val="auto"/>
              </w:rPr>
            </w:pPr>
            <w:r>
              <w:rPr>
                <w:rFonts w:ascii="Arial" w:cs="Arial" w:eastAsia="Arial" w:hAnsi="Arial"/>
                <w:sz w:val="14"/>
                <w:szCs w:val="14"/>
                <w:color w:val="auto"/>
              </w:rPr>
              <w:t>712,830</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w:t>
            </w:r>
          </w:p>
        </w:tc>
      </w:tr>
    </w:tbl>
    <w:p>
      <w:pPr>
        <w:spacing w:after="0" w:line="371" w:lineRule="exact"/>
        <w:rPr>
          <w:sz w:val="20"/>
          <w:szCs w:val="20"/>
          <w:color w:val="auto"/>
        </w:rPr>
      </w:pPr>
    </w:p>
    <w:p>
      <w:pPr>
        <w:sectPr>
          <w:pgSz w:w="11900" w:h="16838" w:orient="portrait"/>
          <w:cols w:equalWidth="0" w:num="2">
            <w:col w:w="7940" w:space="720"/>
            <w:col w:w="2460"/>
          </w:cols>
          <w:pgMar w:left="320" w:top="459" w:right="459" w:bottom="1440" w:gutter="0" w:footer="0" w:header="0"/>
          <w:type w:val="continuous"/>
        </w:sectPr>
      </w:pPr>
    </w:p>
    <w:p>
      <w:pPr>
        <w:jc w:val="both"/>
        <w:ind w:left="120" w:right="320" w:hanging="4"/>
        <w:spacing w:after="0" w:line="246" w:lineRule="auto"/>
        <w:tabs>
          <w:tab w:leader="none" w:pos="286" w:val="left"/>
        </w:tabs>
        <w:numPr>
          <w:ilvl w:val="0"/>
          <w:numId w:val="91"/>
        </w:numPr>
        <w:rPr>
          <w:rFonts w:ascii="Arial" w:cs="Arial" w:eastAsia="Arial" w:hAnsi="Arial"/>
          <w:sz w:val="10"/>
          <w:szCs w:val="10"/>
          <w:color w:val="auto"/>
        </w:rPr>
      </w:pPr>
      <w:r>
        <w:rPr>
          <w:rFonts w:ascii="Arial" w:cs="Arial" w:eastAsia="Arial" w:hAnsi="Arial"/>
          <w:sz w:val="12"/>
          <w:szCs w:val="12"/>
          <w:color w:val="auto"/>
        </w:rPr>
        <w:t>This table is based upon information supplied by officers, directors, and nominees for director, and contained in Schedules 13D and 13G filed with the SEC. Unless otherwise indicated in the footnotes to this table and subject to community property laws, where applicable, the Company believes each of the shareholders named in this table has sole voting and investment power with respect to the shares indicated as beneficially owned. Executives and directors have voting power over shares of restricted stock, but cannot transfer such shares unless and until they vest.</w:t>
      </w:r>
    </w:p>
    <w:p>
      <w:pPr>
        <w:spacing w:after="0" w:line="46" w:lineRule="exact"/>
        <w:rPr>
          <w:sz w:val="20"/>
          <w:szCs w:val="20"/>
          <w:color w:val="auto"/>
        </w:rPr>
      </w:pPr>
    </w:p>
    <w:p>
      <w:pPr>
        <w:ind w:left="800" w:hanging="684"/>
        <w:spacing w:after="0"/>
        <w:tabs>
          <w:tab w:leader="none" w:pos="800" w:val="left"/>
        </w:tabs>
        <w:numPr>
          <w:ilvl w:val="0"/>
          <w:numId w:val="92"/>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20"/>
          </w:cols>
          <w:pgMar w:left="320" w:top="459" w:right="45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8" w:lineRule="exact"/>
        <w:rPr>
          <w:sz w:val="20"/>
          <w:szCs w:val="20"/>
          <w:color w:val="auto"/>
        </w:rPr>
      </w:pPr>
    </w:p>
    <w:p>
      <w:pPr>
        <w:ind w:left="280" w:hanging="164"/>
        <w:spacing w:after="0"/>
        <w:tabs>
          <w:tab w:leader="none" w:pos="280" w:val="left"/>
        </w:tabs>
        <w:numPr>
          <w:ilvl w:val="0"/>
          <w:numId w:val="93"/>
        </w:numPr>
        <w:rPr>
          <w:rFonts w:ascii="Arial" w:cs="Arial" w:eastAsia="Arial" w:hAnsi="Arial"/>
          <w:sz w:val="11"/>
          <w:szCs w:val="11"/>
          <w:color w:val="auto"/>
        </w:rPr>
      </w:pPr>
      <w:r>
        <w:rPr>
          <w:rFonts w:ascii="Arial" w:cs="Arial" w:eastAsia="Arial" w:hAnsi="Arial"/>
          <w:sz w:val="13"/>
          <w:szCs w:val="13"/>
          <w:color w:val="auto"/>
        </w:rPr>
        <w:t>Unless otherwise indicated, the address of each of the named parties in this table is: c/o Wynn Resorts, Limited, 3131 Las Vegas Boulevard South, Las Vegas, Nevada 89109.</w:t>
      </w:r>
    </w:p>
    <w:p>
      <w:pPr>
        <w:spacing w:after="0" w:line="93" w:lineRule="exact"/>
        <w:rPr>
          <w:rFonts w:ascii="Arial" w:cs="Arial" w:eastAsia="Arial" w:hAnsi="Arial"/>
          <w:sz w:val="11"/>
          <w:szCs w:val="11"/>
          <w:color w:val="auto"/>
        </w:rPr>
      </w:pPr>
    </w:p>
    <w:p>
      <w:pPr>
        <w:ind w:left="120" w:right="100" w:hanging="4"/>
        <w:spacing w:after="0" w:line="225" w:lineRule="auto"/>
        <w:tabs>
          <w:tab w:leader="none" w:pos="286" w:val="left"/>
        </w:tabs>
        <w:numPr>
          <w:ilvl w:val="0"/>
          <w:numId w:val="93"/>
        </w:numPr>
        <w:rPr>
          <w:rFonts w:ascii="Arial" w:cs="Arial" w:eastAsia="Arial" w:hAnsi="Arial"/>
          <w:sz w:val="11"/>
          <w:szCs w:val="11"/>
          <w:color w:val="auto"/>
        </w:rPr>
      </w:pPr>
      <w:r>
        <w:rPr>
          <w:rFonts w:ascii="Arial" w:cs="Arial" w:eastAsia="Arial" w:hAnsi="Arial"/>
          <w:sz w:val="13"/>
          <w:szCs w:val="13"/>
          <w:color w:val="auto"/>
        </w:rPr>
        <w:t>T. Rowe Price Associates, Inc. (“Price Associates”) has beneficial ownership of these shares as of December 31, 2020. Price Associates has sole dispositive power as to 10,877,067 shares, and sole voting power as to 4,993,108 shares. The information provided is based upon a Schedule 13G/A filed on February 16, 2021 by Price Associates. The number of common shares beneficially owned by Price Associates may have changed since the filing of the Schedule 13G/A.</w:t>
      </w:r>
    </w:p>
    <w:p>
      <w:pPr>
        <w:spacing w:after="0" w:line="92" w:lineRule="exact"/>
        <w:rPr>
          <w:rFonts w:ascii="Arial" w:cs="Arial" w:eastAsia="Arial" w:hAnsi="Arial"/>
          <w:sz w:val="11"/>
          <w:szCs w:val="11"/>
          <w:color w:val="auto"/>
        </w:rPr>
      </w:pPr>
    </w:p>
    <w:p>
      <w:pPr>
        <w:jc w:val="both"/>
        <w:ind w:left="120" w:right="240" w:hanging="4"/>
        <w:spacing w:after="0" w:line="225" w:lineRule="auto"/>
        <w:tabs>
          <w:tab w:leader="none" w:pos="286" w:val="left"/>
        </w:tabs>
        <w:numPr>
          <w:ilvl w:val="0"/>
          <w:numId w:val="93"/>
        </w:numPr>
        <w:rPr>
          <w:rFonts w:ascii="Arial" w:cs="Arial" w:eastAsia="Arial" w:hAnsi="Arial"/>
          <w:sz w:val="11"/>
          <w:szCs w:val="11"/>
          <w:color w:val="auto"/>
        </w:rPr>
      </w:pPr>
      <w:r>
        <w:rPr>
          <w:rFonts w:ascii="Arial" w:cs="Arial" w:eastAsia="Arial" w:hAnsi="Arial"/>
          <w:sz w:val="13"/>
          <w:szCs w:val="13"/>
          <w:color w:val="auto"/>
        </w:rPr>
        <w:t>The Vanguard Group (“Vanguard”) has beneficial ownership of these shares as of December 31, 2020. Vanguard has sole dispositive power as to 9,664,102 shares, shared voting power as to 156,753 shares and shared dispositive power as to 416,612 shares. The information provided is based upon a Schedule 13G/A filed on February 10, 2021 by Vanguard. The number of common shares beneficially owned by the Vanguard Group may have changed since the filing of the Schedule 13G/A.</w:t>
      </w:r>
    </w:p>
    <w:p>
      <w:pPr>
        <w:spacing w:after="0" w:line="92" w:lineRule="exact"/>
        <w:rPr>
          <w:rFonts w:ascii="Arial" w:cs="Arial" w:eastAsia="Arial" w:hAnsi="Arial"/>
          <w:sz w:val="11"/>
          <w:szCs w:val="11"/>
          <w:color w:val="auto"/>
        </w:rPr>
      </w:pPr>
    </w:p>
    <w:p>
      <w:pPr>
        <w:ind w:left="280" w:hanging="164"/>
        <w:spacing w:after="0"/>
        <w:tabs>
          <w:tab w:leader="none" w:pos="280" w:val="left"/>
        </w:tabs>
        <w:numPr>
          <w:ilvl w:val="0"/>
          <w:numId w:val="93"/>
        </w:numPr>
        <w:rPr>
          <w:rFonts w:ascii="Arial" w:cs="Arial" w:eastAsia="Arial" w:hAnsi="Arial"/>
          <w:sz w:val="11"/>
          <w:szCs w:val="11"/>
          <w:color w:val="auto"/>
        </w:rPr>
      </w:pPr>
      <w:r>
        <w:rPr>
          <w:rFonts w:ascii="Arial" w:cs="Arial" w:eastAsia="Arial" w:hAnsi="Arial"/>
          <w:sz w:val="13"/>
          <w:szCs w:val="13"/>
          <w:color w:val="auto"/>
        </w:rPr>
        <w:t>The information provided is based upon a Schedule 13D/A, dated August 6, 2018, filed by Elaine P. Wynn.</w:t>
      </w:r>
    </w:p>
    <w:p>
      <w:pPr>
        <w:spacing w:after="0" w:line="93" w:lineRule="exact"/>
        <w:rPr>
          <w:rFonts w:ascii="Arial" w:cs="Arial" w:eastAsia="Arial" w:hAnsi="Arial"/>
          <w:sz w:val="11"/>
          <w:szCs w:val="11"/>
          <w:color w:val="auto"/>
        </w:rPr>
      </w:pPr>
    </w:p>
    <w:p>
      <w:pPr>
        <w:ind w:left="120" w:right="100" w:hanging="4"/>
        <w:spacing w:after="0" w:line="225" w:lineRule="auto"/>
        <w:tabs>
          <w:tab w:leader="none" w:pos="286" w:val="left"/>
        </w:tabs>
        <w:numPr>
          <w:ilvl w:val="0"/>
          <w:numId w:val="93"/>
        </w:numPr>
        <w:rPr>
          <w:rFonts w:ascii="Arial" w:cs="Arial" w:eastAsia="Arial" w:hAnsi="Arial"/>
          <w:sz w:val="11"/>
          <w:szCs w:val="11"/>
          <w:color w:val="auto"/>
        </w:rPr>
      </w:pPr>
      <w:r>
        <w:rPr>
          <w:rFonts w:ascii="Arial" w:cs="Arial" w:eastAsia="Arial" w:hAnsi="Arial"/>
          <w:sz w:val="13"/>
          <w:szCs w:val="13"/>
          <w:color w:val="auto"/>
        </w:rPr>
        <w:t>Capital International Investors, a division of Capital Research and Management Company, has beneficial ownership of these shares as of December 31, 2020. Capital International Investors has sole dispositive power as to 6,937,229 shares, and sole voting power as to 6,709,625 shares. The information provided is based upon a Schedule 13G filed on February 16, 2021 by Capital International Investors. The number of common shares beneficially owned by Capital International Investors may have changed since the filing of the Schedule 13G.</w:t>
      </w:r>
    </w:p>
    <w:p>
      <w:pPr>
        <w:spacing w:after="0" w:line="92" w:lineRule="exact"/>
        <w:rPr>
          <w:rFonts w:ascii="Arial" w:cs="Arial" w:eastAsia="Arial" w:hAnsi="Arial"/>
          <w:sz w:val="11"/>
          <w:szCs w:val="11"/>
          <w:color w:val="auto"/>
        </w:rPr>
      </w:pPr>
    </w:p>
    <w:p>
      <w:pPr>
        <w:ind w:left="120" w:right="320" w:hanging="4"/>
        <w:spacing w:after="0" w:line="225" w:lineRule="auto"/>
        <w:tabs>
          <w:tab w:leader="none" w:pos="286" w:val="left"/>
        </w:tabs>
        <w:numPr>
          <w:ilvl w:val="0"/>
          <w:numId w:val="93"/>
        </w:numPr>
        <w:rPr>
          <w:rFonts w:ascii="Arial" w:cs="Arial" w:eastAsia="Arial" w:hAnsi="Arial"/>
          <w:sz w:val="11"/>
          <w:szCs w:val="11"/>
          <w:color w:val="auto"/>
        </w:rPr>
      </w:pPr>
      <w:r>
        <w:rPr>
          <w:rFonts w:ascii="Arial" w:cs="Arial" w:eastAsia="Arial" w:hAnsi="Arial"/>
          <w:sz w:val="13"/>
          <w:szCs w:val="13"/>
          <w:color w:val="auto"/>
        </w:rPr>
        <w:t>Blackrock, Inc. (“Blackrock”) has beneficial ownership of these shares as of December 31, 2020. Blackrock has sole dispositive power as to 6,740,071 shares, and sole voting power as to 6,037,487 shares. The information provided is based upon a Schedule 13G/A filed on February 1, 2021 by Blackrock. The number of common shares beneficially owned by Blackrock may have changed since the filing of the Schedule 13G/A.</w:t>
      </w:r>
    </w:p>
    <w:p>
      <w:pPr>
        <w:spacing w:after="0" w:line="92" w:lineRule="exact"/>
        <w:rPr>
          <w:rFonts w:ascii="Arial" w:cs="Arial" w:eastAsia="Arial" w:hAnsi="Arial"/>
          <w:sz w:val="11"/>
          <w:szCs w:val="11"/>
          <w:color w:val="auto"/>
        </w:rPr>
      </w:pPr>
    </w:p>
    <w:p>
      <w:pPr>
        <w:ind w:left="280" w:hanging="164"/>
        <w:spacing w:after="0"/>
        <w:tabs>
          <w:tab w:leader="none" w:pos="280"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(i) 4,650 shares of unvested restricted stock subject to vesting in accordance with Restricted Stock Agreements and (ii) 11,995 shares held indirectly through a family trust.</w:t>
      </w:r>
    </w:p>
    <w:p>
      <w:pPr>
        <w:spacing w:after="0" w:line="93" w:lineRule="exact"/>
        <w:rPr>
          <w:rFonts w:ascii="Arial" w:cs="Arial" w:eastAsia="Arial" w:hAnsi="Arial"/>
          <w:sz w:val="11"/>
          <w:szCs w:val="11"/>
          <w:color w:val="auto"/>
        </w:rPr>
      </w:pPr>
    </w:p>
    <w:p>
      <w:pPr>
        <w:ind w:left="280" w:hanging="164"/>
        <w:spacing w:after="0"/>
        <w:tabs>
          <w:tab w:leader="none" w:pos="280"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5,305 shares of unvested restricted stock subject to vesting in accordance with Restricted Stock Agreements.</w:t>
      </w:r>
    </w:p>
    <w:p>
      <w:pPr>
        <w:spacing w:after="0" w:line="93" w:lineRule="exact"/>
        <w:rPr>
          <w:rFonts w:ascii="Arial" w:cs="Arial" w:eastAsia="Arial" w:hAnsi="Arial"/>
          <w:sz w:val="11"/>
          <w:szCs w:val="11"/>
          <w:color w:val="auto"/>
        </w:rPr>
      </w:pPr>
    </w:p>
    <w:p>
      <w:pPr>
        <w:ind w:left="340" w:hanging="224"/>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4,650 shares of unvested restricted stock subject to vesting in accordance with a Restricted Stock Agreement.</w:t>
      </w:r>
    </w:p>
    <w:p>
      <w:pPr>
        <w:spacing w:after="0" w:line="93" w:lineRule="exact"/>
        <w:rPr>
          <w:rFonts w:ascii="Arial" w:cs="Arial" w:eastAsia="Arial" w:hAnsi="Arial"/>
          <w:sz w:val="11"/>
          <w:szCs w:val="11"/>
          <w:color w:val="auto"/>
        </w:rPr>
      </w:pPr>
    </w:p>
    <w:p>
      <w:pPr>
        <w:ind w:left="340" w:hanging="224"/>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5,305 shares of unvested restricted stock subject to vesting in accordance with Restricted Stock Agreements.</w:t>
      </w:r>
    </w:p>
    <w:p>
      <w:pPr>
        <w:spacing w:after="0" w:line="93" w:lineRule="exact"/>
        <w:rPr>
          <w:rFonts w:ascii="Arial" w:cs="Arial" w:eastAsia="Arial" w:hAnsi="Arial"/>
          <w:sz w:val="11"/>
          <w:szCs w:val="11"/>
          <w:color w:val="auto"/>
        </w:rPr>
      </w:pPr>
    </w:p>
    <w:p>
      <w:pPr>
        <w:ind w:left="340" w:hanging="224"/>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5,305 shares of unvested restricted stock subject to vesting in accordance with Restricted Stock Agreements.</w:t>
      </w:r>
    </w:p>
    <w:p>
      <w:pPr>
        <w:spacing w:after="0" w:line="93" w:lineRule="exact"/>
        <w:rPr>
          <w:rFonts w:ascii="Arial" w:cs="Arial" w:eastAsia="Arial" w:hAnsi="Arial"/>
          <w:sz w:val="11"/>
          <w:szCs w:val="11"/>
          <w:color w:val="auto"/>
        </w:rPr>
      </w:pPr>
    </w:p>
    <w:p>
      <w:pPr>
        <w:ind w:left="120" w:right="520" w:hanging="4"/>
        <w:spacing w:after="0" w:line="230" w:lineRule="auto"/>
        <w:tabs>
          <w:tab w:leader="none" w:pos="345"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(i) 5,843 shares of unvested restricted stock subject to vesting in accordance with Restricted Stock Agreements, (ii) 10,000 shares subject to immediately exercisable options to purchase Wynn Resorts’ Common Stock, and (iii) 1,403 shares held indirectly through a family trust.</w:t>
      </w:r>
    </w:p>
    <w:p>
      <w:pPr>
        <w:spacing w:after="0" w:line="91" w:lineRule="exact"/>
        <w:rPr>
          <w:rFonts w:ascii="Arial" w:cs="Arial" w:eastAsia="Arial" w:hAnsi="Arial"/>
          <w:sz w:val="11"/>
          <w:szCs w:val="11"/>
          <w:color w:val="auto"/>
        </w:rPr>
      </w:pPr>
    </w:p>
    <w:p>
      <w:pPr>
        <w:ind w:left="120" w:right="40" w:hanging="4"/>
        <w:spacing w:after="0" w:line="230" w:lineRule="auto"/>
        <w:tabs>
          <w:tab w:leader="none" w:pos="345"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(i) 5,843 shares of unvested restricted stock subject to vesting in accordance with Restricted Stock Agreements, (ii) 6,700 shares subject to immediately exercisable options to purchase Wynn Resorts’ Common Stock and (iii) 3,082 shares held indirectly through a family trust.</w:t>
      </w:r>
    </w:p>
    <w:p>
      <w:pPr>
        <w:spacing w:after="0" w:line="91" w:lineRule="exact"/>
        <w:rPr>
          <w:rFonts w:ascii="Arial" w:cs="Arial" w:eastAsia="Arial" w:hAnsi="Arial"/>
          <w:sz w:val="11"/>
          <w:szCs w:val="11"/>
          <w:color w:val="auto"/>
        </w:rPr>
      </w:pPr>
    </w:p>
    <w:p>
      <w:pPr>
        <w:ind w:left="120" w:right="400" w:hanging="4"/>
        <w:spacing w:after="0" w:line="230" w:lineRule="auto"/>
        <w:tabs>
          <w:tab w:leader="none" w:pos="345"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(i) 5,843 shares of unvested restricted stock subject to vesting in accordance with Restricted Stock Agreements and (ii) 7,000 shares subject to immediately exercisable options to purchase Wynn Resorts’ Common Stock.</w:t>
      </w:r>
    </w:p>
    <w:p>
      <w:pPr>
        <w:spacing w:after="0" w:line="91" w:lineRule="exact"/>
        <w:rPr>
          <w:rFonts w:ascii="Arial" w:cs="Arial" w:eastAsia="Arial" w:hAnsi="Arial"/>
          <w:sz w:val="11"/>
          <w:szCs w:val="11"/>
          <w:color w:val="auto"/>
        </w:rPr>
      </w:pPr>
    </w:p>
    <w:p>
      <w:pPr>
        <w:ind w:left="340" w:hanging="224"/>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257,879 shares of unvested restricted stock subject to vesting in accordance with Restricted Stock Agreements.</w:t>
      </w:r>
    </w:p>
    <w:p>
      <w:pPr>
        <w:spacing w:after="0" w:line="93" w:lineRule="exact"/>
        <w:rPr>
          <w:rFonts w:ascii="Arial" w:cs="Arial" w:eastAsia="Arial" w:hAnsi="Arial"/>
          <w:sz w:val="11"/>
          <w:szCs w:val="11"/>
          <w:color w:val="auto"/>
        </w:rPr>
      </w:pPr>
    </w:p>
    <w:p>
      <w:pPr>
        <w:ind w:left="340" w:hanging="224"/>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78,598 shares of unvested restricted stock subject to vesting in accordance with Restricted Stock Agreements.</w:t>
      </w:r>
    </w:p>
    <w:p>
      <w:pPr>
        <w:spacing w:after="0" w:line="93" w:lineRule="exact"/>
        <w:rPr>
          <w:rFonts w:ascii="Arial" w:cs="Arial" w:eastAsia="Arial" w:hAnsi="Arial"/>
          <w:sz w:val="11"/>
          <w:szCs w:val="11"/>
          <w:color w:val="auto"/>
        </w:rPr>
      </w:pPr>
    </w:p>
    <w:p>
      <w:pPr>
        <w:ind w:left="340" w:hanging="224"/>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33,434 shares of unvested restricted stock subject to vesting in accordance with Restricted Stock Agreements.</w:t>
      </w:r>
    </w:p>
    <w:p>
      <w:pPr>
        <w:spacing w:after="0" w:line="93" w:lineRule="exact"/>
        <w:rPr>
          <w:rFonts w:ascii="Arial" w:cs="Arial" w:eastAsia="Arial" w:hAnsi="Arial"/>
          <w:sz w:val="11"/>
          <w:szCs w:val="11"/>
          <w:color w:val="auto"/>
        </w:rPr>
      </w:pPr>
    </w:p>
    <w:p>
      <w:pPr>
        <w:ind w:left="340" w:hanging="224"/>
        <w:spacing w:after="0"/>
        <w:tabs>
          <w:tab w:leader="none" w:pos="340" w:val="left"/>
        </w:tabs>
        <w:numPr>
          <w:ilvl w:val="0"/>
          <w:numId w:val="93"/>
        </w:numPr>
        <w:rPr>
          <w:rFonts w:ascii="Arial" w:cs="Arial" w:eastAsia="Arial" w:hAnsi="Arial"/>
          <w:sz w:val="11"/>
          <w:szCs w:val="11"/>
          <w:color w:val="auto"/>
        </w:rPr>
      </w:pPr>
      <w:r>
        <w:rPr>
          <w:rFonts w:ascii="Arial" w:cs="Arial" w:eastAsia="Arial" w:hAnsi="Arial"/>
          <w:sz w:val="13"/>
          <w:szCs w:val="13"/>
          <w:color w:val="auto"/>
        </w:rPr>
        <w:t>Includes 23,700 shares subject to immediately exercisable stock options to purchase Wynn Resorts’ Common Stock.</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31"/>
          <w:szCs w:val="31"/>
          <w:color w:val="0A1E42"/>
        </w:rPr>
        <w:t>Section 16(a) beneficial ownership reporting compliance</w:t>
      </w:r>
    </w:p>
    <w:p>
      <w:pPr>
        <w:spacing w:after="0" w:line="22"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Section 16(a) of the Exchange Act requires the Company’s executive officers and directors and persons who own more than 10% of the Company’s Common Stock to file reports of ownership on Forms 3, 4 and 5 with the SEC. Executive officers, directors and greater than 10% beneficial owners are also required to furnish the Company with copies of all Forms 3, 4 and 5 they file. Based solely on the Company’s review of the copies of such forms it has received, the Company believes that all its executive officers, directors and greater than 10% beneficial owners complied with all the filing requirements applicable to them with respect to transactions during 2020 except for the following:</w:t>
      </w:r>
    </w:p>
    <w:p>
      <w:pPr>
        <w:spacing w:after="0" w:line="97" w:lineRule="exact"/>
        <w:rPr>
          <w:sz w:val="20"/>
          <w:szCs w:val="20"/>
          <w:color w:val="auto"/>
        </w:rPr>
      </w:pPr>
    </w:p>
    <w:p>
      <w:pPr>
        <w:ind w:left="120" w:right="20" w:hanging="4"/>
        <w:spacing w:after="0"/>
        <w:tabs>
          <w:tab w:leader="none" w:pos="3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due to a miscommunication in resetting the password for Edgar, a statement of changes in beneficial ownership of securities on Form 4 for Richard J. Byrne was not timely filed for the grant of restricted stock to him on June 24, 2020. The Form 4 for Mr. Byrne was filed on June 30, 2020; and</w:t>
      </w:r>
    </w:p>
    <w:p>
      <w:pPr>
        <w:spacing w:after="0" w:line="94" w:lineRule="exact"/>
        <w:rPr>
          <w:rFonts w:ascii="Arial" w:cs="Arial" w:eastAsia="Arial" w:hAnsi="Arial"/>
          <w:sz w:val="18"/>
          <w:szCs w:val="18"/>
          <w:color w:val="auto"/>
        </w:rPr>
      </w:pPr>
    </w:p>
    <w:p>
      <w:pPr>
        <w:ind w:left="120" w:right="420" w:hanging="4"/>
        <w:spacing w:after="0"/>
        <w:tabs>
          <w:tab w:leader="none" w:pos="39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due to a miscommunication between the broker and the Company, a statement of changes in beneficial ownership of securities on Form 4 for Pat Mulroy was not timely filed for a disposition of stock on November 16, 2020. The Form 4 for Ms. Mulroy was filed on November 20, 2020.</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65</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357505</wp:posOffset>
            </wp:positionV>
            <wp:extent cx="7029450" cy="91554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spacing w:after="0"/>
        <w:rPr>
          <w:sz w:val="20"/>
          <w:szCs w:val="20"/>
          <w:color w:val="auto"/>
        </w:rPr>
      </w:pPr>
      <w:r>
        <w:rPr>
          <w:rFonts w:ascii="Arial" w:cs="Arial" w:eastAsia="Arial" w:hAnsi="Arial"/>
          <w:sz w:val="31"/>
          <w:szCs w:val="31"/>
          <w:color w:val="331E19"/>
        </w:rPr>
        <w:t>Proposal 1: Election of directors</w:t>
      </w:r>
    </w:p>
    <w:p>
      <w:pPr>
        <w:spacing w:after="0" w:line="211" w:lineRule="exact"/>
        <w:rPr>
          <w:sz w:val="20"/>
          <w:szCs w:val="20"/>
          <w:color w:val="auto"/>
        </w:rPr>
      </w:pPr>
    </w:p>
    <w:p>
      <w:pPr>
        <w:ind w:left="120" w:right="560"/>
        <w:spacing w:after="0" w:line="246" w:lineRule="auto"/>
        <w:rPr>
          <w:sz w:val="20"/>
          <w:szCs w:val="20"/>
          <w:color w:val="auto"/>
        </w:rPr>
      </w:pPr>
      <w:r>
        <w:rPr>
          <w:rFonts w:ascii="Arial" w:cs="Arial" w:eastAsia="Arial" w:hAnsi="Arial"/>
          <w:sz w:val="18"/>
          <w:szCs w:val="18"/>
          <w:color w:val="auto"/>
        </w:rPr>
        <w:t>At the recommendation of the Company’s Nominating and Corporate Governance Committee, the Board is nominating the following individuals for election as Class I directors:</w:t>
      </w:r>
    </w:p>
    <w:p>
      <w:pPr>
        <w:spacing w:after="0" w:line="21" w:lineRule="exact"/>
        <w:rPr>
          <w:sz w:val="20"/>
          <w:szCs w:val="20"/>
          <w:color w:val="auto"/>
        </w:rPr>
      </w:pPr>
    </w:p>
    <w:p>
      <w:pPr>
        <w:ind w:left="340" w:hanging="224"/>
        <w:spacing w:after="0"/>
        <w:tabs>
          <w:tab w:leader="none" w:pos="340" w:val="left"/>
        </w:tabs>
        <w:numPr>
          <w:ilvl w:val="0"/>
          <w:numId w:val="95"/>
        </w:numPr>
        <w:rPr>
          <w:rFonts w:ascii="Arial" w:cs="Arial" w:eastAsia="Arial" w:hAnsi="Arial"/>
          <w:sz w:val="18"/>
          <w:szCs w:val="18"/>
          <w:color w:val="FCD83F"/>
        </w:rPr>
      </w:pPr>
      <w:r>
        <w:rPr>
          <w:rFonts w:ascii="Arial" w:cs="Arial" w:eastAsia="Arial" w:hAnsi="Arial"/>
          <w:sz w:val="18"/>
          <w:szCs w:val="18"/>
          <w:color w:val="auto"/>
        </w:rPr>
        <w:t>Betsy S. Atkins</w:t>
      </w:r>
    </w:p>
    <w:p>
      <w:pPr>
        <w:spacing w:after="0" w:line="36" w:lineRule="exact"/>
        <w:rPr>
          <w:rFonts w:ascii="Arial" w:cs="Arial" w:eastAsia="Arial" w:hAnsi="Arial"/>
          <w:sz w:val="18"/>
          <w:szCs w:val="18"/>
          <w:color w:val="FCD83F"/>
        </w:rPr>
      </w:pPr>
    </w:p>
    <w:p>
      <w:pPr>
        <w:ind w:left="340" w:hanging="224"/>
        <w:spacing w:after="0"/>
        <w:tabs>
          <w:tab w:leader="none" w:pos="340" w:val="left"/>
        </w:tabs>
        <w:numPr>
          <w:ilvl w:val="0"/>
          <w:numId w:val="95"/>
        </w:numPr>
        <w:rPr>
          <w:rFonts w:ascii="Arial" w:cs="Arial" w:eastAsia="Arial" w:hAnsi="Arial"/>
          <w:sz w:val="18"/>
          <w:szCs w:val="18"/>
          <w:color w:val="FCD83F"/>
        </w:rPr>
      </w:pPr>
      <w:r>
        <w:rPr>
          <w:rFonts w:ascii="Arial" w:cs="Arial" w:eastAsia="Arial" w:hAnsi="Arial"/>
          <w:sz w:val="18"/>
          <w:szCs w:val="18"/>
          <w:color w:val="auto"/>
        </w:rPr>
        <w:t>Matthew O. Maddox</w:t>
      </w:r>
    </w:p>
    <w:p>
      <w:pPr>
        <w:spacing w:after="0" w:line="36" w:lineRule="exact"/>
        <w:rPr>
          <w:rFonts w:ascii="Arial" w:cs="Arial" w:eastAsia="Arial" w:hAnsi="Arial"/>
          <w:sz w:val="18"/>
          <w:szCs w:val="18"/>
          <w:color w:val="FCD83F"/>
        </w:rPr>
      </w:pPr>
    </w:p>
    <w:p>
      <w:pPr>
        <w:ind w:left="340" w:hanging="224"/>
        <w:spacing w:after="0"/>
        <w:tabs>
          <w:tab w:leader="none" w:pos="340" w:val="left"/>
        </w:tabs>
        <w:numPr>
          <w:ilvl w:val="0"/>
          <w:numId w:val="95"/>
        </w:numPr>
        <w:rPr>
          <w:rFonts w:ascii="Arial" w:cs="Arial" w:eastAsia="Arial" w:hAnsi="Arial"/>
          <w:sz w:val="18"/>
          <w:szCs w:val="18"/>
          <w:color w:val="FCD83F"/>
        </w:rPr>
      </w:pPr>
      <w:r>
        <w:rPr>
          <w:rFonts w:ascii="Arial" w:cs="Arial" w:eastAsia="Arial" w:hAnsi="Arial"/>
          <w:sz w:val="18"/>
          <w:szCs w:val="18"/>
          <w:color w:val="auto"/>
        </w:rPr>
        <w:t>Philip G. Satre</w:t>
      </w:r>
    </w:p>
    <w:p>
      <w:pPr>
        <w:spacing w:after="0" w:line="36" w:lineRule="exact"/>
        <w:rPr>
          <w:rFonts w:ascii="Arial" w:cs="Arial" w:eastAsia="Arial" w:hAnsi="Arial"/>
          <w:sz w:val="18"/>
          <w:szCs w:val="18"/>
          <w:color w:val="FCD83F"/>
        </w:rPr>
      </w:pPr>
    </w:p>
    <w:p>
      <w:pPr>
        <w:ind w:left="340" w:hanging="224"/>
        <w:spacing w:after="0"/>
        <w:tabs>
          <w:tab w:leader="none" w:pos="340" w:val="left"/>
        </w:tabs>
        <w:numPr>
          <w:ilvl w:val="0"/>
          <w:numId w:val="95"/>
        </w:numPr>
        <w:rPr>
          <w:rFonts w:ascii="Arial" w:cs="Arial" w:eastAsia="Arial" w:hAnsi="Arial"/>
          <w:sz w:val="18"/>
          <w:szCs w:val="18"/>
          <w:color w:val="FCD83F"/>
        </w:rPr>
      </w:pPr>
      <w:r>
        <w:rPr>
          <w:rFonts w:ascii="Arial" w:cs="Arial" w:eastAsia="Arial" w:hAnsi="Arial"/>
          <w:sz w:val="18"/>
          <w:szCs w:val="18"/>
          <w:color w:val="auto"/>
        </w:rPr>
        <w:t>Darnell O. Strom</w:t>
      </w:r>
    </w:p>
    <w:p>
      <w:pPr>
        <w:spacing w:after="0" w:line="171"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The Board has nominated the four individuals listed above to serve as Class I directors for terms that commence upon election at the 2021 Annual Meeting. If elected at the 2021 Annual Meeting, each nominee would serve until the 2024 Annual Meeting and until his or her successor has been duly elected and qualified, or until his or her earlier death, resignation, removal or retirement. The persons designated as proxies will have discretion to cast votes for other persons in the event any nominee for director is unable to serve, or the Board may choose to reduce the size of the Board. At present, it is not anticipated that any nominee will be unable to serve. If any director nominee is not elected at the 2021 Annual Meeting, the remaining members of the Board may fill the resulting vacancy, or the Board may choose to reduce the size of the Board. Biographical and other information for our nominees and our current directors is provided in the “Director Biographies” section.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CD83F"/>
        </w:rPr>
        <w:t>OUR BOARD OF DIRECTORS RECOMMENDS THAT YOU VOTE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FCD83F"/>
        </w:rPr>
        <w:t>FOR THE ELECTION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Arial" w:cs="Arial" w:eastAsia="Arial" w:hAnsi="Arial"/>
          <w:sz w:val="31"/>
          <w:szCs w:val="31"/>
          <w:color w:val="331E19"/>
        </w:rPr>
        <w:t>Proposal 2: Ratification of appointment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31"/>
          <w:szCs w:val="31"/>
          <w:color w:val="331E19"/>
        </w:rPr>
        <w:t>of independent auditors</w:t>
      </w:r>
    </w:p>
    <w:p>
      <w:pPr>
        <w:spacing w:after="0" w:line="185" w:lineRule="exact"/>
        <w:rPr>
          <w:sz w:val="20"/>
          <w:szCs w:val="20"/>
          <w:color w:val="auto"/>
        </w:rPr>
      </w:pPr>
    </w:p>
    <w:p>
      <w:pPr>
        <w:ind w:left="120" w:right="300"/>
        <w:spacing w:after="0" w:line="238" w:lineRule="auto"/>
        <w:rPr>
          <w:sz w:val="20"/>
          <w:szCs w:val="20"/>
          <w:color w:val="auto"/>
        </w:rPr>
      </w:pPr>
      <w:r>
        <w:rPr>
          <w:rFonts w:ascii="Arial" w:cs="Arial" w:eastAsia="Arial" w:hAnsi="Arial"/>
          <w:sz w:val="18"/>
          <w:szCs w:val="18"/>
          <w:color w:val="auto"/>
        </w:rPr>
        <w:t>The Audit Committee of the Board has selected Ernst &amp; Young LLP, a registered public accounting firm, as our independent auditors to examine and report to our shareholders on the consolidated financial statements of our Company and its subsidiaries for the fiscal year ending December 31, 2021. Representatives of Ernst &amp; Young LLP will participate in the virtual Annual Meeting and will be given an opportunity to make a statement. They also will be available to respond to appropriate questions.</w:t>
      </w:r>
    </w:p>
    <w:p>
      <w:pPr>
        <w:spacing w:after="0" w:line="164" w:lineRule="exact"/>
        <w:rPr>
          <w:sz w:val="20"/>
          <w:szCs w:val="20"/>
          <w:color w:val="auto"/>
        </w:rPr>
      </w:pPr>
    </w:p>
    <w:p>
      <w:pPr>
        <w:ind w:left="120" w:right="80"/>
        <w:spacing w:after="0" w:line="253" w:lineRule="auto"/>
        <w:rPr>
          <w:sz w:val="20"/>
          <w:szCs w:val="20"/>
          <w:color w:val="auto"/>
        </w:rPr>
      </w:pPr>
      <w:r>
        <w:rPr>
          <w:rFonts w:ascii="Arial" w:cs="Arial" w:eastAsia="Arial" w:hAnsi="Arial"/>
          <w:sz w:val="17"/>
          <w:szCs w:val="17"/>
          <w:color w:val="auto"/>
        </w:rPr>
        <w:t>As a matter of good corporate governance, the Audit Committee has determined to seek shareholder ratification of its selection of Ernst &amp; Young LLP as the Company’s independent auditors, although this is not required under Nevada law, the Company’s Articles or Bylaws, SEC rules or applicable listing standards. If the shareholders do not ratify the selection of Ernst &amp; Young LLP as the Company’s independent auditors for 2021, the Audit Committee will evaluate what would be in the best interests of the Company and its shareholders and consider whether to select new independent auditors. Even if the shareholders ratify the selection of Ernst &amp; Young LLP, the Audit Committee, in its discretion, may direct the appointment of a different independent public accounting firm at any time during the year if the Audit Committee determines that such a change would be in the best interests of the Company and its shareholders.</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69</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2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AUDIT AND OTHER FEES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presents the aggregate fees billed (or expected to be billed) to the Company for audit and other services provided by</w:t>
      </w:r>
    </w:p>
    <w:p>
      <w:pPr>
        <w:ind w:left="120"/>
        <w:spacing w:after="0"/>
        <w:rPr>
          <w:sz w:val="20"/>
          <w:szCs w:val="20"/>
          <w:color w:val="auto"/>
        </w:rPr>
      </w:pPr>
      <w:r>
        <w:rPr>
          <w:rFonts w:ascii="Arial" w:cs="Arial" w:eastAsia="Arial" w:hAnsi="Arial"/>
          <w:sz w:val="18"/>
          <w:szCs w:val="18"/>
          <w:color w:val="auto"/>
        </w:rPr>
        <w:t>Ernst &amp; Young LLP, the Company’s independent auditor, for each of the fiscal years ended December 31, 2020, and December 31, 2019:</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8500" w:type="dxa"/>
            <w:vAlign w:val="bottom"/>
            <w:shd w:val="clear" w:color="auto" w:fill="FCD83F"/>
          </w:tcPr>
          <w:p>
            <w:pPr>
              <w:spacing w:after="0"/>
              <w:rPr>
                <w:sz w:val="16"/>
                <w:szCs w:val="16"/>
                <w:color w:val="auto"/>
              </w:rPr>
            </w:pPr>
          </w:p>
        </w:tc>
        <w:tc>
          <w:tcPr>
            <w:tcW w:w="280" w:type="dxa"/>
            <w:vAlign w:val="bottom"/>
            <w:shd w:val="clear" w:color="auto" w:fill="FCD83F"/>
          </w:tcPr>
          <w:p>
            <w:pPr>
              <w:spacing w:after="0"/>
              <w:rPr>
                <w:sz w:val="16"/>
                <w:szCs w:val="16"/>
                <w:color w:val="auto"/>
              </w:rPr>
            </w:pPr>
          </w:p>
        </w:tc>
        <w:tc>
          <w:tcPr>
            <w:tcW w:w="2240" w:type="dxa"/>
            <w:vAlign w:val="bottom"/>
            <w:gridSpan w:val="3"/>
            <w:shd w:val="clear" w:color="auto" w:fill="FCD83F"/>
          </w:tcPr>
          <w:p>
            <w:pPr>
              <w:jc w:val="right"/>
              <w:ind w:right="752"/>
              <w:spacing w:after="0"/>
              <w:rPr>
                <w:sz w:val="20"/>
                <w:szCs w:val="20"/>
                <w:color w:val="auto"/>
              </w:rPr>
            </w:pPr>
            <w:r>
              <w:rPr>
                <w:rFonts w:ascii="Arial" w:cs="Arial" w:eastAsia="Arial" w:hAnsi="Arial"/>
                <w:sz w:val="11"/>
                <w:szCs w:val="11"/>
                <w:b w:val="1"/>
                <w:bCs w:val="1"/>
                <w:color w:val="FFFFFF"/>
              </w:rPr>
              <w:t>AGGREGATE FEES</w:t>
            </w:r>
          </w:p>
        </w:tc>
      </w:tr>
      <w:tr>
        <w:trPr>
          <w:trHeight w:val="283"/>
        </w:trPr>
        <w:tc>
          <w:tcPr>
            <w:tcW w:w="8500" w:type="dxa"/>
            <w:vAlign w:val="bottom"/>
            <w:shd w:val="clear" w:color="auto" w:fill="FCD83F"/>
          </w:tcPr>
          <w:p>
            <w:pPr>
              <w:ind w:left="60"/>
              <w:spacing w:after="0"/>
              <w:rPr>
                <w:sz w:val="20"/>
                <w:szCs w:val="20"/>
                <w:color w:val="auto"/>
              </w:rPr>
            </w:pPr>
            <w:r>
              <w:rPr>
                <w:rFonts w:ascii="Arial" w:cs="Arial" w:eastAsia="Arial" w:hAnsi="Arial"/>
                <w:sz w:val="11"/>
                <w:szCs w:val="11"/>
                <w:b w:val="1"/>
                <w:bCs w:val="1"/>
                <w:color w:val="FFFFFF"/>
              </w:rPr>
              <w:t>CATEGORY</w:t>
            </w:r>
          </w:p>
        </w:tc>
        <w:tc>
          <w:tcPr>
            <w:tcW w:w="280" w:type="dxa"/>
            <w:vAlign w:val="bottom"/>
            <w:shd w:val="clear" w:color="auto" w:fill="FCD83F"/>
          </w:tcPr>
          <w:p>
            <w:pPr>
              <w:spacing w:after="0"/>
              <w:rPr>
                <w:sz w:val="24"/>
                <w:szCs w:val="24"/>
                <w:color w:val="auto"/>
              </w:rPr>
            </w:pPr>
          </w:p>
        </w:tc>
        <w:tc>
          <w:tcPr>
            <w:tcW w:w="900" w:type="dxa"/>
            <w:vAlign w:val="bottom"/>
            <w:shd w:val="clear" w:color="auto" w:fill="FCD83F"/>
          </w:tcPr>
          <w:p>
            <w:pPr>
              <w:jc w:val="right"/>
              <w:ind w:right="414"/>
              <w:spacing w:after="0"/>
              <w:rPr>
                <w:sz w:val="20"/>
                <w:szCs w:val="20"/>
                <w:color w:val="auto"/>
              </w:rPr>
            </w:pPr>
            <w:r>
              <w:rPr>
                <w:rFonts w:ascii="Arial" w:cs="Arial" w:eastAsia="Arial" w:hAnsi="Arial"/>
                <w:sz w:val="11"/>
                <w:szCs w:val="11"/>
                <w:b w:val="1"/>
                <w:bCs w:val="1"/>
                <w:color w:val="FFFFFF"/>
              </w:rPr>
              <w:t>2020</w:t>
            </w:r>
          </w:p>
        </w:tc>
        <w:tc>
          <w:tcPr>
            <w:tcW w:w="360" w:type="dxa"/>
            <w:vAlign w:val="bottom"/>
            <w:shd w:val="clear" w:color="auto" w:fill="FCD83F"/>
          </w:tcPr>
          <w:p>
            <w:pPr>
              <w:spacing w:after="0"/>
              <w:rPr>
                <w:sz w:val="24"/>
                <w:szCs w:val="24"/>
                <w:color w:val="auto"/>
              </w:rPr>
            </w:pPr>
          </w:p>
        </w:tc>
        <w:tc>
          <w:tcPr>
            <w:tcW w:w="980" w:type="dxa"/>
            <w:vAlign w:val="bottom"/>
            <w:shd w:val="clear" w:color="auto" w:fill="FCD83F"/>
          </w:tcPr>
          <w:p>
            <w:pPr>
              <w:jc w:val="right"/>
              <w:ind w:right="492"/>
              <w:spacing w:after="0"/>
              <w:rPr>
                <w:sz w:val="20"/>
                <w:szCs w:val="20"/>
                <w:color w:val="auto"/>
              </w:rPr>
            </w:pPr>
            <w:r>
              <w:rPr>
                <w:rFonts w:ascii="Arial" w:cs="Arial" w:eastAsia="Arial" w:hAnsi="Arial"/>
                <w:sz w:val="11"/>
                <w:szCs w:val="11"/>
                <w:b w:val="1"/>
                <w:bCs w:val="1"/>
                <w:color w:val="FFFFFF"/>
              </w:rPr>
              <w:t>2019</w:t>
            </w:r>
          </w:p>
        </w:tc>
      </w:tr>
      <w:tr>
        <w:trPr>
          <w:trHeight w:val="103"/>
        </w:trPr>
        <w:tc>
          <w:tcPr>
            <w:tcW w:w="8500" w:type="dxa"/>
            <w:vAlign w:val="bottom"/>
            <w:shd w:val="clear" w:color="auto" w:fill="FCD83F"/>
          </w:tcPr>
          <w:p>
            <w:pPr>
              <w:spacing w:after="0"/>
              <w:rPr>
                <w:sz w:val="8"/>
                <w:szCs w:val="8"/>
                <w:color w:val="auto"/>
              </w:rPr>
            </w:pPr>
          </w:p>
        </w:tc>
        <w:tc>
          <w:tcPr>
            <w:tcW w:w="280" w:type="dxa"/>
            <w:vAlign w:val="bottom"/>
            <w:shd w:val="clear" w:color="auto" w:fill="FCD83F"/>
          </w:tcPr>
          <w:p>
            <w:pPr>
              <w:spacing w:after="0"/>
              <w:rPr>
                <w:sz w:val="8"/>
                <w:szCs w:val="8"/>
                <w:color w:val="auto"/>
              </w:rPr>
            </w:pPr>
          </w:p>
        </w:tc>
        <w:tc>
          <w:tcPr>
            <w:tcW w:w="900" w:type="dxa"/>
            <w:vAlign w:val="bottom"/>
            <w:shd w:val="clear" w:color="auto" w:fill="FCD83F"/>
          </w:tcPr>
          <w:p>
            <w:pPr>
              <w:spacing w:after="0"/>
              <w:rPr>
                <w:sz w:val="8"/>
                <w:szCs w:val="8"/>
                <w:color w:val="auto"/>
              </w:rPr>
            </w:pPr>
          </w:p>
        </w:tc>
        <w:tc>
          <w:tcPr>
            <w:tcW w:w="360" w:type="dxa"/>
            <w:vAlign w:val="bottom"/>
            <w:shd w:val="clear" w:color="auto" w:fill="FCD83F"/>
          </w:tcPr>
          <w:p>
            <w:pPr>
              <w:spacing w:after="0"/>
              <w:rPr>
                <w:sz w:val="8"/>
                <w:szCs w:val="8"/>
                <w:color w:val="auto"/>
              </w:rPr>
            </w:pPr>
          </w:p>
        </w:tc>
        <w:tc>
          <w:tcPr>
            <w:tcW w:w="980" w:type="dxa"/>
            <w:vAlign w:val="bottom"/>
            <w:shd w:val="clear" w:color="auto" w:fill="FCD83F"/>
          </w:tcPr>
          <w:p>
            <w:pPr>
              <w:spacing w:after="0"/>
              <w:rPr>
                <w:sz w:val="8"/>
                <w:szCs w:val="8"/>
                <w:color w:val="auto"/>
              </w:rPr>
            </w:pPr>
          </w:p>
        </w:tc>
      </w:tr>
      <w:tr>
        <w:trPr>
          <w:trHeight w:val="223"/>
        </w:trPr>
        <w:tc>
          <w:tcPr>
            <w:tcW w:w="8500" w:type="dxa"/>
            <w:vAlign w:val="bottom"/>
            <w:tcBorders>
              <w:bottom w:val="single" w:sz="8" w:color="FDF1BB"/>
            </w:tcBorders>
            <w:shd w:val="clear" w:color="auto" w:fill="FDF1BB"/>
          </w:tcPr>
          <w:p>
            <w:pPr>
              <w:ind w:left="60"/>
              <w:spacing w:after="0"/>
              <w:rPr>
                <w:sz w:val="20"/>
                <w:szCs w:val="20"/>
                <w:color w:val="auto"/>
              </w:rPr>
            </w:pPr>
            <w:r>
              <w:rPr>
                <w:rFonts w:ascii="Arial" w:cs="Arial" w:eastAsia="Arial" w:hAnsi="Arial"/>
                <w:sz w:val="14"/>
                <w:szCs w:val="14"/>
                <w:color w:val="auto"/>
              </w:rPr>
              <w:t>Audit fees</w:t>
            </w:r>
          </w:p>
        </w:tc>
        <w:tc>
          <w:tcPr>
            <w:tcW w:w="280" w:type="dxa"/>
            <w:vAlign w:val="bottom"/>
            <w:tcBorders>
              <w:bottom w:val="single" w:sz="8" w:color="FDF1BB"/>
            </w:tcBorders>
            <w:shd w:val="clear" w:color="auto" w:fill="FDF1BB"/>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DF1BB"/>
            </w:tcBorders>
            <w:shd w:val="clear" w:color="auto" w:fill="FDF1BB"/>
          </w:tcPr>
          <w:p>
            <w:pPr>
              <w:jc w:val="right"/>
              <w:ind w:right="194"/>
              <w:spacing w:after="0"/>
              <w:rPr>
                <w:sz w:val="20"/>
                <w:szCs w:val="20"/>
                <w:color w:val="auto"/>
              </w:rPr>
            </w:pPr>
            <w:r>
              <w:rPr>
                <w:rFonts w:ascii="Arial" w:cs="Arial" w:eastAsia="Arial" w:hAnsi="Arial"/>
                <w:sz w:val="14"/>
                <w:szCs w:val="14"/>
                <w:color w:val="auto"/>
                <w:w w:val="99"/>
              </w:rPr>
              <w:t>4,468,680</w:t>
            </w:r>
          </w:p>
        </w:tc>
        <w:tc>
          <w:tcPr>
            <w:tcW w:w="360" w:type="dxa"/>
            <w:vAlign w:val="bottom"/>
            <w:tcBorders>
              <w:bottom w:val="single" w:sz="8" w:color="FDF1BB"/>
            </w:tcBorders>
            <w:shd w:val="clear" w:color="auto" w:fill="FDF1B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FDF1BB"/>
            </w:tcBorders>
            <w:shd w:val="clear" w:color="auto" w:fill="FDF1BB"/>
          </w:tcPr>
          <w:p>
            <w:pPr>
              <w:jc w:val="right"/>
              <w:ind w:right="272"/>
              <w:spacing w:after="0"/>
              <w:rPr>
                <w:sz w:val="20"/>
                <w:szCs w:val="20"/>
                <w:color w:val="auto"/>
              </w:rPr>
            </w:pPr>
            <w:r>
              <w:rPr>
                <w:rFonts w:ascii="Arial" w:cs="Arial" w:eastAsia="Arial" w:hAnsi="Arial"/>
                <w:sz w:val="14"/>
                <w:szCs w:val="14"/>
                <w:color w:val="auto"/>
                <w:w w:val="99"/>
              </w:rPr>
              <w:t>4,019,537</w:t>
            </w:r>
          </w:p>
        </w:tc>
      </w:tr>
      <w:tr>
        <w:trPr>
          <w:trHeight w:val="218"/>
        </w:trPr>
        <w:tc>
          <w:tcPr>
            <w:tcW w:w="8500" w:type="dxa"/>
            <w:vAlign w:val="bottom"/>
          </w:tcPr>
          <w:p>
            <w:pPr>
              <w:ind w:left="60"/>
              <w:spacing w:after="0"/>
              <w:rPr>
                <w:sz w:val="20"/>
                <w:szCs w:val="20"/>
                <w:color w:val="auto"/>
              </w:rPr>
            </w:pPr>
            <w:r>
              <w:rPr>
                <w:rFonts w:ascii="Arial" w:cs="Arial" w:eastAsia="Arial" w:hAnsi="Arial"/>
                <w:sz w:val="14"/>
                <w:szCs w:val="14"/>
                <w:color w:val="auto"/>
              </w:rPr>
              <w:t>Audit-related fees</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94"/>
              <w:spacing w:after="0"/>
              <w:rPr>
                <w:sz w:val="20"/>
                <w:szCs w:val="20"/>
                <w:color w:val="auto"/>
              </w:rPr>
            </w:pPr>
            <w:r>
              <w:rPr>
                <w:rFonts w:ascii="Arial" w:cs="Arial" w:eastAsia="Arial" w:hAnsi="Arial"/>
                <w:sz w:val="14"/>
                <w:szCs w:val="14"/>
                <w:color w:val="auto"/>
              </w:rPr>
              <w:t>35,000</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72"/>
              <w:spacing w:after="0"/>
              <w:rPr>
                <w:sz w:val="20"/>
                <w:szCs w:val="20"/>
                <w:color w:val="auto"/>
              </w:rPr>
            </w:pPr>
            <w:r>
              <w:rPr>
                <w:rFonts w:ascii="Arial" w:cs="Arial" w:eastAsia="Arial" w:hAnsi="Arial"/>
                <w:sz w:val="14"/>
                <w:szCs w:val="14"/>
                <w:color w:val="auto"/>
              </w:rPr>
              <w:t>39,000</w:t>
            </w:r>
          </w:p>
        </w:tc>
      </w:tr>
      <w:tr>
        <w:trPr>
          <w:trHeight w:val="26"/>
        </w:trPr>
        <w:tc>
          <w:tcPr>
            <w:tcW w:w="8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8500" w:type="dxa"/>
            <w:vAlign w:val="bottom"/>
            <w:tcBorders>
              <w:bottom w:val="single" w:sz="8" w:color="FDF1BB"/>
            </w:tcBorders>
            <w:shd w:val="clear" w:color="auto" w:fill="FDF1BB"/>
          </w:tcPr>
          <w:p>
            <w:pPr>
              <w:ind w:left="60"/>
              <w:spacing w:after="0"/>
              <w:rPr>
                <w:sz w:val="20"/>
                <w:szCs w:val="20"/>
                <w:color w:val="auto"/>
              </w:rPr>
            </w:pPr>
            <w:r>
              <w:rPr>
                <w:rFonts w:ascii="Arial" w:cs="Arial" w:eastAsia="Arial" w:hAnsi="Arial"/>
                <w:sz w:val="14"/>
                <w:szCs w:val="14"/>
                <w:color w:val="auto"/>
              </w:rPr>
              <w:t>Tax fees</w:t>
            </w:r>
          </w:p>
        </w:tc>
        <w:tc>
          <w:tcPr>
            <w:tcW w:w="280" w:type="dxa"/>
            <w:vAlign w:val="bottom"/>
            <w:tcBorders>
              <w:bottom w:val="single" w:sz="8" w:color="FDF1BB"/>
            </w:tcBorders>
            <w:shd w:val="clear" w:color="auto" w:fill="FDF1BB"/>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DF1BB"/>
            </w:tcBorders>
            <w:shd w:val="clear" w:color="auto" w:fill="FDF1BB"/>
          </w:tcPr>
          <w:p>
            <w:pPr>
              <w:jc w:val="right"/>
              <w:ind w:right="194"/>
              <w:spacing w:after="0"/>
              <w:rPr>
                <w:sz w:val="20"/>
                <w:szCs w:val="20"/>
                <w:color w:val="auto"/>
              </w:rPr>
            </w:pPr>
            <w:r>
              <w:rPr>
                <w:rFonts w:ascii="Arial" w:cs="Arial" w:eastAsia="Arial" w:hAnsi="Arial"/>
                <w:sz w:val="14"/>
                <w:szCs w:val="14"/>
                <w:color w:val="auto"/>
              </w:rPr>
              <w:t>10,000</w:t>
            </w:r>
          </w:p>
        </w:tc>
        <w:tc>
          <w:tcPr>
            <w:tcW w:w="360" w:type="dxa"/>
            <w:vAlign w:val="bottom"/>
            <w:tcBorders>
              <w:bottom w:val="single" w:sz="8" w:color="FDF1BB"/>
            </w:tcBorders>
            <w:shd w:val="clear" w:color="auto" w:fill="FDF1B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FDF1BB"/>
            </w:tcBorders>
            <w:shd w:val="clear" w:color="auto" w:fill="FDF1BB"/>
          </w:tcPr>
          <w:p>
            <w:pPr>
              <w:jc w:val="right"/>
              <w:ind w:right="272"/>
              <w:spacing w:after="0"/>
              <w:rPr>
                <w:sz w:val="20"/>
                <w:szCs w:val="20"/>
                <w:color w:val="auto"/>
              </w:rPr>
            </w:pPr>
            <w:r>
              <w:rPr>
                <w:rFonts w:ascii="Arial" w:cs="Arial" w:eastAsia="Arial" w:hAnsi="Arial"/>
                <w:sz w:val="14"/>
                <w:szCs w:val="14"/>
                <w:color w:val="auto"/>
              </w:rPr>
              <w:t>5,000</w:t>
            </w:r>
          </w:p>
        </w:tc>
      </w:tr>
      <w:tr>
        <w:trPr>
          <w:trHeight w:val="218"/>
        </w:trPr>
        <w:tc>
          <w:tcPr>
            <w:tcW w:w="8500" w:type="dxa"/>
            <w:vAlign w:val="bottom"/>
          </w:tcPr>
          <w:p>
            <w:pPr>
              <w:ind w:left="60"/>
              <w:spacing w:after="0"/>
              <w:rPr>
                <w:sz w:val="20"/>
                <w:szCs w:val="20"/>
                <w:color w:val="auto"/>
              </w:rPr>
            </w:pPr>
            <w:r>
              <w:rPr>
                <w:rFonts w:ascii="Arial" w:cs="Arial" w:eastAsia="Arial" w:hAnsi="Arial"/>
                <w:sz w:val="14"/>
                <w:szCs w:val="14"/>
                <w:color w:val="auto"/>
              </w:rPr>
              <w:t>All other fees</w:t>
            </w:r>
          </w:p>
        </w:tc>
        <w:tc>
          <w:tcPr>
            <w:tcW w:w="280" w:type="dxa"/>
            <w:vAlign w:val="bottom"/>
          </w:tcPr>
          <w:p>
            <w:pPr>
              <w:spacing w:after="0"/>
              <w:rPr>
                <w:sz w:val="18"/>
                <w:szCs w:val="18"/>
                <w:color w:val="auto"/>
              </w:rPr>
            </w:pPr>
          </w:p>
        </w:tc>
        <w:tc>
          <w:tcPr>
            <w:tcW w:w="900" w:type="dxa"/>
            <w:vAlign w:val="bottom"/>
          </w:tcPr>
          <w:p>
            <w:pPr>
              <w:jc w:val="right"/>
              <w:ind w:right="194"/>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980" w:type="dxa"/>
            <w:vAlign w:val="bottom"/>
          </w:tcPr>
          <w:p>
            <w:pPr>
              <w:jc w:val="right"/>
              <w:ind w:right="272"/>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6271260</wp:posOffset>
            </wp:positionH>
            <wp:positionV relativeFrom="paragraph">
              <wp:posOffset>-780415</wp:posOffset>
            </wp:positionV>
            <wp:extent cx="8255" cy="797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79756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-780415</wp:posOffset>
            </wp:positionV>
            <wp:extent cx="8255" cy="797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797560"/>
                    </a:xfrm>
                    <a:prstGeom prst="rect">
                      <a:avLst/>
                    </a:prstGeom>
                    <a:noFill/>
                  </pic:spPr>
                </pic:pic>
              </a:graphicData>
            </a:graphic>
          </wp:anchor>
        </w:drawing>
      </w:r>
    </w:p>
    <w:p>
      <w:pPr>
        <w:spacing w:after="0" w:line="194"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“Audit fees” includes the aggregate fees for professional services rendered for the reviews of our consolidated financial statements for the quarterly periods ended March 31, June 30 and September 30, for the audit of our consolidated financial statements and the consolidated financial statements of certain of our subsidiaries for the years ended December 31, 2020 and 2019, and for the audit of our internal controls over financial reporting as of December 31, 2020 and 2019. “Audit fees” also include fees for services provided in connection with securities offerings, audit-related accounting consultations and statutory audits of certain subsidiaries of the Company. “Audit-related fees” include the aggregate fees for the audit of the Company’s defined contribution employee benefit plan. “Tax fees” include fees for domestic tax planning and other research.</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PRE-APPROVAL POLICY</w:t>
      </w:r>
    </w:p>
    <w:p>
      <w:pPr>
        <w:spacing w:after="0" w:line="1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The Audit Committee’s policy is to pre-approve all audit and non-audit services provided by the independent registered public accountants by pre-approving certain types of services at usual and customary rates. These services may include audit services, audit-related services, tax services and other permissible non-audit services. The pre-approval authority details the particular service or category of service that the independent registered public accountants will perform. Management reports to the Audit Committee on the actual fees charged by the independent registered public accountants for each category of service.</w:t>
      </w:r>
    </w:p>
    <w:p>
      <w:pPr>
        <w:spacing w:after="0" w:line="162"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During the year, circumstances may arise when it becomes necessary to engage the independent registered public accountants for additional services not contemplated in the original pre-approval authority. In those instances, management submits a request to the Audit Committee describing a specific project at a specific fee or rate and, if deemed appropriate and necessary, the Audit Committee approves the services before we engage the independent registered public accountants.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Audit Committee pre-approved all fees related to services provided by Ernst &amp; Young LLP in 2020.</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REPORT OF THE AUDIT COMMITTEE</w:t>
      </w:r>
    </w:p>
    <w:p>
      <w:pPr>
        <w:spacing w:after="0" w:line="13" w:lineRule="exact"/>
        <w:rPr>
          <w:sz w:val="20"/>
          <w:szCs w:val="20"/>
          <w:color w:val="auto"/>
        </w:rPr>
      </w:pPr>
    </w:p>
    <w:p>
      <w:pPr>
        <w:ind w:left="120" w:right="320"/>
        <w:spacing w:after="0" w:line="238" w:lineRule="auto"/>
        <w:rPr>
          <w:sz w:val="20"/>
          <w:szCs w:val="20"/>
          <w:color w:val="auto"/>
        </w:rPr>
      </w:pPr>
      <w:r>
        <w:rPr>
          <w:rFonts w:ascii="Arial" w:cs="Arial" w:eastAsia="Arial" w:hAnsi="Arial"/>
          <w:sz w:val="18"/>
          <w:szCs w:val="18"/>
          <w:color w:val="auto"/>
        </w:rPr>
        <w:t>The Audit Committee is comprised of the five members named below. As required by our committee charter, each member of the Audit Committee has been determined to be an independent director, as defined under the NASDAQ listing rules and the rules of SEC. In addition, the Board has determined that three of the five committee members (Mr. Byrne, Adm. Johnson and Ms. Webb) are Audit Committee financial experts, as defined by SEC rules.</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During 2020, we held seven full committee meetings.</w:t>
      </w:r>
    </w:p>
    <w:p>
      <w:pPr>
        <w:spacing w:after="0" w:line="212"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Our purpose and responsibilities are set forth in our committee charter, which is approved and adopted by the Board and is available on the Company’s website at http://www.wynnresorts.com under the heading “Corporate Governance” on the Company Information page. The Audit Committee charter is reviewed and updated, as appropriate, to address changes in regulatory requirements, authoritative guidance, evolving oversight practices and investor feedback.</w:t>
      </w:r>
    </w:p>
    <w:p>
      <w:pPr>
        <w:spacing w:after="0" w:line="49" w:lineRule="exact"/>
        <w:rPr>
          <w:sz w:val="20"/>
          <w:szCs w:val="20"/>
          <w:color w:val="auto"/>
        </w:rPr>
      </w:pPr>
    </w:p>
    <w:p>
      <w:pPr>
        <w:ind w:left="800" w:hanging="684"/>
        <w:spacing w:after="0"/>
        <w:tabs>
          <w:tab w:leader="none" w:pos="800" w:val="left"/>
        </w:tabs>
        <w:numPr>
          <w:ilvl w:val="0"/>
          <w:numId w:val="96"/>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Our role is to oversee, on behalf of the Board, the accounting and financial reporting processes of the Company and the audits of the Company’s financial statements, including review of the Company’s guidelines and policies with respect to risk assessment and risk management related to financial reporting and internal controls, major financial risk exposures of the Company and the steps the Company’s management has taken to monitor and control such exposures. The Company’s management is responsible for the preparation, presentation and integrity of our financial statements, and for maintaining appropriate accounting and financial reporting principles and policies, and internal controls and procedures that are reasonably designed to assure compliance with accounting standards and applicable laws and regulations. The independent auditors are responsible for auditing our financial statements and expressing an opinion as to their conformity with generally accepted accounting principles in the United States of America and for auditing and providing an attestation report on the effectiveness of our internal control over financial reporting.</w:t>
      </w:r>
    </w:p>
    <w:p>
      <w:pPr>
        <w:spacing w:after="0" w:line="207"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fulfilling our oversight duties, at each regular quarterly meeting of the Audit Committee, we met separately in executive session with Ernst &amp; Young LLP, our independent registered public accountants, as well with each of the Company’s General Counsel, Chief Audit Executive (who heads internal audit), Chief Financial Officer, and Global Chief Compliance Officer. During these meetings, we discussed the quality of the Company’s accounting and financial reporting processes and the adequacy and effectiveness of its internal controls and procedures; reviewed significant audit findings prepared by each of the independent registered public accountants and internal audit department, together with management’s responses; reviewed the overall scope and plans for the audits by the internal audit department and the independent registered public accountants; reviewed critical accounting policies and the significant estimates and judgments management used in preparing the financial statements and their appropriateness for the Company’s business and current circumstances; and reviewed each Company press release concerning Company earnings prior to its release.</w:t>
      </w:r>
    </w:p>
    <w:p>
      <w:pPr>
        <w:spacing w:after="0" w:line="207"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Ernst &amp; Young LLP has served as the Company’s independent registered public accountants since 2006. In evaluating and selecting the Company’s independent registered public accounting firm, we consider, among other things, the historical and recent performance of our current firm, the firm’s global reach, external data on audit quality and performance, including Public Company Accounting Oversight Board (“PCAOB”) reports, industry experience, audit fee revenues, firm capabilities and audit approach, and the independence and tenure of the accounting firm. As discussed above, we have engaged Ernst &amp; Young LLP to serve as our independent registered public accountants for the year ending December 31, 2021.</w:t>
      </w:r>
    </w:p>
    <w:p>
      <w:pPr>
        <w:spacing w:after="0" w:line="205" w:lineRule="exact"/>
        <w:rPr>
          <w:sz w:val="20"/>
          <w:szCs w:val="20"/>
          <w:color w:val="auto"/>
        </w:rPr>
      </w:pPr>
    </w:p>
    <w:p>
      <w:pPr>
        <w:ind w:left="120" w:right="60"/>
        <w:spacing w:after="0" w:line="236" w:lineRule="auto"/>
        <w:rPr>
          <w:sz w:val="20"/>
          <w:szCs w:val="20"/>
          <w:color w:val="auto"/>
        </w:rPr>
      </w:pPr>
      <w:r>
        <w:rPr>
          <w:rFonts w:ascii="Arial" w:cs="Arial" w:eastAsia="Arial" w:hAnsi="Arial"/>
          <w:sz w:val="18"/>
          <w:szCs w:val="18"/>
          <w:color w:val="auto"/>
        </w:rPr>
        <w:t>In addition to the activities discussed above, prior to the Company’s filing of its Annual Report on Form 10-K for the year ended December 31, 2020 with the SEC, we reviewed and discussed with management the Company’s audited financial statements for the year ended December 31, 2020. We discussed with the independent registered public accounting firm the matters required to be discussed by the applicable standards of the PCAOB, including the quality, not just the acceptability, of the accounting principles, the reasonableness of significant judgments and the clarity of the disclosures in the financial statements. We received the written disclosures and the letter from the independent auditors required by applicable requirements of the PCAOB regarding the independent auditors’ communications with the audit committee concerning independence and have discussed with the independent auditors their firm’s independence. Based on the review and discussions described in this report, we recommended to the Board that the audited financial statements referred to above be included in the Company’s Annual Report on Form 10-K for the year ended December 31, 2020, filed with the SEC.</w:t>
      </w:r>
    </w:p>
    <w:p>
      <w:pPr>
        <w:spacing w:after="0" w:line="158"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Audit Committee</w:t>
      </w:r>
    </w:p>
    <w:p>
      <w:pPr>
        <w:spacing w:after="0" w:line="18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Winifred M. Webb, Chair</w:t>
      </w:r>
    </w:p>
    <w:p>
      <w:pPr>
        <w:ind w:left="6080"/>
        <w:spacing w:after="0" w:line="234" w:lineRule="auto"/>
        <w:rPr>
          <w:sz w:val="20"/>
          <w:szCs w:val="20"/>
          <w:color w:val="auto"/>
        </w:rPr>
      </w:pPr>
      <w:r>
        <w:rPr>
          <w:rFonts w:ascii="Arial" w:cs="Arial" w:eastAsia="Arial" w:hAnsi="Arial"/>
          <w:sz w:val="18"/>
          <w:szCs w:val="18"/>
          <w:color w:val="auto"/>
        </w:rPr>
        <w:t>Richard J. Byrne</w:t>
      </w:r>
    </w:p>
    <w:p>
      <w:pPr>
        <w:ind w:left="6080"/>
        <w:spacing w:after="0" w:line="235" w:lineRule="auto"/>
        <w:rPr>
          <w:sz w:val="20"/>
          <w:szCs w:val="20"/>
          <w:color w:val="auto"/>
        </w:rPr>
      </w:pPr>
      <w:r>
        <w:rPr>
          <w:rFonts w:ascii="Arial" w:cs="Arial" w:eastAsia="Arial" w:hAnsi="Arial"/>
          <w:sz w:val="18"/>
          <w:szCs w:val="18"/>
          <w:color w:val="auto"/>
        </w:rPr>
        <w:t>Jay L. Johnson</w:t>
      </w:r>
    </w:p>
    <w:p>
      <w:pPr>
        <w:ind w:left="6080"/>
        <w:spacing w:after="0" w:line="235" w:lineRule="auto"/>
        <w:rPr>
          <w:sz w:val="20"/>
          <w:szCs w:val="20"/>
          <w:color w:val="auto"/>
        </w:rPr>
      </w:pPr>
      <w:r>
        <w:rPr>
          <w:rFonts w:ascii="Arial" w:cs="Arial" w:eastAsia="Arial" w:hAnsi="Arial"/>
          <w:sz w:val="18"/>
          <w:szCs w:val="18"/>
          <w:color w:val="auto"/>
        </w:rPr>
        <w:t>Patricia Mulroy</w:t>
      </w:r>
    </w:p>
    <w:p>
      <w:pPr>
        <w:ind w:left="6080"/>
        <w:spacing w:after="0"/>
        <w:rPr>
          <w:sz w:val="20"/>
          <w:szCs w:val="20"/>
          <w:color w:val="auto"/>
        </w:rPr>
      </w:pPr>
      <w:r>
        <w:rPr>
          <w:rFonts w:ascii="Arial" w:cs="Arial" w:eastAsia="Arial" w:hAnsi="Arial"/>
          <w:sz w:val="18"/>
          <w:szCs w:val="18"/>
          <w:color w:val="auto"/>
        </w:rPr>
        <w:t>Darnell O. Strom</w:t>
      </w:r>
    </w:p>
    <w:p>
      <w:pPr>
        <w:spacing w:after="0" w:line="149" w:lineRule="exact"/>
        <w:rPr>
          <w:sz w:val="20"/>
          <w:szCs w:val="20"/>
          <w:color w:val="auto"/>
        </w:rPr>
      </w:pPr>
    </w:p>
    <w:p>
      <w:pPr>
        <w:ind w:left="120" w:right="4800"/>
        <w:spacing w:after="0" w:line="253" w:lineRule="auto"/>
        <w:rPr>
          <w:sz w:val="20"/>
          <w:szCs w:val="20"/>
          <w:color w:val="auto"/>
        </w:rPr>
      </w:pPr>
      <w:r>
        <w:rPr>
          <w:rFonts w:ascii="Arial" w:cs="Arial" w:eastAsia="Arial" w:hAnsi="Arial"/>
          <w:sz w:val="18"/>
          <w:szCs w:val="18"/>
          <w:b w:val="1"/>
          <w:bCs w:val="1"/>
          <w:color w:val="FCD83F"/>
        </w:rPr>
        <w:t>OUR BOARD OF DIRECTORS RECOMMENDS THAT YOU VOTE FOR THE RATIFICATION OF THE APPOINTMENT OF ERNST &amp; YOUNG LLP AS THE COMPANY’S INDEPENDENT AUDITORS FOR THE YEAR 2021.</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71</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2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65" w:lineRule="exact"/>
        <w:rPr>
          <w:sz w:val="20"/>
          <w:szCs w:val="20"/>
          <w:color w:val="auto"/>
        </w:rPr>
      </w:pPr>
    </w:p>
    <w:p>
      <w:pPr>
        <w:ind w:left="120" w:right="4200"/>
        <w:spacing w:after="0" w:line="259" w:lineRule="auto"/>
        <w:rPr>
          <w:sz w:val="20"/>
          <w:szCs w:val="20"/>
          <w:color w:val="auto"/>
        </w:rPr>
      </w:pPr>
      <w:r>
        <w:rPr>
          <w:rFonts w:ascii="Arial" w:cs="Arial" w:eastAsia="Arial" w:hAnsi="Arial"/>
          <w:sz w:val="31"/>
          <w:szCs w:val="31"/>
          <w:color w:val="331E19"/>
        </w:rPr>
        <w:t>Proposal 3: Advisory vote to approve the compensation of named executive officers</w:t>
      </w:r>
    </w:p>
    <w:p>
      <w:pPr>
        <w:spacing w:after="0" w:line="149" w:lineRule="exact"/>
        <w:rPr>
          <w:sz w:val="20"/>
          <w:szCs w:val="20"/>
          <w:color w:val="auto"/>
        </w:rPr>
      </w:pPr>
    </w:p>
    <w:p>
      <w:pPr>
        <w:ind w:left="120" w:right="140"/>
        <w:spacing w:after="0" w:line="257" w:lineRule="auto"/>
        <w:rPr>
          <w:sz w:val="20"/>
          <w:szCs w:val="20"/>
          <w:color w:val="auto"/>
        </w:rPr>
      </w:pPr>
      <w:r>
        <w:rPr>
          <w:rFonts w:ascii="Arial" w:cs="Arial" w:eastAsia="Arial" w:hAnsi="Arial"/>
          <w:sz w:val="17"/>
          <w:szCs w:val="17"/>
          <w:color w:val="auto"/>
        </w:rPr>
        <w:t>In accordance with Section 14A of the Exchange Act (which was added by the Dodd-Frank Wall Street Reform and Consumer Protection Act (the “Dodd Frank Act”)) and the related rules of the SEC, the Company will present a resolution at the Annual Meeting to enable our shareholders to approve, on an advisory and non-binding basis, the compensation of our NEOs as disclosed in the Compensation Discussion and Analysis, the accompanying compensation tables and the related narrative disclosure in this Proxy Statement.</w:t>
      </w:r>
    </w:p>
    <w:p>
      <w:pPr>
        <w:spacing w:after="0" w:line="148"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This proposal, commonly known as a “Say-on-Pay” proposal, allows our shareholders the opportunity to express their views on our NEOs’ compensation. In considering this proposal, we urge shareholders to read the Compensation Discussion and Analysis, the accompanying compensation tables and the related narrative disclosure. Although this vote is advisory only, and therefore non-binding, the Board and the Compensation Committee will review and evaluate the voting result when considering future executive compensation decisions.</w:t>
      </w:r>
    </w:p>
    <w:p>
      <w:pPr>
        <w:spacing w:after="0" w:line="164"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As the Company continues its transition from a compensation program oriented around a founder whose long-term focus was aligned with shareholders through his extensive stock ownership, to a more traditional compensation program, the Board determined to move from a triannual to an annual Say-on-Pay vote to provide for additional input from and further engagement with our shareholders. The Compensation Committee determined to right-size executive pay, to revamp our long-term incentive program to eliminate periodic grants and transition to annual grants, and to ensure that a majority of equity awards will be granted in performance-based stock to ensure a superior focus on operational excellence and better align executives’ interests with those of long-term shareholders.</w:t>
      </w:r>
    </w:p>
    <w:p>
      <w:pPr>
        <w:spacing w:after="0" w:line="178"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As described in detail in the Compensation Discussion and Analysis, the majority of our executives’ total compensation is at-risk, tied to achieving annual and long-term goals that enhance the value of our reputation and brand, sustain the performance and attractiveness of our resorts and drive long-term shareholder value. In 2018, the Compensation Committee committed to right-sizing executive compensation by benchmarking total compensation at the median of our peer group. Because product quality and service excellence are at the core of our strategy, we use annually focused, operations-based pay to reflect the critical importance of performing well each year for each customer. The design of our long-term incentives coupled with robust stock ownership guidelines ensure that our executives’ interests are aligned with those of long-term shareholders.</w:t>
      </w:r>
    </w:p>
    <w:p>
      <w:pPr>
        <w:spacing w:after="0" w:line="162" w:lineRule="exact"/>
        <w:rPr>
          <w:sz w:val="20"/>
          <w:szCs w:val="20"/>
          <w:color w:val="auto"/>
        </w:rPr>
      </w:pPr>
    </w:p>
    <w:p>
      <w:pPr>
        <w:ind w:left="120" w:right="1000"/>
        <w:spacing w:after="0" w:line="246" w:lineRule="auto"/>
        <w:rPr>
          <w:sz w:val="20"/>
          <w:szCs w:val="20"/>
          <w:color w:val="auto"/>
        </w:rPr>
      </w:pPr>
      <w:r>
        <w:rPr>
          <w:rFonts w:ascii="Arial" w:cs="Arial" w:eastAsia="Arial" w:hAnsi="Arial"/>
          <w:sz w:val="18"/>
          <w:szCs w:val="18"/>
          <w:color w:val="auto"/>
        </w:rPr>
        <w:t>Therefore, in accordance with Section 14A of the Exchange Act and as a matter of good corporate governance, we are asking shareholders to approve the following advisory resolution at the Annual Meeting:</w:t>
      </w:r>
    </w:p>
    <w:p>
      <w:pPr>
        <w:spacing w:after="0" w:line="15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“RESOLVED, that the shareholders of Wynn Resorts, Limited (the “Company”) approve, on an advisory basis, the compensation of the Company’s named executive officers as disclosed in the Compensation Discussion and Analysis and the tabular disclosure regarding each named executive officer’s compensation (together with the accompanying narrative disclosure) in the Proxy Statement, as disclosed pursuant to Item 402 of Regulation S-K, for the 2021 Annual Meeting of Shareholders.”</w:t>
      </w:r>
    </w:p>
    <w:p>
      <w:pPr>
        <w:spacing w:after="0" w:line="156" w:lineRule="exact"/>
        <w:rPr>
          <w:sz w:val="20"/>
          <w:szCs w:val="20"/>
          <w:color w:val="auto"/>
        </w:rPr>
      </w:pPr>
    </w:p>
    <w:p>
      <w:pPr>
        <w:ind w:left="120" w:right="4540"/>
        <w:spacing w:after="0" w:line="253" w:lineRule="auto"/>
        <w:rPr>
          <w:sz w:val="20"/>
          <w:szCs w:val="20"/>
          <w:color w:val="auto"/>
        </w:rPr>
      </w:pPr>
      <w:r>
        <w:rPr>
          <w:rFonts w:ascii="Arial" w:cs="Arial" w:eastAsia="Arial" w:hAnsi="Arial"/>
          <w:sz w:val="18"/>
          <w:szCs w:val="18"/>
          <w:b w:val="1"/>
          <w:bCs w:val="1"/>
          <w:color w:val="FCD83F"/>
        </w:rPr>
        <w:t>OUR BOARD OF DIRECTORS RECOMMENDS THAT YOU VOTE FOR THE APPROVAL OF THE ADVISORY RESOLUTION ON OUR NAMED EXECUTIVE OFFICE COMPENSATION.</w:t>
      </w:r>
    </w:p>
    <w:p>
      <w:pPr>
        <w:spacing w:after="0" w:line="35" w:lineRule="exact"/>
        <w:rPr>
          <w:sz w:val="20"/>
          <w:szCs w:val="20"/>
          <w:color w:val="auto"/>
        </w:rPr>
      </w:pPr>
    </w:p>
    <w:p>
      <w:pPr>
        <w:ind w:left="800" w:hanging="684"/>
        <w:spacing w:after="0"/>
        <w:tabs>
          <w:tab w:leader="none" w:pos="800" w:val="left"/>
        </w:tabs>
        <w:numPr>
          <w:ilvl w:val="0"/>
          <w:numId w:val="97"/>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ind w:left="120"/>
        <w:spacing w:after="0"/>
        <w:rPr>
          <w:sz w:val="20"/>
          <w:szCs w:val="20"/>
          <w:color w:val="auto"/>
        </w:rPr>
      </w:pPr>
      <w:r>
        <w:rPr>
          <w:rFonts w:ascii="Arial" w:cs="Arial" w:eastAsia="Arial" w:hAnsi="Arial"/>
          <w:sz w:val="27"/>
          <w:szCs w:val="27"/>
          <w:color w:val="331E19"/>
        </w:rPr>
        <w:t>General Information</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OUR 2021 ANNUAL MEETING OF SHAREHOLDERS</w:t>
      </w:r>
    </w:p>
    <w:p>
      <w:pPr>
        <w:spacing w:after="0" w:line="13"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This Proxy Statement is furnished to the shareholders of Wynn Resorts in connection with the solicitation by the Board of proxies for its 2021 Annual Meeting of Shareholders (the “Annual Meeting”) that will be held entirely online due to the uncertain nature of travel and other restrictions that may be in place at the time of the meeting. Our 2021 Annual Meeting will be held on May 5, 2021, via live webcast accessed at this website: http://www.virtualshareholdermeeting.com/WYNN2021, at 9:00 am (local time), and at any adjournments or postponements thereof. Our principal executive offices are 3131 Las Vegas Boulevard South, Las Vegas, Nevada 89109. Matters to be considered and acted upon at the Annual Meeting are set forth in the Notice of Annual Meeting of Shareholders accompanying this Proxy Statement and are more fully described herein.</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THE BOARD RECOMMENDS A VOTE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146050</wp:posOffset>
            </wp:positionV>
            <wp:extent cx="8890" cy="1054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1054100"/>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146050</wp:posOffset>
            </wp:positionV>
            <wp:extent cx="8255" cy="1054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1054100"/>
                    </a:xfrm>
                    <a:prstGeom prst="rect">
                      <a:avLst/>
                    </a:prstGeom>
                    <a:noFill/>
                  </pic:spPr>
                </pic:pic>
              </a:graphicData>
            </a:graphic>
          </wp:anchor>
        </w:drawing>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80" w:type="dxa"/>
            <w:vAlign w:val="bottom"/>
            <w:shd w:val="clear" w:color="auto" w:fill="FCD83F"/>
          </w:tcPr>
          <w:p>
            <w:pPr>
              <w:ind w:left="60"/>
              <w:spacing w:after="0"/>
              <w:rPr>
                <w:sz w:val="20"/>
                <w:szCs w:val="20"/>
                <w:color w:val="auto"/>
              </w:rPr>
            </w:pPr>
            <w:r>
              <w:rPr>
                <w:rFonts w:ascii="Arial" w:cs="Arial" w:eastAsia="Arial" w:hAnsi="Arial"/>
                <w:sz w:val="13"/>
                <w:szCs w:val="13"/>
                <w:b w:val="1"/>
                <w:bCs w:val="1"/>
                <w:color w:val="FFFFFF"/>
              </w:rPr>
              <w:t>PROPOSAL</w:t>
            </w:r>
          </w:p>
        </w:tc>
        <w:tc>
          <w:tcPr>
            <w:tcW w:w="7840" w:type="dxa"/>
            <w:vAlign w:val="bottom"/>
            <w:shd w:val="clear" w:color="auto" w:fill="FCD83F"/>
          </w:tcPr>
          <w:p>
            <w:pPr>
              <w:spacing w:after="0"/>
              <w:rPr>
                <w:sz w:val="13"/>
                <w:szCs w:val="13"/>
                <w:color w:val="auto"/>
              </w:rPr>
            </w:pPr>
          </w:p>
        </w:tc>
        <w:tc>
          <w:tcPr>
            <w:tcW w:w="2300" w:type="dxa"/>
            <w:vAlign w:val="bottom"/>
            <w:shd w:val="clear" w:color="auto" w:fill="FCD83F"/>
          </w:tcPr>
          <w:p>
            <w:pPr>
              <w:jc w:val="center"/>
              <w:ind w:left="112"/>
              <w:spacing w:after="0"/>
              <w:rPr>
                <w:sz w:val="20"/>
                <w:szCs w:val="20"/>
                <w:color w:val="auto"/>
              </w:rPr>
            </w:pPr>
            <w:r>
              <w:rPr>
                <w:rFonts w:ascii="Arial" w:cs="Arial" w:eastAsia="Arial" w:hAnsi="Arial"/>
                <w:sz w:val="13"/>
                <w:szCs w:val="13"/>
                <w:b w:val="1"/>
                <w:bCs w:val="1"/>
                <w:color w:val="FFFFFF"/>
              </w:rPr>
              <w:t>BOARD</w:t>
            </w:r>
          </w:p>
        </w:tc>
      </w:tr>
      <w:tr>
        <w:trPr>
          <w:trHeight w:val="204"/>
        </w:trPr>
        <w:tc>
          <w:tcPr>
            <w:tcW w:w="880" w:type="dxa"/>
            <w:vAlign w:val="bottom"/>
            <w:tcBorders>
              <w:bottom w:val="single" w:sz="8" w:color="FCD83F"/>
            </w:tcBorders>
            <w:shd w:val="clear" w:color="auto" w:fill="FCD83F"/>
          </w:tcPr>
          <w:p>
            <w:pPr>
              <w:ind w:left="60"/>
              <w:spacing w:after="0"/>
              <w:rPr>
                <w:sz w:val="20"/>
                <w:szCs w:val="20"/>
                <w:color w:val="auto"/>
              </w:rPr>
            </w:pPr>
            <w:r>
              <w:rPr>
                <w:rFonts w:ascii="Arial" w:cs="Arial" w:eastAsia="Arial" w:hAnsi="Arial"/>
                <w:sz w:val="13"/>
                <w:szCs w:val="13"/>
                <w:b w:val="1"/>
                <w:bCs w:val="1"/>
                <w:color w:val="FFFFFF"/>
              </w:rPr>
              <w:t>NUMBER</w:t>
            </w:r>
          </w:p>
        </w:tc>
        <w:tc>
          <w:tcPr>
            <w:tcW w:w="7840" w:type="dxa"/>
            <w:vAlign w:val="bottom"/>
            <w:tcBorders>
              <w:bottom w:val="single" w:sz="8" w:color="FCD83F"/>
            </w:tcBorders>
            <w:shd w:val="clear" w:color="auto" w:fill="FCD83F"/>
          </w:tcPr>
          <w:p>
            <w:pPr>
              <w:ind w:left="3600"/>
              <w:spacing w:after="0"/>
              <w:rPr>
                <w:sz w:val="20"/>
                <w:szCs w:val="20"/>
                <w:color w:val="auto"/>
              </w:rPr>
            </w:pPr>
            <w:r>
              <w:rPr>
                <w:rFonts w:ascii="Arial" w:cs="Arial" w:eastAsia="Arial" w:hAnsi="Arial"/>
                <w:sz w:val="13"/>
                <w:szCs w:val="13"/>
                <w:b w:val="1"/>
                <w:bCs w:val="1"/>
                <w:color w:val="FFFFFF"/>
              </w:rPr>
              <w:t>PROPOSAL</w:t>
            </w:r>
          </w:p>
        </w:tc>
        <w:tc>
          <w:tcPr>
            <w:tcW w:w="2300" w:type="dxa"/>
            <w:vAlign w:val="bottom"/>
            <w:tcBorders>
              <w:bottom w:val="single" w:sz="8" w:color="FCD83F"/>
            </w:tcBorders>
            <w:shd w:val="clear" w:color="auto" w:fill="FCD83F"/>
          </w:tcPr>
          <w:p>
            <w:pPr>
              <w:jc w:val="center"/>
              <w:ind w:left="112"/>
              <w:spacing w:after="0"/>
              <w:rPr>
                <w:sz w:val="20"/>
                <w:szCs w:val="20"/>
                <w:color w:val="auto"/>
              </w:rPr>
            </w:pPr>
            <w:r>
              <w:rPr>
                <w:rFonts w:ascii="Arial" w:cs="Arial" w:eastAsia="Arial" w:hAnsi="Arial"/>
                <w:sz w:val="13"/>
                <w:szCs w:val="13"/>
                <w:b w:val="1"/>
                <w:bCs w:val="1"/>
                <w:color w:val="FFFFFF"/>
                <w:w w:val="97"/>
              </w:rPr>
              <w:t>RECOMMENDATION</w:t>
            </w:r>
          </w:p>
        </w:tc>
      </w:tr>
      <w:tr>
        <w:trPr>
          <w:trHeight w:val="221"/>
        </w:trPr>
        <w:tc>
          <w:tcPr>
            <w:tcW w:w="880" w:type="dxa"/>
            <w:vAlign w:val="bottom"/>
            <w:shd w:val="clear" w:color="auto" w:fill="FEF5CF"/>
          </w:tcPr>
          <w:p>
            <w:pPr>
              <w:ind w:left="60"/>
              <w:spacing w:after="0"/>
              <w:rPr>
                <w:sz w:val="20"/>
                <w:szCs w:val="20"/>
                <w:color w:val="auto"/>
              </w:rPr>
            </w:pPr>
            <w:r>
              <w:rPr>
                <w:rFonts w:ascii="Arial" w:cs="Arial" w:eastAsia="Arial" w:hAnsi="Arial"/>
                <w:sz w:val="14"/>
                <w:szCs w:val="14"/>
                <w:color w:val="auto"/>
              </w:rPr>
              <w:t>1</w:t>
            </w:r>
          </w:p>
        </w:tc>
        <w:tc>
          <w:tcPr>
            <w:tcW w:w="7840" w:type="dxa"/>
            <w:vAlign w:val="bottom"/>
            <w:shd w:val="clear" w:color="auto" w:fill="FEF5CF"/>
          </w:tcPr>
          <w:p>
            <w:pPr>
              <w:ind w:left="100"/>
              <w:spacing w:after="0"/>
              <w:rPr>
                <w:sz w:val="20"/>
                <w:szCs w:val="20"/>
                <w:color w:val="auto"/>
              </w:rPr>
            </w:pPr>
            <w:r>
              <w:rPr>
                <w:rFonts w:ascii="Arial" w:cs="Arial" w:eastAsia="Arial" w:hAnsi="Arial"/>
                <w:sz w:val="14"/>
                <w:szCs w:val="14"/>
                <w:color w:val="auto"/>
              </w:rPr>
              <w:t>Election of the four Class I director nominees named in this Proxy Statement to serve until the 2024 Annual Meeting</w:t>
            </w:r>
          </w:p>
        </w:tc>
        <w:tc>
          <w:tcPr>
            <w:tcW w:w="2300" w:type="dxa"/>
            <w:vAlign w:val="bottom"/>
            <w:shd w:val="clear" w:color="auto" w:fill="FEF5CF"/>
          </w:tcPr>
          <w:p>
            <w:pPr>
              <w:ind w:left="180"/>
              <w:spacing w:after="0"/>
              <w:rPr>
                <w:sz w:val="20"/>
                <w:szCs w:val="20"/>
                <w:color w:val="auto"/>
              </w:rPr>
            </w:pPr>
            <w:r>
              <w:rPr>
                <w:rFonts w:ascii="Arial" w:cs="Arial" w:eastAsia="Arial" w:hAnsi="Arial"/>
                <w:sz w:val="14"/>
                <w:szCs w:val="14"/>
                <w:color w:val="auto"/>
              </w:rPr>
              <w:t>“FOR” each nominee</w:t>
            </w:r>
          </w:p>
        </w:tc>
      </w:tr>
      <w:tr>
        <w:trPr>
          <w:trHeight w:val="191"/>
        </w:trPr>
        <w:tc>
          <w:tcPr>
            <w:tcW w:w="880" w:type="dxa"/>
            <w:vAlign w:val="bottom"/>
            <w:tcBorders>
              <w:bottom w:val="single" w:sz="8" w:color="FEF5CF"/>
            </w:tcBorders>
            <w:shd w:val="clear" w:color="auto" w:fill="FEF5CF"/>
          </w:tcPr>
          <w:p>
            <w:pPr>
              <w:spacing w:after="0"/>
              <w:rPr>
                <w:sz w:val="16"/>
                <w:szCs w:val="16"/>
                <w:color w:val="auto"/>
              </w:rPr>
            </w:pPr>
          </w:p>
        </w:tc>
        <w:tc>
          <w:tcPr>
            <w:tcW w:w="7840" w:type="dxa"/>
            <w:vAlign w:val="bottom"/>
            <w:tcBorders>
              <w:bottom w:val="single" w:sz="8" w:color="FEF5CF"/>
            </w:tcBorders>
            <w:shd w:val="clear" w:color="auto" w:fill="FEF5CF"/>
          </w:tcPr>
          <w:p>
            <w:pPr>
              <w:ind w:left="100"/>
              <w:spacing w:after="0"/>
              <w:rPr>
                <w:sz w:val="20"/>
                <w:szCs w:val="20"/>
                <w:color w:val="auto"/>
              </w:rPr>
            </w:pPr>
            <w:r>
              <w:rPr>
                <w:rFonts w:ascii="Arial" w:cs="Arial" w:eastAsia="Arial" w:hAnsi="Arial"/>
                <w:sz w:val="14"/>
                <w:szCs w:val="14"/>
                <w:color w:val="auto"/>
              </w:rPr>
              <w:t>of Shareholders</w:t>
            </w:r>
          </w:p>
        </w:tc>
        <w:tc>
          <w:tcPr>
            <w:tcW w:w="2300" w:type="dxa"/>
            <w:vAlign w:val="bottom"/>
            <w:tcBorders>
              <w:bottom w:val="single" w:sz="8" w:color="FEF5CF"/>
            </w:tcBorders>
            <w:shd w:val="clear" w:color="auto" w:fill="FEF5CF"/>
          </w:tcPr>
          <w:p>
            <w:pPr>
              <w:spacing w:after="0"/>
              <w:rPr>
                <w:sz w:val="16"/>
                <w:szCs w:val="16"/>
                <w:color w:val="auto"/>
              </w:rPr>
            </w:pPr>
          </w:p>
        </w:tc>
      </w:tr>
      <w:tr>
        <w:trPr>
          <w:trHeight w:val="221"/>
        </w:trPr>
        <w:tc>
          <w:tcPr>
            <w:tcW w:w="880" w:type="dxa"/>
            <w:vAlign w:val="bottom"/>
          </w:tcPr>
          <w:p>
            <w:pPr>
              <w:ind w:left="60"/>
              <w:spacing w:after="0"/>
              <w:rPr>
                <w:sz w:val="20"/>
                <w:szCs w:val="20"/>
                <w:color w:val="auto"/>
              </w:rPr>
            </w:pPr>
            <w:r>
              <w:rPr>
                <w:rFonts w:ascii="Arial" w:cs="Arial" w:eastAsia="Arial" w:hAnsi="Arial"/>
                <w:sz w:val="14"/>
                <w:szCs w:val="14"/>
                <w:color w:val="auto"/>
              </w:rPr>
              <w:t>2</w:t>
            </w:r>
          </w:p>
        </w:tc>
        <w:tc>
          <w:tcPr>
            <w:tcW w:w="7840" w:type="dxa"/>
            <w:vAlign w:val="bottom"/>
          </w:tcPr>
          <w:p>
            <w:pPr>
              <w:ind w:left="100"/>
              <w:spacing w:after="0"/>
              <w:rPr>
                <w:sz w:val="20"/>
                <w:szCs w:val="20"/>
                <w:color w:val="auto"/>
              </w:rPr>
            </w:pPr>
            <w:r>
              <w:rPr>
                <w:rFonts w:ascii="Arial" w:cs="Arial" w:eastAsia="Arial" w:hAnsi="Arial"/>
                <w:sz w:val="14"/>
                <w:szCs w:val="14"/>
                <w:color w:val="auto"/>
              </w:rPr>
              <w:t>Ratification of the appointment of Ernst &amp; Young LLP as our independent registered public accounting firm for the fiscal</w:t>
            </w:r>
          </w:p>
        </w:tc>
        <w:tc>
          <w:tcPr>
            <w:tcW w:w="2300" w:type="dxa"/>
            <w:vAlign w:val="bottom"/>
          </w:tcPr>
          <w:p>
            <w:pPr>
              <w:ind w:left="180"/>
              <w:spacing w:after="0"/>
              <w:rPr>
                <w:sz w:val="20"/>
                <w:szCs w:val="20"/>
                <w:color w:val="auto"/>
              </w:rPr>
            </w:pPr>
            <w:r>
              <w:rPr>
                <w:rFonts w:ascii="Arial" w:cs="Arial" w:eastAsia="Arial" w:hAnsi="Arial"/>
                <w:sz w:val="14"/>
                <w:szCs w:val="14"/>
                <w:color w:val="auto"/>
              </w:rPr>
              <w:t>“FOR”</w:t>
            </w:r>
          </w:p>
        </w:tc>
      </w:tr>
      <w:tr>
        <w:trPr>
          <w:trHeight w:val="172"/>
        </w:trPr>
        <w:tc>
          <w:tcPr>
            <w:tcW w:w="880" w:type="dxa"/>
            <w:vAlign w:val="bottom"/>
          </w:tcPr>
          <w:p>
            <w:pPr>
              <w:spacing w:after="0"/>
              <w:rPr>
                <w:sz w:val="14"/>
                <w:szCs w:val="14"/>
                <w:color w:val="auto"/>
              </w:rPr>
            </w:pPr>
          </w:p>
        </w:tc>
        <w:tc>
          <w:tcPr>
            <w:tcW w:w="7840" w:type="dxa"/>
            <w:vAlign w:val="bottom"/>
          </w:tcPr>
          <w:p>
            <w:pPr>
              <w:ind w:left="100"/>
              <w:spacing w:after="0"/>
              <w:rPr>
                <w:sz w:val="20"/>
                <w:szCs w:val="20"/>
                <w:color w:val="auto"/>
              </w:rPr>
            </w:pPr>
            <w:r>
              <w:rPr>
                <w:rFonts w:ascii="Arial" w:cs="Arial" w:eastAsia="Arial" w:hAnsi="Arial"/>
                <w:sz w:val="14"/>
                <w:szCs w:val="14"/>
                <w:color w:val="auto"/>
              </w:rPr>
              <w:t>year ending December 31, 2021</w:t>
            </w:r>
          </w:p>
        </w:tc>
        <w:tc>
          <w:tcPr>
            <w:tcW w:w="2300" w:type="dxa"/>
            <w:vAlign w:val="bottom"/>
          </w:tcPr>
          <w:p>
            <w:pPr>
              <w:spacing w:after="0"/>
              <w:rPr>
                <w:sz w:val="14"/>
                <w:szCs w:val="14"/>
                <w:color w:val="auto"/>
              </w:rPr>
            </w:pPr>
          </w:p>
        </w:tc>
      </w:tr>
      <w:tr>
        <w:trPr>
          <w:trHeight w:val="39"/>
        </w:trPr>
        <w:tc>
          <w:tcPr>
            <w:tcW w:w="880" w:type="dxa"/>
            <w:vAlign w:val="bottom"/>
          </w:tcPr>
          <w:p>
            <w:pPr>
              <w:spacing w:after="0"/>
              <w:rPr>
                <w:sz w:val="3"/>
                <w:szCs w:val="3"/>
                <w:color w:val="auto"/>
              </w:rPr>
            </w:pPr>
          </w:p>
        </w:tc>
        <w:tc>
          <w:tcPr>
            <w:tcW w:w="7840" w:type="dxa"/>
            <w:vAlign w:val="bottom"/>
          </w:tcPr>
          <w:p>
            <w:pPr>
              <w:spacing w:after="0"/>
              <w:rPr>
                <w:sz w:val="3"/>
                <w:szCs w:val="3"/>
                <w:color w:val="auto"/>
              </w:rPr>
            </w:pPr>
          </w:p>
        </w:tc>
        <w:tc>
          <w:tcPr>
            <w:tcW w:w="2300" w:type="dxa"/>
            <w:vAlign w:val="bottom"/>
          </w:tcPr>
          <w:p>
            <w:pPr>
              <w:spacing w:after="0"/>
              <w:rPr>
                <w:sz w:val="3"/>
                <w:szCs w:val="3"/>
                <w:color w:val="auto"/>
              </w:rPr>
            </w:pPr>
          </w:p>
        </w:tc>
      </w:tr>
      <w:tr>
        <w:trPr>
          <w:trHeight w:val="221"/>
        </w:trPr>
        <w:tc>
          <w:tcPr>
            <w:tcW w:w="880" w:type="dxa"/>
            <w:vAlign w:val="bottom"/>
            <w:shd w:val="clear" w:color="auto" w:fill="FEF5CF"/>
          </w:tcPr>
          <w:p>
            <w:pPr>
              <w:ind w:left="60"/>
              <w:spacing w:after="0"/>
              <w:rPr>
                <w:sz w:val="20"/>
                <w:szCs w:val="20"/>
                <w:color w:val="auto"/>
              </w:rPr>
            </w:pPr>
            <w:r>
              <w:rPr>
                <w:rFonts w:ascii="Arial" w:cs="Arial" w:eastAsia="Arial" w:hAnsi="Arial"/>
                <w:sz w:val="14"/>
                <w:szCs w:val="14"/>
                <w:color w:val="auto"/>
              </w:rPr>
              <w:t>3</w:t>
            </w:r>
          </w:p>
        </w:tc>
        <w:tc>
          <w:tcPr>
            <w:tcW w:w="7840" w:type="dxa"/>
            <w:vAlign w:val="bottom"/>
            <w:shd w:val="clear" w:color="auto" w:fill="FEF5CF"/>
          </w:tcPr>
          <w:p>
            <w:pPr>
              <w:ind w:left="100"/>
              <w:spacing w:after="0"/>
              <w:rPr>
                <w:sz w:val="20"/>
                <w:szCs w:val="20"/>
                <w:color w:val="auto"/>
              </w:rPr>
            </w:pPr>
            <w:r>
              <w:rPr>
                <w:rFonts w:ascii="Arial" w:cs="Arial" w:eastAsia="Arial" w:hAnsi="Arial"/>
                <w:sz w:val="14"/>
                <w:szCs w:val="14"/>
                <w:color w:val="auto"/>
              </w:rPr>
              <w:t>Approval, on a non-binding advisory basis, of the compensation of our named executive officers as described in this</w:t>
            </w:r>
          </w:p>
        </w:tc>
        <w:tc>
          <w:tcPr>
            <w:tcW w:w="2300" w:type="dxa"/>
            <w:vAlign w:val="bottom"/>
            <w:shd w:val="clear" w:color="auto" w:fill="FEF5CF"/>
          </w:tcPr>
          <w:p>
            <w:pPr>
              <w:ind w:left="180"/>
              <w:spacing w:after="0"/>
              <w:rPr>
                <w:sz w:val="20"/>
                <w:szCs w:val="20"/>
                <w:color w:val="auto"/>
              </w:rPr>
            </w:pPr>
            <w:r>
              <w:rPr>
                <w:rFonts w:ascii="Arial" w:cs="Arial" w:eastAsia="Arial" w:hAnsi="Arial"/>
                <w:sz w:val="14"/>
                <w:szCs w:val="14"/>
                <w:color w:val="auto"/>
              </w:rPr>
              <w:t>“FOR”</w:t>
            </w:r>
          </w:p>
        </w:tc>
      </w:tr>
      <w:tr>
        <w:trPr>
          <w:trHeight w:val="172"/>
        </w:trPr>
        <w:tc>
          <w:tcPr>
            <w:tcW w:w="880" w:type="dxa"/>
            <w:vAlign w:val="bottom"/>
            <w:shd w:val="clear" w:color="auto" w:fill="FEF5CF"/>
          </w:tcPr>
          <w:p>
            <w:pPr>
              <w:spacing w:after="0"/>
              <w:rPr>
                <w:sz w:val="14"/>
                <w:szCs w:val="14"/>
                <w:color w:val="auto"/>
              </w:rPr>
            </w:pPr>
          </w:p>
        </w:tc>
        <w:tc>
          <w:tcPr>
            <w:tcW w:w="7840" w:type="dxa"/>
            <w:vAlign w:val="bottom"/>
            <w:shd w:val="clear" w:color="auto" w:fill="FEF5CF"/>
          </w:tcPr>
          <w:p>
            <w:pPr>
              <w:ind w:left="100"/>
              <w:spacing w:after="0"/>
              <w:rPr>
                <w:sz w:val="20"/>
                <w:szCs w:val="20"/>
                <w:color w:val="auto"/>
              </w:rPr>
            </w:pPr>
            <w:r>
              <w:rPr>
                <w:rFonts w:ascii="Arial" w:cs="Arial" w:eastAsia="Arial" w:hAnsi="Arial"/>
                <w:sz w:val="14"/>
                <w:szCs w:val="14"/>
                <w:color w:val="auto"/>
              </w:rPr>
              <w:t>Proxy Statement</w:t>
            </w:r>
          </w:p>
        </w:tc>
        <w:tc>
          <w:tcPr>
            <w:tcW w:w="2300" w:type="dxa"/>
            <w:vAlign w:val="bottom"/>
            <w:shd w:val="clear" w:color="auto" w:fill="FEF5CF"/>
          </w:tcPr>
          <w:p>
            <w:pPr>
              <w:spacing w:after="0"/>
              <w:rPr>
                <w:sz w:val="14"/>
                <w:szCs w:val="14"/>
                <w:color w:val="auto"/>
              </w:rPr>
            </w:pPr>
          </w:p>
        </w:tc>
      </w:tr>
      <w:tr>
        <w:trPr>
          <w:trHeight w:val="39"/>
        </w:trPr>
        <w:tc>
          <w:tcPr>
            <w:tcW w:w="880" w:type="dxa"/>
            <w:vAlign w:val="bottom"/>
            <w:shd w:val="clear" w:color="auto" w:fill="FEF5CF"/>
          </w:tcPr>
          <w:p>
            <w:pPr>
              <w:spacing w:after="0"/>
              <w:rPr>
                <w:sz w:val="3"/>
                <w:szCs w:val="3"/>
                <w:color w:val="auto"/>
              </w:rPr>
            </w:pPr>
          </w:p>
        </w:tc>
        <w:tc>
          <w:tcPr>
            <w:tcW w:w="7840" w:type="dxa"/>
            <w:vAlign w:val="bottom"/>
            <w:shd w:val="clear" w:color="auto" w:fill="FEF5CF"/>
          </w:tcPr>
          <w:p>
            <w:pPr>
              <w:spacing w:after="0"/>
              <w:rPr>
                <w:sz w:val="3"/>
                <w:szCs w:val="3"/>
                <w:color w:val="auto"/>
              </w:rPr>
            </w:pPr>
          </w:p>
        </w:tc>
        <w:tc>
          <w:tcPr>
            <w:tcW w:w="2300" w:type="dxa"/>
            <w:vAlign w:val="bottom"/>
            <w:shd w:val="clear" w:color="auto" w:fill="FEF5CF"/>
          </w:tcPr>
          <w:p>
            <w:pPr>
              <w:spacing w:after="0"/>
              <w:rPr>
                <w:sz w:val="3"/>
                <w:szCs w:val="3"/>
                <w:color w:val="auto"/>
              </w:rPr>
            </w:pPr>
          </w:p>
        </w:tc>
      </w:tr>
    </w:tbl>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VOTING AND SOLICITATION</w:t>
      </w:r>
    </w:p>
    <w:p>
      <w:pPr>
        <w:spacing w:after="0" w:line="13" w:lineRule="exact"/>
        <w:rPr>
          <w:sz w:val="20"/>
          <w:szCs w:val="20"/>
          <w:color w:val="auto"/>
        </w:rPr>
      </w:pPr>
    </w:p>
    <w:p>
      <w:pPr>
        <w:ind w:left="120" w:right="60"/>
        <w:spacing w:after="0" w:line="238" w:lineRule="auto"/>
        <w:rPr>
          <w:sz w:val="20"/>
          <w:szCs w:val="20"/>
          <w:color w:val="auto"/>
        </w:rPr>
      </w:pPr>
      <w:r>
        <w:rPr>
          <w:rFonts w:ascii="Arial" w:cs="Arial" w:eastAsia="Arial" w:hAnsi="Arial"/>
          <w:sz w:val="18"/>
          <w:szCs w:val="18"/>
          <w:color w:val="auto"/>
        </w:rPr>
        <w:t>Only holders of record of shares of the Company’s common stock, par value $0.01 (“Common Stock”), as of the close of business on March 12, 2021, the record date fixed by the Board (the “Record Date”), are entitled to notice of, and to vote at, the Annual Meeting and at any adjournments or postponements thereof. As of the Record Date, there were 115,640,358 shares of Common Stock outstanding. Each shareholder is entitled to one vote for each share of Common Stock held as of the Record Date on all matters presented at the Annual Meeting.</w:t>
      </w:r>
    </w:p>
    <w:p>
      <w:pPr>
        <w:spacing w:after="0" w:line="175" w:lineRule="exact"/>
        <w:rPr>
          <w:sz w:val="20"/>
          <w:szCs w:val="20"/>
          <w:color w:val="auto"/>
        </w:rPr>
      </w:pPr>
    </w:p>
    <w:p>
      <w:pPr>
        <w:ind w:left="120" w:right="520"/>
        <w:spacing w:after="0"/>
        <w:rPr>
          <w:sz w:val="20"/>
          <w:szCs w:val="20"/>
          <w:color w:val="auto"/>
        </w:rPr>
      </w:pPr>
      <w:r>
        <w:rPr>
          <w:rFonts w:ascii="Arial" w:cs="Arial" w:eastAsia="Arial" w:hAnsi="Arial"/>
          <w:sz w:val="18"/>
          <w:szCs w:val="18"/>
          <w:color w:val="auto"/>
        </w:rPr>
        <w:t>At least a majority of the outstanding shares of Common Stock must be represented at the Annual Meeting, in person or by proxy, to constitute a quorum and to transact business at the Annual Meeting. Abstentions and broker non-votes are counted for purposes determining whether there is a quorum.</w:t>
      </w:r>
    </w:p>
    <w:p>
      <w:pPr>
        <w:spacing w:after="0" w:line="162"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For each item to be acted upon at the Annual Meeting, the item will be approved if the number of votes cast in favor of the item by the shareholders entitled to vote exceeds the number of votes cast in opposition to the item. You may vote “for,” “against” or abstain from voting on these proposals, and in the case of Proposal 1, you may vote “for,” “against” or abstain from voting on each director nominee. Abstentions will not be counted as votes cast on an item and, therefore, will not affect the outcome of these proposals. Broker non-votes will not be counted as votes cast on Proposals 1 and 3 and, therefore, will not affect the outcome of these proposals. Shares represented by properly executed and unrevoked proxies will be voted at the Annual Meeting in accordance with the directions of shareholders indicated in their proxies. If no specification is made, shares represented by properly executed and unrevoked proxies will be voted in accordance with the specific recommendations of the Board set forth above. If any other matter properly comes before the Annual Meeting, the shares will be voted in the discretion of the persons voting pursuant to the respective proxies.</w:t>
      </w:r>
    </w:p>
    <w:p>
      <w:pPr>
        <w:spacing w:after="0" w:line="166"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 xml:space="preserve">For a shareholder who holds his or her shares through an intermediary, such as a broker, bank or other nominee (referred to as “beneficial owners”), such intermediary will not be permitted to vote on Proposal 1 (the election of directors) or Proposal 3 (approval of the compensation of our named executive officers (known as a “Say-on-Pay” vote)) (this situation is called a “broker non-vote”). </w:t>
      </w:r>
      <w:r>
        <w:rPr>
          <w:rFonts w:ascii="Arial" w:cs="Arial" w:eastAsia="Arial" w:hAnsi="Arial"/>
          <w:sz w:val="18"/>
          <w:szCs w:val="18"/>
          <w:b w:val="1"/>
          <w:bCs w:val="1"/>
          <w:color w:val="auto"/>
        </w:rPr>
        <w:t>Accordingly,</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we encourage you to vote your shares on all matters being considered at the Annual Meeting. </w:t>
      </w:r>
      <w:r>
        <w:rPr>
          <w:rFonts w:ascii="Arial" w:cs="Arial" w:eastAsia="Arial" w:hAnsi="Arial"/>
          <w:sz w:val="18"/>
          <w:szCs w:val="18"/>
          <w:color w:val="auto"/>
        </w:rPr>
        <w:t>Notwithstanding the occurrence of a</w:t>
      </w:r>
      <w:r>
        <w:rPr>
          <w:rFonts w:ascii="Arial" w:cs="Arial" w:eastAsia="Arial" w:hAnsi="Arial"/>
          <w:sz w:val="18"/>
          <w:szCs w:val="18"/>
          <w:b w:val="1"/>
          <w:bCs w:val="1"/>
          <w:color w:val="auto"/>
        </w:rPr>
        <w:t xml:space="preserve"> </w:t>
      </w:r>
      <w:r>
        <w:rPr>
          <w:rFonts w:ascii="Arial" w:cs="Arial" w:eastAsia="Arial" w:hAnsi="Arial"/>
          <w:sz w:val="18"/>
          <w:szCs w:val="18"/>
          <w:color w:val="auto"/>
        </w:rPr>
        <w:t>broker non-vote, the intermediary may still vote the shareholder’s shares on Proposal 2 (ratification of Ernst &amp; Young LLP as our independent auditor).</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73</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2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voting requirements to elect directors and to approve each of the proposals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134620</wp:posOffset>
            </wp:positionV>
            <wp:extent cx="8255" cy="1054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105473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134620</wp:posOffset>
            </wp:positionV>
            <wp:extent cx="8255" cy="1054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1054735"/>
                    </a:xfrm>
                    <a:prstGeom prst="rect">
                      <a:avLst/>
                    </a:prstGeom>
                    <a:noFill/>
                  </pic:spPr>
                </pic:pic>
              </a:graphicData>
            </a:graphic>
          </wp:anchor>
        </w:drawing>
        <w:drawing>
          <wp:anchor simplePos="0" relativeHeight="251657728" behindDoc="1" locked="0" layoutInCell="0" allowOverlap="1">
            <wp:simplePos x="0" y="0"/>
            <wp:positionH relativeFrom="column">
              <wp:posOffset>664845</wp:posOffset>
            </wp:positionH>
            <wp:positionV relativeFrom="paragraph">
              <wp:posOffset>134620</wp:posOffset>
            </wp:positionV>
            <wp:extent cx="8890" cy="1054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1054735"/>
                    </a:xfrm>
                    <a:prstGeom prst="rect">
                      <a:avLst/>
                    </a:prstGeom>
                    <a:noFill/>
                  </pic:spPr>
                </pic:pic>
              </a:graphicData>
            </a:graphic>
          </wp:anchor>
        </w:drawing>
      </w:r>
    </w:p>
    <w:p>
      <w:pPr>
        <w:spacing w:after="0" w:line="19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920" w:type="dxa"/>
            <w:vAlign w:val="bottom"/>
            <w:shd w:val="clear" w:color="auto" w:fill="FCD83F"/>
          </w:tcPr>
          <w:p>
            <w:pPr>
              <w:ind w:left="60"/>
              <w:spacing w:after="0"/>
              <w:rPr>
                <w:sz w:val="20"/>
                <w:szCs w:val="20"/>
                <w:color w:val="auto"/>
              </w:rPr>
            </w:pPr>
            <w:r>
              <w:rPr>
                <w:rFonts w:ascii="Arial" w:cs="Arial" w:eastAsia="Arial" w:hAnsi="Arial"/>
                <w:sz w:val="13"/>
                <w:szCs w:val="13"/>
                <w:b w:val="1"/>
                <w:bCs w:val="1"/>
                <w:color w:val="FFFFFF"/>
              </w:rPr>
              <w:t>PROPOSAL</w:t>
            </w:r>
          </w:p>
        </w:tc>
        <w:tc>
          <w:tcPr>
            <w:tcW w:w="3860" w:type="dxa"/>
            <w:vAlign w:val="bottom"/>
            <w:shd w:val="clear" w:color="auto" w:fill="FCD83F"/>
          </w:tcPr>
          <w:p>
            <w:pPr>
              <w:spacing w:after="0"/>
              <w:rPr>
                <w:sz w:val="13"/>
                <w:szCs w:val="13"/>
                <w:color w:val="auto"/>
              </w:rPr>
            </w:pPr>
          </w:p>
        </w:tc>
        <w:tc>
          <w:tcPr>
            <w:tcW w:w="4040" w:type="dxa"/>
            <w:vAlign w:val="bottom"/>
            <w:shd w:val="clear" w:color="auto" w:fill="FCD83F"/>
          </w:tcPr>
          <w:p>
            <w:pPr>
              <w:spacing w:after="0"/>
              <w:rPr>
                <w:sz w:val="13"/>
                <w:szCs w:val="13"/>
                <w:color w:val="auto"/>
              </w:rPr>
            </w:pPr>
          </w:p>
        </w:tc>
        <w:tc>
          <w:tcPr>
            <w:tcW w:w="2200" w:type="dxa"/>
            <w:vAlign w:val="bottom"/>
            <w:shd w:val="clear" w:color="auto" w:fill="FCD83F"/>
          </w:tcPr>
          <w:p>
            <w:pPr>
              <w:jc w:val="center"/>
              <w:spacing w:after="0"/>
              <w:rPr>
                <w:sz w:val="20"/>
                <w:szCs w:val="20"/>
                <w:color w:val="auto"/>
              </w:rPr>
            </w:pPr>
            <w:r>
              <w:rPr>
                <w:rFonts w:ascii="Arial" w:cs="Arial" w:eastAsia="Arial" w:hAnsi="Arial"/>
                <w:sz w:val="13"/>
                <w:szCs w:val="13"/>
                <w:b w:val="1"/>
                <w:bCs w:val="1"/>
                <w:color w:val="FFFFFF"/>
                <w:w w:val="96"/>
              </w:rPr>
              <w:t>BROKER DISCRETIONARY</w:t>
            </w:r>
          </w:p>
        </w:tc>
      </w:tr>
      <w:tr>
        <w:trPr>
          <w:trHeight w:val="196"/>
        </w:trPr>
        <w:tc>
          <w:tcPr>
            <w:tcW w:w="920" w:type="dxa"/>
            <w:vAlign w:val="bottom"/>
            <w:tcBorders>
              <w:bottom w:val="single" w:sz="8" w:color="FCD83F"/>
            </w:tcBorders>
            <w:shd w:val="clear" w:color="auto" w:fill="FCD83F"/>
          </w:tcPr>
          <w:p>
            <w:pPr>
              <w:ind w:left="60"/>
              <w:spacing w:after="0"/>
              <w:rPr>
                <w:sz w:val="20"/>
                <w:szCs w:val="20"/>
                <w:color w:val="auto"/>
              </w:rPr>
            </w:pPr>
            <w:r>
              <w:rPr>
                <w:rFonts w:ascii="Arial" w:cs="Arial" w:eastAsia="Arial" w:hAnsi="Arial"/>
                <w:sz w:val="13"/>
                <w:szCs w:val="13"/>
                <w:b w:val="1"/>
                <w:bCs w:val="1"/>
                <w:color w:val="FFFFFF"/>
              </w:rPr>
              <w:t>NUMBER</w:t>
            </w:r>
          </w:p>
        </w:tc>
        <w:tc>
          <w:tcPr>
            <w:tcW w:w="3860" w:type="dxa"/>
            <w:vAlign w:val="bottom"/>
            <w:tcBorders>
              <w:bottom w:val="single" w:sz="8" w:color="FCD83F"/>
            </w:tcBorders>
            <w:shd w:val="clear" w:color="auto" w:fill="FCD83F"/>
          </w:tcPr>
          <w:p>
            <w:pPr>
              <w:ind w:left="1640"/>
              <w:spacing w:after="0"/>
              <w:rPr>
                <w:sz w:val="20"/>
                <w:szCs w:val="20"/>
                <w:color w:val="auto"/>
              </w:rPr>
            </w:pPr>
            <w:r>
              <w:rPr>
                <w:rFonts w:ascii="Arial" w:cs="Arial" w:eastAsia="Arial" w:hAnsi="Arial"/>
                <w:sz w:val="13"/>
                <w:szCs w:val="13"/>
                <w:b w:val="1"/>
                <w:bCs w:val="1"/>
                <w:color w:val="FFFFFF"/>
              </w:rPr>
              <w:t>PROPOSAL</w:t>
            </w:r>
          </w:p>
        </w:tc>
        <w:tc>
          <w:tcPr>
            <w:tcW w:w="4040" w:type="dxa"/>
            <w:vAlign w:val="bottom"/>
            <w:tcBorders>
              <w:bottom w:val="single" w:sz="8" w:color="FCD83F"/>
            </w:tcBorders>
            <w:shd w:val="clear" w:color="auto" w:fill="FCD83F"/>
          </w:tcPr>
          <w:p>
            <w:pPr>
              <w:ind w:left="1540"/>
              <w:spacing w:after="0"/>
              <w:rPr>
                <w:sz w:val="20"/>
                <w:szCs w:val="20"/>
                <w:color w:val="auto"/>
              </w:rPr>
            </w:pPr>
            <w:r>
              <w:rPr>
                <w:rFonts w:ascii="Arial" w:cs="Arial" w:eastAsia="Arial" w:hAnsi="Arial"/>
                <w:sz w:val="13"/>
                <w:szCs w:val="13"/>
                <w:b w:val="1"/>
                <w:bCs w:val="1"/>
                <w:color w:val="FFFFFF"/>
              </w:rPr>
              <w:t>VOTE REQUIRED</w:t>
            </w:r>
          </w:p>
        </w:tc>
        <w:tc>
          <w:tcPr>
            <w:tcW w:w="2200" w:type="dxa"/>
            <w:vAlign w:val="bottom"/>
            <w:tcBorders>
              <w:bottom w:val="single" w:sz="8" w:color="FCD83F"/>
            </w:tcBorders>
            <w:shd w:val="clear" w:color="auto" w:fill="FCD83F"/>
          </w:tcPr>
          <w:p>
            <w:pPr>
              <w:jc w:val="center"/>
              <w:spacing w:after="0"/>
              <w:rPr>
                <w:sz w:val="20"/>
                <w:szCs w:val="20"/>
                <w:color w:val="auto"/>
              </w:rPr>
            </w:pPr>
            <w:r>
              <w:rPr>
                <w:rFonts w:ascii="Arial" w:cs="Arial" w:eastAsia="Arial" w:hAnsi="Arial"/>
                <w:sz w:val="13"/>
                <w:szCs w:val="13"/>
                <w:b w:val="1"/>
                <w:bCs w:val="1"/>
                <w:color w:val="FFFFFF"/>
                <w:w w:val="97"/>
              </w:rPr>
              <w:t>VOTING ALLOWED</w:t>
            </w:r>
          </w:p>
        </w:tc>
      </w:tr>
      <w:tr>
        <w:trPr>
          <w:trHeight w:val="221"/>
        </w:trPr>
        <w:tc>
          <w:tcPr>
            <w:tcW w:w="920" w:type="dxa"/>
            <w:vAlign w:val="bottom"/>
            <w:shd w:val="clear" w:color="auto" w:fill="FEF5CF"/>
          </w:tcPr>
          <w:p>
            <w:pPr>
              <w:ind w:left="60"/>
              <w:spacing w:after="0"/>
              <w:rPr>
                <w:sz w:val="20"/>
                <w:szCs w:val="20"/>
                <w:color w:val="auto"/>
              </w:rPr>
            </w:pPr>
            <w:r>
              <w:rPr>
                <w:rFonts w:ascii="Arial" w:cs="Arial" w:eastAsia="Arial" w:hAnsi="Arial"/>
                <w:sz w:val="14"/>
                <w:szCs w:val="14"/>
                <w:color w:val="auto"/>
              </w:rPr>
              <w:t>1</w:t>
            </w:r>
          </w:p>
        </w:tc>
        <w:tc>
          <w:tcPr>
            <w:tcW w:w="3860" w:type="dxa"/>
            <w:vAlign w:val="bottom"/>
            <w:shd w:val="clear" w:color="auto" w:fill="FEF5CF"/>
          </w:tcPr>
          <w:p>
            <w:pPr>
              <w:ind w:left="120"/>
              <w:spacing w:after="0"/>
              <w:rPr>
                <w:sz w:val="20"/>
                <w:szCs w:val="20"/>
                <w:color w:val="auto"/>
              </w:rPr>
            </w:pPr>
            <w:r>
              <w:rPr>
                <w:rFonts w:ascii="Arial" w:cs="Arial" w:eastAsia="Arial" w:hAnsi="Arial"/>
                <w:sz w:val="14"/>
                <w:szCs w:val="14"/>
                <w:color w:val="auto"/>
              </w:rPr>
              <w:t>Election of the four Class I directors</w:t>
            </w:r>
          </w:p>
        </w:tc>
        <w:tc>
          <w:tcPr>
            <w:tcW w:w="4040" w:type="dxa"/>
            <w:vAlign w:val="bottom"/>
            <w:shd w:val="clear" w:color="auto" w:fill="FEF5CF"/>
          </w:tcPr>
          <w:p>
            <w:pPr>
              <w:ind w:left="260"/>
              <w:spacing w:after="0"/>
              <w:rPr>
                <w:sz w:val="20"/>
                <w:szCs w:val="20"/>
                <w:color w:val="auto"/>
              </w:rPr>
            </w:pPr>
            <w:r>
              <w:rPr>
                <w:rFonts w:ascii="Arial" w:cs="Arial" w:eastAsia="Arial" w:hAnsi="Arial"/>
                <w:sz w:val="14"/>
                <w:szCs w:val="14"/>
                <w:color w:val="auto"/>
              </w:rPr>
              <w:t>Number of votes cast in favor exceeds number of votes</w:t>
            </w:r>
          </w:p>
        </w:tc>
        <w:tc>
          <w:tcPr>
            <w:tcW w:w="2200" w:type="dxa"/>
            <w:vAlign w:val="bottom"/>
            <w:shd w:val="clear" w:color="auto" w:fill="FEF5CF"/>
          </w:tcPr>
          <w:p>
            <w:pPr>
              <w:jc w:val="center"/>
              <w:spacing w:after="0"/>
              <w:rPr>
                <w:sz w:val="20"/>
                <w:szCs w:val="20"/>
                <w:color w:val="auto"/>
              </w:rPr>
            </w:pPr>
            <w:r>
              <w:rPr>
                <w:rFonts w:ascii="Arial" w:cs="Arial" w:eastAsia="Arial" w:hAnsi="Arial"/>
                <w:sz w:val="14"/>
                <w:szCs w:val="14"/>
                <w:color w:val="auto"/>
              </w:rPr>
              <w:t>No</w:t>
            </w:r>
          </w:p>
        </w:tc>
      </w:tr>
      <w:tr>
        <w:trPr>
          <w:trHeight w:val="191"/>
        </w:trPr>
        <w:tc>
          <w:tcPr>
            <w:tcW w:w="920" w:type="dxa"/>
            <w:vAlign w:val="bottom"/>
            <w:tcBorders>
              <w:bottom w:val="single" w:sz="8" w:color="FEF5CF"/>
            </w:tcBorders>
            <w:shd w:val="clear" w:color="auto" w:fill="FEF5CF"/>
          </w:tcPr>
          <w:p>
            <w:pPr>
              <w:spacing w:after="0"/>
              <w:rPr>
                <w:sz w:val="16"/>
                <w:szCs w:val="16"/>
                <w:color w:val="auto"/>
              </w:rPr>
            </w:pPr>
          </w:p>
        </w:tc>
        <w:tc>
          <w:tcPr>
            <w:tcW w:w="3860" w:type="dxa"/>
            <w:vAlign w:val="bottom"/>
            <w:tcBorders>
              <w:bottom w:val="single" w:sz="8" w:color="FEF5CF"/>
            </w:tcBorders>
            <w:shd w:val="clear" w:color="auto" w:fill="FEF5CF"/>
          </w:tcPr>
          <w:p>
            <w:pPr>
              <w:spacing w:after="0"/>
              <w:rPr>
                <w:sz w:val="16"/>
                <w:szCs w:val="16"/>
                <w:color w:val="auto"/>
              </w:rPr>
            </w:pPr>
          </w:p>
        </w:tc>
        <w:tc>
          <w:tcPr>
            <w:tcW w:w="4040" w:type="dxa"/>
            <w:vAlign w:val="bottom"/>
            <w:tcBorders>
              <w:bottom w:val="single" w:sz="8" w:color="FEF5CF"/>
            </w:tcBorders>
            <w:shd w:val="clear" w:color="auto" w:fill="FEF5CF"/>
          </w:tcPr>
          <w:p>
            <w:pPr>
              <w:ind w:left="260"/>
              <w:spacing w:after="0"/>
              <w:rPr>
                <w:sz w:val="20"/>
                <w:szCs w:val="20"/>
                <w:color w:val="auto"/>
              </w:rPr>
            </w:pPr>
            <w:r>
              <w:rPr>
                <w:rFonts w:ascii="Arial" w:cs="Arial" w:eastAsia="Arial" w:hAnsi="Arial"/>
                <w:sz w:val="14"/>
                <w:szCs w:val="14"/>
                <w:color w:val="auto"/>
              </w:rPr>
              <w:t>cast in opposition</w:t>
            </w:r>
          </w:p>
        </w:tc>
        <w:tc>
          <w:tcPr>
            <w:tcW w:w="2200" w:type="dxa"/>
            <w:vAlign w:val="bottom"/>
            <w:tcBorders>
              <w:bottom w:val="single" w:sz="8" w:color="FEF5CF"/>
            </w:tcBorders>
            <w:shd w:val="clear" w:color="auto" w:fill="FEF5CF"/>
          </w:tcPr>
          <w:p>
            <w:pPr>
              <w:spacing w:after="0"/>
              <w:rPr>
                <w:sz w:val="16"/>
                <w:szCs w:val="16"/>
                <w:color w:val="auto"/>
              </w:rPr>
            </w:pPr>
          </w:p>
        </w:tc>
      </w:tr>
      <w:tr>
        <w:trPr>
          <w:trHeight w:val="221"/>
        </w:trPr>
        <w:tc>
          <w:tcPr>
            <w:tcW w:w="920" w:type="dxa"/>
            <w:vAlign w:val="bottom"/>
          </w:tcPr>
          <w:p>
            <w:pPr>
              <w:ind w:left="60"/>
              <w:spacing w:after="0"/>
              <w:rPr>
                <w:sz w:val="20"/>
                <w:szCs w:val="20"/>
                <w:color w:val="auto"/>
              </w:rPr>
            </w:pPr>
            <w:r>
              <w:rPr>
                <w:rFonts w:ascii="Arial" w:cs="Arial" w:eastAsia="Arial" w:hAnsi="Arial"/>
                <w:sz w:val="14"/>
                <w:szCs w:val="14"/>
                <w:color w:val="auto"/>
              </w:rPr>
              <w:t>2</w:t>
            </w:r>
          </w:p>
        </w:tc>
        <w:tc>
          <w:tcPr>
            <w:tcW w:w="3860" w:type="dxa"/>
            <w:vAlign w:val="bottom"/>
          </w:tcPr>
          <w:p>
            <w:pPr>
              <w:ind w:left="120"/>
              <w:spacing w:after="0"/>
              <w:rPr>
                <w:sz w:val="20"/>
                <w:szCs w:val="20"/>
                <w:color w:val="auto"/>
              </w:rPr>
            </w:pPr>
            <w:r>
              <w:rPr>
                <w:rFonts w:ascii="Arial" w:cs="Arial" w:eastAsia="Arial" w:hAnsi="Arial"/>
                <w:sz w:val="14"/>
                <w:szCs w:val="14"/>
                <w:color w:val="auto"/>
              </w:rPr>
              <w:t>Ratification of Ernst &amp; Young LLP</w:t>
            </w:r>
          </w:p>
        </w:tc>
        <w:tc>
          <w:tcPr>
            <w:tcW w:w="4040" w:type="dxa"/>
            <w:vAlign w:val="bottom"/>
          </w:tcPr>
          <w:p>
            <w:pPr>
              <w:ind w:left="260"/>
              <w:spacing w:after="0"/>
              <w:rPr>
                <w:sz w:val="20"/>
                <w:szCs w:val="20"/>
                <w:color w:val="auto"/>
              </w:rPr>
            </w:pPr>
            <w:r>
              <w:rPr>
                <w:rFonts w:ascii="Arial" w:cs="Arial" w:eastAsia="Arial" w:hAnsi="Arial"/>
                <w:sz w:val="14"/>
                <w:szCs w:val="14"/>
                <w:color w:val="auto"/>
              </w:rPr>
              <w:t>Number of votes cast in favor exceeds number of votes</w:t>
            </w:r>
          </w:p>
        </w:tc>
        <w:tc>
          <w:tcPr>
            <w:tcW w:w="2200" w:type="dxa"/>
            <w:vAlign w:val="bottom"/>
          </w:tcPr>
          <w:p>
            <w:pPr>
              <w:jc w:val="center"/>
              <w:spacing w:after="0"/>
              <w:rPr>
                <w:sz w:val="20"/>
                <w:szCs w:val="20"/>
                <w:color w:val="auto"/>
              </w:rPr>
            </w:pPr>
            <w:r>
              <w:rPr>
                <w:rFonts w:ascii="Arial" w:cs="Arial" w:eastAsia="Arial" w:hAnsi="Arial"/>
                <w:sz w:val="14"/>
                <w:szCs w:val="14"/>
                <w:color w:val="auto"/>
                <w:w w:val="90"/>
              </w:rPr>
              <w:t>Yes</w:t>
            </w:r>
          </w:p>
        </w:tc>
      </w:tr>
      <w:tr>
        <w:trPr>
          <w:trHeight w:val="172"/>
        </w:trPr>
        <w:tc>
          <w:tcPr>
            <w:tcW w:w="9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40" w:type="dxa"/>
            <w:vAlign w:val="bottom"/>
          </w:tcPr>
          <w:p>
            <w:pPr>
              <w:ind w:left="260"/>
              <w:spacing w:after="0"/>
              <w:rPr>
                <w:sz w:val="20"/>
                <w:szCs w:val="20"/>
                <w:color w:val="auto"/>
              </w:rPr>
            </w:pPr>
            <w:r>
              <w:rPr>
                <w:rFonts w:ascii="Arial" w:cs="Arial" w:eastAsia="Arial" w:hAnsi="Arial"/>
                <w:sz w:val="14"/>
                <w:szCs w:val="14"/>
                <w:color w:val="auto"/>
              </w:rPr>
              <w:t>cast in opposition</w:t>
            </w:r>
          </w:p>
        </w:tc>
        <w:tc>
          <w:tcPr>
            <w:tcW w:w="2200" w:type="dxa"/>
            <w:vAlign w:val="bottom"/>
          </w:tcPr>
          <w:p>
            <w:pPr>
              <w:spacing w:after="0"/>
              <w:rPr>
                <w:sz w:val="14"/>
                <w:szCs w:val="14"/>
                <w:color w:val="auto"/>
              </w:rPr>
            </w:pPr>
          </w:p>
        </w:tc>
      </w:tr>
      <w:tr>
        <w:trPr>
          <w:trHeight w:val="39"/>
        </w:trPr>
        <w:tc>
          <w:tcPr>
            <w:tcW w:w="9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4040" w:type="dxa"/>
            <w:vAlign w:val="bottom"/>
          </w:tcPr>
          <w:p>
            <w:pPr>
              <w:spacing w:after="0"/>
              <w:rPr>
                <w:sz w:val="3"/>
                <w:szCs w:val="3"/>
                <w:color w:val="auto"/>
              </w:rPr>
            </w:pPr>
          </w:p>
        </w:tc>
        <w:tc>
          <w:tcPr>
            <w:tcW w:w="2200" w:type="dxa"/>
            <w:vAlign w:val="bottom"/>
          </w:tcPr>
          <w:p>
            <w:pPr>
              <w:spacing w:after="0"/>
              <w:rPr>
                <w:sz w:val="3"/>
                <w:szCs w:val="3"/>
                <w:color w:val="auto"/>
              </w:rPr>
            </w:pPr>
          </w:p>
        </w:tc>
      </w:tr>
      <w:tr>
        <w:trPr>
          <w:trHeight w:val="221"/>
        </w:trPr>
        <w:tc>
          <w:tcPr>
            <w:tcW w:w="920" w:type="dxa"/>
            <w:vAlign w:val="bottom"/>
            <w:shd w:val="clear" w:color="auto" w:fill="FEF5CF"/>
          </w:tcPr>
          <w:p>
            <w:pPr>
              <w:ind w:left="60"/>
              <w:spacing w:after="0"/>
              <w:rPr>
                <w:sz w:val="20"/>
                <w:szCs w:val="20"/>
                <w:color w:val="auto"/>
              </w:rPr>
            </w:pPr>
            <w:r>
              <w:rPr>
                <w:rFonts w:ascii="Arial" w:cs="Arial" w:eastAsia="Arial" w:hAnsi="Arial"/>
                <w:sz w:val="14"/>
                <w:szCs w:val="14"/>
                <w:color w:val="auto"/>
              </w:rPr>
              <w:t>3</w:t>
            </w:r>
          </w:p>
        </w:tc>
        <w:tc>
          <w:tcPr>
            <w:tcW w:w="3860" w:type="dxa"/>
            <w:vAlign w:val="bottom"/>
            <w:shd w:val="clear" w:color="auto" w:fill="FEF5CF"/>
          </w:tcPr>
          <w:p>
            <w:pPr>
              <w:ind w:left="120"/>
              <w:spacing w:after="0"/>
              <w:rPr>
                <w:sz w:val="20"/>
                <w:szCs w:val="20"/>
                <w:color w:val="auto"/>
              </w:rPr>
            </w:pPr>
            <w:r>
              <w:rPr>
                <w:rFonts w:ascii="Arial" w:cs="Arial" w:eastAsia="Arial" w:hAnsi="Arial"/>
                <w:sz w:val="14"/>
                <w:szCs w:val="14"/>
                <w:color w:val="auto"/>
              </w:rPr>
              <w:t>Advisory Vote to Approve the Compensation of Named</w:t>
            </w:r>
          </w:p>
        </w:tc>
        <w:tc>
          <w:tcPr>
            <w:tcW w:w="4040" w:type="dxa"/>
            <w:vAlign w:val="bottom"/>
            <w:shd w:val="clear" w:color="auto" w:fill="FEF5CF"/>
          </w:tcPr>
          <w:p>
            <w:pPr>
              <w:ind w:left="260"/>
              <w:spacing w:after="0"/>
              <w:rPr>
                <w:sz w:val="20"/>
                <w:szCs w:val="20"/>
                <w:color w:val="auto"/>
              </w:rPr>
            </w:pPr>
            <w:r>
              <w:rPr>
                <w:rFonts w:ascii="Arial" w:cs="Arial" w:eastAsia="Arial" w:hAnsi="Arial"/>
                <w:sz w:val="14"/>
                <w:szCs w:val="14"/>
                <w:color w:val="auto"/>
              </w:rPr>
              <w:t>Number of votes cast in favor exceeds number of votes</w:t>
            </w:r>
          </w:p>
        </w:tc>
        <w:tc>
          <w:tcPr>
            <w:tcW w:w="2200" w:type="dxa"/>
            <w:vAlign w:val="bottom"/>
            <w:shd w:val="clear" w:color="auto" w:fill="FEF5CF"/>
          </w:tcPr>
          <w:p>
            <w:pPr>
              <w:jc w:val="center"/>
              <w:spacing w:after="0"/>
              <w:rPr>
                <w:sz w:val="20"/>
                <w:szCs w:val="20"/>
                <w:color w:val="auto"/>
              </w:rPr>
            </w:pPr>
            <w:r>
              <w:rPr>
                <w:rFonts w:ascii="Arial" w:cs="Arial" w:eastAsia="Arial" w:hAnsi="Arial"/>
                <w:sz w:val="14"/>
                <w:szCs w:val="14"/>
                <w:color w:val="auto"/>
              </w:rPr>
              <w:t>No</w:t>
            </w:r>
          </w:p>
        </w:tc>
      </w:tr>
      <w:tr>
        <w:trPr>
          <w:trHeight w:val="172"/>
        </w:trPr>
        <w:tc>
          <w:tcPr>
            <w:tcW w:w="920" w:type="dxa"/>
            <w:vAlign w:val="bottom"/>
            <w:shd w:val="clear" w:color="auto" w:fill="FEF5CF"/>
          </w:tcPr>
          <w:p>
            <w:pPr>
              <w:spacing w:after="0"/>
              <w:rPr>
                <w:sz w:val="14"/>
                <w:szCs w:val="14"/>
                <w:color w:val="auto"/>
              </w:rPr>
            </w:pPr>
          </w:p>
        </w:tc>
        <w:tc>
          <w:tcPr>
            <w:tcW w:w="3860" w:type="dxa"/>
            <w:vAlign w:val="bottom"/>
            <w:shd w:val="clear" w:color="auto" w:fill="FEF5CF"/>
          </w:tcPr>
          <w:p>
            <w:pPr>
              <w:ind w:left="120"/>
              <w:spacing w:after="0"/>
              <w:rPr>
                <w:sz w:val="20"/>
                <w:szCs w:val="20"/>
                <w:color w:val="auto"/>
              </w:rPr>
            </w:pPr>
            <w:r>
              <w:rPr>
                <w:rFonts w:ascii="Arial" w:cs="Arial" w:eastAsia="Arial" w:hAnsi="Arial"/>
                <w:sz w:val="14"/>
                <w:szCs w:val="14"/>
                <w:color w:val="auto"/>
              </w:rPr>
              <w:t>Executive Officers</w:t>
            </w:r>
          </w:p>
        </w:tc>
        <w:tc>
          <w:tcPr>
            <w:tcW w:w="4040" w:type="dxa"/>
            <w:vAlign w:val="bottom"/>
            <w:shd w:val="clear" w:color="auto" w:fill="FEF5CF"/>
          </w:tcPr>
          <w:p>
            <w:pPr>
              <w:ind w:left="260"/>
              <w:spacing w:after="0"/>
              <w:rPr>
                <w:sz w:val="20"/>
                <w:szCs w:val="20"/>
                <w:color w:val="auto"/>
              </w:rPr>
            </w:pPr>
            <w:r>
              <w:rPr>
                <w:rFonts w:ascii="Arial" w:cs="Arial" w:eastAsia="Arial" w:hAnsi="Arial"/>
                <w:sz w:val="14"/>
                <w:szCs w:val="14"/>
                <w:color w:val="auto"/>
              </w:rPr>
              <w:t>cast in opposition</w:t>
            </w:r>
          </w:p>
        </w:tc>
        <w:tc>
          <w:tcPr>
            <w:tcW w:w="2200" w:type="dxa"/>
            <w:vAlign w:val="bottom"/>
            <w:shd w:val="clear" w:color="auto" w:fill="FEF5CF"/>
          </w:tcPr>
          <w:p>
            <w:pPr>
              <w:spacing w:after="0"/>
              <w:rPr>
                <w:sz w:val="14"/>
                <w:szCs w:val="14"/>
                <w:color w:val="auto"/>
              </w:rPr>
            </w:pPr>
          </w:p>
        </w:tc>
      </w:tr>
      <w:tr>
        <w:trPr>
          <w:trHeight w:val="39"/>
        </w:trPr>
        <w:tc>
          <w:tcPr>
            <w:tcW w:w="920" w:type="dxa"/>
            <w:vAlign w:val="bottom"/>
            <w:shd w:val="clear" w:color="auto" w:fill="FEF5CF"/>
          </w:tcPr>
          <w:p>
            <w:pPr>
              <w:spacing w:after="0"/>
              <w:rPr>
                <w:sz w:val="3"/>
                <w:szCs w:val="3"/>
                <w:color w:val="auto"/>
              </w:rPr>
            </w:pPr>
          </w:p>
        </w:tc>
        <w:tc>
          <w:tcPr>
            <w:tcW w:w="3860" w:type="dxa"/>
            <w:vAlign w:val="bottom"/>
            <w:shd w:val="clear" w:color="auto" w:fill="FEF5CF"/>
          </w:tcPr>
          <w:p>
            <w:pPr>
              <w:spacing w:after="0"/>
              <w:rPr>
                <w:sz w:val="3"/>
                <w:szCs w:val="3"/>
                <w:color w:val="auto"/>
              </w:rPr>
            </w:pPr>
          </w:p>
        </w:tc>
        <w:tc>
          <w:tcPr>
            <w:tcW w:w="4040" w:type="dxa"/>
            <w:vAlign w:val="bottom"/>
            <w:shd w:val="clear" w:color="auto" w:fill="FEF5CF"/>
          </w:tcPr>
          <w:p>
            <w:pPr>
              <w:spacing w:after="0"/>
              <w:rPr>
                <w:sz w:val="3"/>
                <w:szCs w:val="3"/>
                <w:color w:val="auto"/>
              </w:rPr>
            </w:pPr>
          </w:p>
        </w:tc>
        <w:tc>
          <w:tcPr>
            <w:tcW w:w="2200" w:type="dxa"/>
            <w:vAlign w:val="bottom"/>
            <w:shd w:val="clear" w:color="auto" w:fill="FEF5CF"/>
          </w:tcPr>
          <w:p>
            <w:pPr>
              <w:spacing w:after="0"/>
              <w:rPr>
                <w:sz w:val="3"/>
                <w:szCs w:val="3"/>
                <w:color w:val="auto"/>
              </w:rPr>
            </w:pPr>
          </w:p>
        </w:tc>
      </w:tr>
    </w:tbl>
    <w:p>
      <w:pPr>
        <w:spacing w:after="0" w:line="17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HOW YOU CAN VOTE</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331E19"/>
        </w:rPr>
        <w:t xml:space="preserve">Shareholders of Record. </w:t>
      </w:r>
      <w:r>
        <w:rPr>
          <w:rFonts w:ascii="Arial" w:cs="Arial" w:eastAsia="Arial" w:hAnsi="Arial"/>
          <w:sz w:val="18"/>
          <w:szCs w:val="18"/>
          <w:color w:val="000000"/>
        </w:rPr>
        <w:t>For shareholders of record, there are four different ways you can vote:</w:t>
      </w:r>
    </w:p>
    <w:p>
      <w:pPr>
        <w:spacing w:after="0" w:line="14" w:lineRule="exact"/>
        <w:rPr>
          <w:sz w:val="20"/>
          <w:szCs w:val="20"/>
          <w:color w:val="auto"/>
        </w:rPr>
      </w:pPr>
    </w:p>
    <w:p>
      <w:pPr>
        <w:ind w:left="540" w:hanging="208"/>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331E19"/>
        </w:rPr>
        <w:t xml:space="preserve">By Internet. </w:t>
      </w:r>
      <w:r>
        <w:rPr>
          <w:rFonts w:ascii="Arial" w:cs="Arial" w:eastAsia="Arial" w:hAnsi="Arial"/>
          <w:sz w:val="18"/>
          <w:szCs w:val="18"/>
          <w:color w:val="000000"/>
        </w:rPr>
        <w:t>To vote via the Internet, use the website on the enclosed proxy card.</w:t>
      </w:r>
    </w:p>
    <w:p>
      <w:pPr>
        <w:spacing w:after="0" w:line="36" w:lineRule="exact"/>
        <w:rPr>
          <w:rFonts w:ascii="Arial" w:cs="Arial" w:eastAsia="Arial" w:hAnsi="Arial"/>
          <w:sz w:val="18"/>
          <w:szCs w:val="18"/>
          <w:color w:val="auto"/>
        </w:rPr>
      </w:pPr>
    </w:p>
    <w:p>
      <w:pPr>
        <w:ind w:left="540" w:hanging="208"/>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331E19"/>
        </w:rPr>
        <w:t xml:space="preserve">By Telephone. </w:t>
      </w:r>
      <w:r>
        <w:rPr>
          <w:rFonts w:ascii="Arial" w:cs="Arial" w:eastAsia="Arial" w:hAnsi="Arial"/>
          <w:sz w:val="18"/>
          <w:szCs w:val="18"/>
          <w:color w:val="000000"/>
        </w:rPr>
        <w:t>To vote by telephone, call the toll-free number on the enclosed proxy card.</w:t>
      </w:r>
    </w:p>
    <w:p>
      <w:pPr>
        <w:spacing w:after="0" w:line="36" w:lineRule="exact"/>
        <w:rPr>
          <w:rFonts w:ascii="Arial" w:cs="Arial" w:eastAsia="Arial" w:hAnsi="Arial"/>
          <w:sz w:val="18"/>
          <w:szCs w:val="18"/>
          <w:color w:val="auto"/>
        </w:rPr>
      </w:pPr>
    </w:p>
    <w:p>
      <w:pPr>
        <w:ind w:left="540" w:hanging="208"/>
        <w:spacing w:after="0"/>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331E19"/>
        </w:rPr>
        <w:t xml:space="preserve">By Mail. </w:t>
      </w:r>
      <w:r>
        <w:rPr>
          <w:rFonts w:ascii="Arial" w:cs="Arial" w:eastAsia="Arial" w:hAnsi="Arial"/>
          <w:sz w:val="18"/>
          <w:szCs w:val="18"/>
          <w:color w:val="000000"/>
        </w:rPr>
        <w:t>To vote by mail, follow the instructions on the enclosed proxy card.</w:t>
      </w:r>
    </w:p>
    <w:p>
      <w:pPr>
        <w:spacing w:after="0" w:line="36" w:lineRule="exact"/>
        <w:rPr>
          <w:rFonts w:ascii="Arial" w:cs="Arial" w:eastAsia="Arial" w:hAnsi="Arial"/>
          <w:sz w:val="18"/>
          <w:szCs w:val="18"/>
          <w:color w:val="auto"/>
        </w:rPr>
      </w:pPr>
    </w:p>
    <w:p>
      <w:pPr>
        <w:ind w:left="540" w:right="440" w:hanging="208"/>
        <w:spacing w:after="0" w:line="253"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331E19"/>
        </w:rPr>
        <w:t>By Participating in the Virtual Annual Meeting</w:t>
      </w:r>
      <w:r>
        <w:rPr>
          <w:rFonts w:ascii="Arial" w:cs="Arial" w:eastAsia="Arial" w:hAnsi="Arial"/>
          <w:sz w:val="18"/>
          <w:szCs w:val="18"/>
          <w:color w:val="000000"/>
        </w:rPr>
        <w:t>. To vote electronically during the virtual Annual Meeting, visit</w:t>
      </w:r>
      <w:r>
        <w:rPr>
          <w:rFonts w:ascii="Arial" w:cs="Arial" w:eastAsia="Arial" w:hAnsi="Arial"/>
          <w:sz w:val="18"/>
          <w:szCs w:val="18"/>
          <w:b w:val="1"/>
          <w:bCs w:val="1"/>
          <w:color w:val="331E19"/>
        </w:rPr>
        <w:t xml:space="preserve"> </w:t>
      </w:r>
      <w:r>
        <w:rPr>
          <w:rFonts w:ascii="Arial" w:cs="Arial" w:eastAsia="Arial" w:hAnsi="Arial"/>
          <w:sz w:val="18"/>
          <w:szCs w:val="18"/>
          <w:color w:val="000000"/>
        </w:rPr>
        <w:t>http://www.virtualshareholdermeeting.com/WYNN2021, log in using the 16-digit control number printed in the box marked by the arrow on your proxy card, click on the vote button on the screen and follow the instructions provided.</w:t>
      </w:r>
    </w:p>
    <w:p>
      <w:pPr>
        <w:spacing w:after="0" w:line="150"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 xml:space="preserve">The Internet and telephone voting procedures are designed to authenticate your identity, to allow you to vote your shares and to confirm that your voting instructions have been properly recorded. Specific instructions are set forth on the enclosed proxy card. In order to be timely processed, an Internet or telephone vote must be received by </w:t>
      </w:r>
      <w:r>
        <w:rPr>
          <w:rFonts w:ascii="Arial" w:cs="Arial" w:eastAsia="Arial" w:hAnsi="Arial"/>
          <w:sz w:val="18"/>
          <w:szCs w:val="18"/>
          <w:b w:val="1"/>
          <w:bCs w:val="1"/>
          <w:color w:val="auto"/>
        </w:rPr>
        <w:t>11:59 p.m. Eastern Time on May 4, 2021</w:t>
      </w:r>
      <w:r>
        <w:rPr>
          <w:rFonts w:ascii="Arial" w:cs="Arial" w:eastAsia="Arial" w:hAnsi="Arial"/>
          <w:sz w:val="18"/>
          <w:szCs w:val="18"/>
          <w:color w:val="auto"/>
        </w:rPr>
        <w:t>. Regardless of the method you choose, your vote is important. Please vote by following the specific instructions on your proxy card.</w:t>
      </w:r>
    </w:p>
    <w:p>
      <w:pPr>
        <w:spacing w:after="0" w:line="142" w:lineRule="exact"/>
        <w:rPr>
          <w:sz w:val="20"/>
          <w:szCs w:val="20"/>
          <w:color w:val="auto"/>
        </w:rPr>
      </w:pPr>
    </w:p>
    <w:p>
      <w:pPr>
        <w:ind w:left="120" w:right="20"/>
        <w:spacing w:after="0" w:line="247" w:lineRule="auto"/>
        <w:rPr>
          <w:sz w:val="20"/>
          <w:szCs w:val="20"/>
          <w:color w:val="auto"/>
        </w:rPr>
      </w:pPr>
      <w:r>
        <w:rPr>
          <w:rFonts w:ascii="Arial" w:cs="Arial" w:eastAsia="Arial" w:hAnsi="Arial"/>
          <w:sz w:val="18"/>
          <w:szCs w:val="18"/>
          <w:b w:val="1"/>
          <w:bCs w:val="1"/>
          <w:color w:val="331E19"/>
        </w:rPr>
        <w:t xml:space="preserve">Beneficial Shareholders. </w:t>
      </w:r>
      <w:r>
        <w:rPr>
          <w:rFonts w:ascii="Arial" w:cs="Arial" w:eastAsia="Arial" w:hAnsi="Arial"/>
          <w:sz w:val="18"/>
          <w:szCs w:val="18"/>
          <w:color w:val="000000"/>
        </w:rPr>
        <w:t>For shareholders who own shares of the Company’s Common Stock through an intermediary, such as a broker,</w:t>
      </w:r>
      <w:r>
        <w:rPr>
          <w:rFonts w:ascii="Arial" w:cs="Arial" w:eastAsia="Arial" w:hAnsi="Arial"/>
          <w:sz w:val="18"/>
          <w:szCs w:val="18"/>
          <w:b w:val="1"/>
          <w:bCs w:val="1"/>
          <w:color w:val="331E19"/>
        </w:rPr>
        <w:t xml:space="preserve"> </w:t>
      </w:r>
      <w:r>
        <w:rPr>
          <w:rFonts w:ascii="Arial" w:cs="Arial" w:eastAsia="Arial" w:hAnsi="Arial"/>
          <w:sz w:val="18"/>
          <w:szCs w:val="18"/>
          <w:color w:val="000000"/>
        </w:rPr>
        <w:t>bank or other nominee, the ultimate intermediary is the shareholder of record but will vote your shares in accordance with your instructions. In order to have your shares voted, you will need to follow the instructions for voting provided by your broker, bank or other nominee.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REVOCABILITY OF PROXIES</w:t>
      </w:r>
    </w:p>
    <w:p>
      <w:pPr>
        <w:spacing w:after="0" w:line="1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b w:val="1"/>
          <w:bCs w:val="1"/>
          <w:color w:val="331E19"/>
        </w:rPr>
        <w:t xml:space="preserve">Shareholders of Record. </w:t>
      </w:r>
      <w:r>
        <w:rPr>
          <w:rFonts w:ascii="Arial" w:cs="Arial" w:eastAsia="Arial" w:hAnsi="Arial"/>
          <w:sz w:val="18"/>
          <w:szCs w:val="18"/>
          <w:color w:val="000000"/>
        </w:rPr>
        <w:t>If you are a shareholder of record and you deliver a proxy pursuant to this solicitation, you may revoke that</w:t>
      </w:r>
      <w:r>
        <w:rPr>
          <w:rFonts w:ascii="Arial" w:cs="Arial" w:eastAsia="Arial" w:hAnsi="Arial"/>
          <w:sz w:val="18"/>
          <w:szCs w:val="18"/>
          <w:b w:val="1"/>
          <w:bCs w:val="1"/>
          <w:color w:val="331E19"/>
        </w:rPr>
        <w:t xml:space="preserve"> </w:t>
      </w:r>
      <w:r>
        <w:rPr>
          <w:rFonts w:ascii="Arial" w:cs="Arial" w:eastAsia="Arial" w:hAnsi="Arial"/>
          <w:sz w:val="18"/>
          <w:szCs w:val="18"/>
          <w:color w:val="000000"/>
        </w:rPr>
        <w:t>proxy at any time before it is voted by (a) giving written notice to our Corporate Secretary at the address set forth below, (b) delivering to our Corporate Secretary a later dated proxy, (c) submitting another proxy by telephone or over the Internet (your latest telephone or Internet voting instructions are followed), or (d) voting electronically during the Annual Meeting. Written notice of revocation or subsequent proxy should be sent to:</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Wynn Resorts, Limited</w:t>
      </w:r>
    </w:p>
    <w:p>
      <w:pPr>
        <w:ind w:left="560"/>
        <w:spacing w:after="0" w:line="234" w:lineRule="auto"/>
        <w:rPr>
          <w:sz w:val="20"/>
          <w:szCs w:val="20"/>
          <w:color w:val="auto"/>
        </w:rPr>
      </w:pPr>
      <w:r>
        <w:rPr>
          <w:rFonts w:ascii="Arial" w:cs="Arial" w:eastAsia="Arial" w:hAnsi="Arial"/>
          <w:sz w:val="18"/>
          <w:szCs w:val="18"/>
          <w:color w:val="auto"/>
        </w:rPr>
        <w:t>c/o Corporate Secretary</w:t>
      </w:r>
    </w:p>
    <w:p>
      <w:pPr>
        <w:ind w:left="560"/>
        <w:spacing w:after="0" w:line="235" w:lineRule="auto"/>
        <w:rPr>
          <w:sz w:val="20"/>
          <w:szCs w:val="20"/>
          <w:color w:val="auto"/>
        </w:rPr>
      </w:pPr>
      <w:r>
        <w:rPr>
          <w:rFonts w:ascii="Arial" w:cs="Arial" w:eastAsia="Arial" w:hAnsi="Arial"/>
          <w:sz w:val="18"/>
          <w:szCs w:val="18"/>
          <w:color w:val="auto"/>
        </w:rPr>
        <w:t>3131 Las Vegas Boulevard South</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Las Vegas, Nevada 89109</w:t>
      </w:r>
    </w:p>
    <w:p>
      <w:pPr>
        <w:spacing w:after="0" w:line="149"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b w:val="1"/>
          <w:bCs w:val="1"/>
          <w:color w:val="331E19"/>
        </w:rPr>
        <w:t xml:space="preserve">Beneficial Shareholders. </w:t>
      </w:r>
      <w:r>
        <w:rPr>
          <w:rFonts w:ascii="Arial" w:cs="Arial" w:eastAsia="Arial" w:hAnsi="Arial"/>
          <w:sz w:val="18"/>
          <w:szCs w:val="18"/>
          <w:color w:val="000000"/>
        </w:rPr>
        <w:t>If your shares are held through an intermediary, such as a bank, broker or other nominee, you must contact</w:t>
      </w:r>
      <w:r>
        <w:rPr>
          <w:rFonts w:ascii="Arial" w:cs="Arial" w:eastAsia="Arial" w:hAnsi="Arial"/>
          <w:sz w:val="18"/>
          <w:szCs w:val="18"/>
          <w:b w:val="1"/>
          <w:bCs w:val="1"/>
          <w:color w:val="331E19"/>
        </w:rPr>
        <w:t xml:space="preserve"> </w:t>
      </w:r>
      <w:r>
        <w:rPr>
          <w:rFonts w:ascii="Arial" w:cs="Arial" w:eastAsia="Arial" w:hAnsi="Arial"/>
          <w:sz w:val="18"/>
          <w:szCs w:val="18"/>
          <w:color w:val="000000"/>
        </w:rPr>
        <w:t>that person if you wish to revoke previously given voting instructions. In this case, attendance at the Annual Meeting, in and of itself, does not revoke a prior proxy.</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PARTICIPATING IN THE ANNUAL MEETING</w:t>
      </w:r>
    </w:p>
    <w:p>
      <w:pPr>
        <w:spacing w:after="0" w:line="1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b w:val="1"/>
          <w:bCs w:val="1"/>
          <w:color w:val="auto"/>
        </w:rPr>
        <w:t xml:space="preserve">Control Number. </w:t>
      </w:r>
      <w:r>
        <w:rPr>
          <w:rFonts w:ascii="Arial" w:cs="Arial" w:eastAsia="Arial" w:hAnsi="Arial"/>
          <w:sz w:val="18"/>
          <w:szCs w:val="18"/>
          <w:color w:val="auto"/>
        </w:rPr>
        <w:t>You will need the 16-digit control number that is printed in the box marked by the arrow on your proxy card to enter the</w:t>
      </w:r>
      <w:r>
        <w:rPr>
          <w:rFonts w:ascii="Arial" w:cs="Arial" w:eastAsia="Arial" w:hAnsi="Arial"/>
          <w:sz w:val="18"/>
          <w:szCs w:val="18"/>
          <w:b w:val="1"/>
          <w:bCs w:val="1"/>
          <w:color w:val="auto"/>
        </w:rPr>
        <w:t xml:space="preserve"> </w:t>
      </w:r>
      <w:r>
        <w:rPr>
          <w:rFonts w:ascii="Arial" w:cs="Arial" w:eastAsia="Arial" w:hAnsi="Arial"/>
          <w:sz w:val="18"/>
          <w:szCs w:val="18"/>
          <w:color w:val="auto"/>
        </w:rPr>
        <w:t>virtual Annual Meeting.</w:t>
      </w:r>
    </w:p>
    <w:p>
      <w:pPr>
        <w:spacing w:after="0" w:line="41" w:lineRule="exact"/>
        <w:rPr>
          <w:sz w:val="20"/>
          <w:szCs w:val="20"/>
          <w:color w:val="auto"/>
        </w:rPr>
      </w:pPr>
    </w:p>
    <w:p>
      <w:pPr>
        <w:ind w:left="800" w:hanging="684"/>
        <w:spacing w:after="0"/>
        <w:tabs>
          <w:tab w:leader="none" w:pos="800" w:val="left"/>
        </w:tabs>
        <w:numPr>
          <w:ilvl w:val="0"/>
          <w:numId w:val="99"/>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1"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b w:val="1"/>
          <w:bCs w:val="1"/>
          <w:color w:val="331E19"/>
        </w:rPr>
        <w:t xml:space="preserve">Notice of Internet Availability of Proxy Materials. </w:t>
      </w:r>
      <w:r>
        <w:rPr>
          <w:rFonts w:ascii="Arial" w:cs="Arial" w:eastAsia="Arial" w:hAnsi="Arial"/>
          <w:sz w:val="18"/>
          <w:szCs w:val="18"/>
          <w:color w:val="000000"/>
        </w:rPr>
        <w:t>Under rules adopted by the U.S. Securities and Exchange Commission (the “SEC”),</w:t>
      </w:r>
      <w:r>
        <w:rPr>
          <w:rFonts w:ascii="Arial" w:cs="Arial" w:eastAsia="Arial" w:hAnsi="Arial"/>
          <w:sz w:val="18"/>
          <w:szCs w:val="18"/>
          <w:b w:val="1"/>
          <w:bCs w:val="1"/>
          <w:color w:val="331E19"/>
        </w:rPr>
        <w:t xml:space="preserve"> </w:t>
      </w:r>
      <w:r>
        <w:rPr>
          <w:rFonts w:ascii="Arial" w:cs="Arial" w:eastAsia="Arial" w:hAnsi="Arial"/>
          <w:sz w:val="18"/>
          <w:szCs w:val="18"/>
          <w:color w:val="000000"/>
        </w:rPr>
        <w:t>we are furnishing proxy materials to some shareholders via the Internet, instead of mailing printed copies of those materials to each shareholder. On or about March 25, 2021, we mailed to shareholders either a printed copy of our Annual Meeting materials or a Notice of Internet Availability containing instructions on how to access our Annual Meeting materials, including this Proxy Statement and our Annual Report for the fiscal year ending December 31, 2020. The Notice of Internet Availability also explains how to vote through the Internet or by telephone.</w:t>
      </w:r>
    </w:p>
    <w:p>
      <w:pPr>
        <w:spacing w:after="0" w:line="174" w:lineRule="exact"/>
        <w:rPr>
          <w:sz w:val="20"/>
          <w:szCs w:val="20"/>
          <w:color w:val="auto"/>
        </w:rPr>
      </w:pPr>
    </w:p>
    <w:p>
      <w:pPr>
        <w:ind w:left="120" w:right="200"/>
        <w:spacing w:after="0" w:line="238" w:lineRule="auto"/>
        <w:rPr>
          <w:sz w:val="20"/>
          <w:szCs w:val="20"/>
          <w:color w:val="auto"/>
        </w:rPr>
      </w:pPr>
      <w:r>
        <w:rPr>
          <w:rFonts w:ascii="Arial" w:cs="Arial" w:eastAsia="Arial" w:hAnsi="Arial"/>
          <w:sz w:val="18"/>
          <w:szCs w:val="18"/>
          <w:color w:val="auto"/>
        </w:rPr>
        <w:t>This electronic access process expedites shareholders’ receipt of our Annual Meeting materials, lowers the cost of our Annual Meeting and conserves natural resources. However, if you would prefer to receive a printed copy of our Annual Meeting materials, a paper proxy card or voting instructions card, please follow the instructions included in the Notice of Internet Availability. If you have previously elected to receive our Annual Meeting materials electronically or by mail, you will continue to receive these materials in that format unless you elect otherwise.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PROXY PROCEDURE AND EXPENSES OF SOLICITATION</w:t>
      </w:r>
    </w:p>
    <w:p>
      <w:pPr>
        <w:spacing w:after="0" w:line="13" w:lineRule="exact"/>
        <w:rPr>
          <w:sz w:val="20"/>
          <w:szCs w:val="20"/>
          <w:color w:val="auto"/>
        </w:rPr>
      </w:pPr>
    </w:p>
    <w:p>
      <w:pPr>
        <w:ind w:left="120" w:right="100"/>
        <w:spacing w:after="0" w:line="237" w:lineRule="auto"/>
        <w:rPr>
          <w:sz w:val="20"/>
          <w:szCs w:val="20"/>
          <w:color w:val="auto"/>
        </w:rPr>
      </w:pPr>
      <w:r>
        <w:rPr>
          <w:rFonts w:ascii="Arial" w:cs="Arial" w:eastAsia="Arial" w:hAnsi="Arial"/>
          <w:sz w:val="18"/>
          <w:szCs w:val="18"/>
          <w:color w:val="auto"/>
        </w:rPr>
        <w:t>We have retained Broadridge Financial Solutions, an independent tabulator, to receive and tabulate the proxies, to serve as an inspector of elections, and to certify the results. In addition, we have engaged Innisfree M&amp;A Incorporated (“Innisfree”), a professional proxy solicitation firm, to assist in the solicitation of proxies for the Annual Meeting. The Company has agreed to pay Innisfree a fee of $17,500, plus reimbursement for out of pocket expenses. The address of Innisfree is 501 Madison Avenue, 20th Floor, New York, New York 10022. If you need assistance in completing your proxy card or have questions regarding the Annual Meeting, please contact Innisfree toll-free at (888) 750-5834.</w:t>
      </w:r>
    </w:p>
    <w:p>
      <w:pPr>
        <w:spacing w:after="0" w:line="164" w:lineRule="exact"/>
        <w:rPr>
          <w:sz w:val="20"/>
          <w:szCs w:val="20"/>
          <w:color w:val="auto"/>
        </w:rPr>
      </w:pPr>
    </w:p>
    <w:p>
      <w:pPr>
        <w:ind w:left="120" w:right="320"/>
        <w:spacing w:after="0" w:line="246" w:lineRule="auto"/>
        <w:rPr>
          <w:sz w:val="20"/>
          <w:szCs w:val="20"/>
          <w:color w:val="auto"/>
        </w:rPr>
      </w:pPr>
      <w:r>
        <w:rPr>
          <w:rFonts w:ascii="Arial" w:cs="Arial" w:eastAsia="Arial" w:hAnsi="Arial"/>
          <w:sz w:val="18"/>
          <w:szCs w:val="18"/>
          <w:color w:val="auto"/>
        </w:rPr>
        <w:t>All expenses incurred in connection with the solicitation of proxies will be borne by us. We will also reimburse banks, brokers and other nominees for their expenses in forwarding proxy materials to beneficial owners of Common Stock held in their names.</w:t>
      </w:r>
    </w:p>
    <w:p>
      <w:pPr>
        <w:spacing w:after="0" w:line="170" w:lineRule="exact"/>
        <w:rPr>
          <w:sz w:val="20"/>
          <w:szCs w:val="20"/>
          <w:color w:val="auto"/>
        </w:rPr>
      </w:pPr>
    </w:p>
    <w:p>
      <w:pPr>
        <w:ind w:left="120" w:right="260"/>
        <w:spacing w:after="0" w:line="246" w:lineRule="auto"/>
        <w:rPr>
          <w:sz w:val="20"/>
          <w:szCs w:val="20"/>
          <w:color w:val="auto"/>
        </w:rPr>
      </w:pPr>
      <w:r>
        <w:rPr>
          <w:rFonts w:ascii="Arial" w:cs="Arial" w:eastAsia="Arial" w:hAnsi="Arial"/>
          <w:sz w:val="18"/>
          <w:szCs w:val="18"/>
          <w:color w:val="auto"/>
        </w:rPr>
        <w:t>Solicitation may be undertaken by mail, telephone, personal contact or other similar means by directors, officers and employees without additional compensation.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SHAREHOLDER PROPOSALS</w:t>
      </w:r>
    </w:p>
    <w:p>
      <w:pPr>
        <w:spacing w:after="0" w:line="13" w:lineRule="exact"/>
        <w:rPr>
          <w:sz w:val="20"/>
          <w:szCs w:val="20"/>
          <w:color w:val="auto"/>
        </w:rPr>
      </w:pPr>
    </w:p>
    <w:p>
      <w:pPr>
        <w:ind w:left="120" w:right="260"/>
        <w:spacing w:after="0" w:line="238" w:lineRule="auto"/>
        <w:rPr>
          <w:sz w:val="20"/>
          <w:szCs w:val="20"/>
          <w:color w:val="auto"/>
        </w:rPr>
      </w:pPr>
      <w:r>
        <w:rPr>
          <w:rFonts w:ascii="Arial" w:cs="Arial" w:eastAsia="Arial" w:hAnsi="Arial"/>
          <w:sz w:val="18"/>
          <w:szCs w:val="18"/>
          <w:color w:val="auto"/>
        </w:rPr>
        <w:t>Shareholders intending to present a proposal at the 2022 Annual Meeting of Shareholders for inclusion in our proxy statement for that meeting pursuant to Rule 14a-8 of the Exchange Act must submit the proposal in writing to Wynn Resorts, Limited, Attention: Corporate Secretary, 3131 Las Vegas Boulevard South, Las Vegas, Nevada 89109. Such proposals must comply with the requirements of Rule 14a-8 of the Exchange Act and must be received by the Company no later than December 31, 2021.</w:t>
      </w:r>
    </w:p>
    <w:p>
      <w:pPr>
        <w:spacing w:after="0" w:line="164"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In addition, our Bylaws provide notice procedures for shareholders to nominate a person as a director and to propose business to be considered by shareholders at a meeting when nomination and/or the other business are not submitted for inclusion in the Company’s proxy statement. Generally, notice of a nomination or proposal not submitted pursuant to Rule 14a-8 must be delivered to us not later than the close of business on the 90th day, nor earlier than the close of business on the 120th day, prior to the first anniversary of the preceding year’s annual meeting. However, if the date of the annual meeting is more than 30 days before or more than 70 days after such anniversary date, notice must be delivered to us not earlier than the close of business on the 120th day prior to such annual meeting date and not later than the close of business on the later of the 90th day prior to such annual meeting or the 10th day following the day on which public announcement of the date of such meeting is first made.</w:t>
      </w:r>
    </w:p>
    <w:p>
      <w:pPr>
        <w:spacing w:after="0" w:line="181"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Accordingly, for our 2022 Annual Meeting, notice of a nomination or proposal must be delivered to us no later than February 4, 2022 and no earlier than January 5, 2022. Nominations and proposals also must satisfy other requirements set forth in the Bylaws. If a shareholder complies with the forgoing notice provisions and with certain additional procedural requirements in the Bylaws and SEC rules, the Company will have authority to vote shares under proxies we solicit when and if the nomination or proposal is raised at the Annual Meeting. The Chair of the Board may refuse to acknowledge the introduction of any shareholder proposal not made in compliance with the foregoing procedures.</w:t>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1"/>
          <w:szCs w:val="11"/>
          <w:b w:val="1"/>
          <w:bCs w:val="1"/>
          <w:color w:val="auto"/>
        </w:rPr>
        <w:t>75</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39750" cy="2482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39750" cy="24828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220"/>
        <w:spacing w:after="0"/>
        <w:rPr>
          <w:sz w:val="20"/>
          <w:szCs w:val="20"/>
          <w:color w:val="auto"/>
        </w:rPr>
      </w:pPr>
      <w:r>
        <w:rPr>
          <w:rFonts w:ascii="Arial" w:cs="Arial" w:eastAsia="Arial" w:hAnsi="Arial"/>
          <w:sz w:val="11"/>
          <w:szCs w:val="11"/>
          <w:b w:val="1"/>
          <w:bCs w:val="1"/>
          <w:color w:val="333D3F"/>
        </w:rPr>
        <w:t>2021 PROXY STATEMENT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ANNUAL REPORT</w:t>
      </w:r>
    </w:p>
    <w:p>
      <w:pPr>
        <w:spacing w:after="0" w:line="13" w:lineRule="exact"/>
        <w:rPr>
          <w:sz w:val="20"/>
          <w:szCs w:val="20"/>
          <w:color w:val="auto"/>
        </w:rPr>
      </w:pPr>
    </w:p>
    <w:p>
      <w:pPr>
        <w:ind w:left="120" w:right="40"/>
        <w:spacing w:after="0" w:line="237" w:lineRule="auto"/>
        <w:rPr>
          <w:sz w:val="20"/>
          <w:szCs w:val="20"/>
          <w:color w:val="auto"/>
        </w:rPr>
      </w:pPr>
      <w:r>
        <w:rPr>
          <w:rFonts w:ascii="Arial" w:cs="Arial" w:eastAsia="Arial" w:hAnsi="Arial"/>
          <w:sz w:val="18"/>
          <w:szCs w:val="18"/>
          <w:color w:val="auto"/>
        </w:rPr>
        <w:t>Our financial statements for the year ended December 31, 2020, are included in our 2020 Annual Report to Shareholders, which we are providing to our shareholders at the same time as this Proxy Statement. Our Annual Report and this Proxy Statement are also posted on the Internet at http://www.wynnresorts.com on the Company Information page under the “Annual Meeting” heading. If you would like to receive a printed copy of these materials, please call our Investor Relations department at (702) 770-7555 or send a written request to the Company at Wynn Resorts, Limited, c/o Investor Relations, 3131 Las Vegas Boulevard South, Las Vegas, Nevada 89109, and we will send a copy to you without charge.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HOUSEHOLDING</w:t>
      </w:r>
    </w:p>
    <w:p>
      <w:pPr>
        <w:spacing w:after="0" w:line="13" w:lineRule="exact"/>
        <w:rPr>
          <w:sz w:val="20"/>
          <w:szCs w:val="20"/>
          <w:color w:val="auto"/>
        </w:rPr>
      </w:pPr>
    </w:p>
    <w:p>
      <w:pPr>
        <w:jc w:val="both"/>
        <w:ind w:left="120" w:right="40"/>
        <w:spacing w:after="0" w:line="248" w:lineRule="auto"/>
        <w:rPr>
          <w:sz w:val="20"/>
          <w:szCs w:val="20"/>
          <w:color w:val="auto"/>
        </w:rPr>
      </w:pPr>
      <w:r>
        <w:rPr>
          <w:rFonts w:ascii="Arial" w:cs="Arial" w:eastAsia="Arial" w:hAnsi="Arial"/>
          <w:sz w:val="17"/>
          <w:szCs w:val="17"/>
          <w:color w:val="auto"/>
        </w:rPr>
        <w:t>Shareholders who are beneficial owners, but not the record holders, of the Company’s securities and share a single address may receive only one copy of the Company’s proxy materials, unless the broker, bank or other nominee delivering the materials has received contrary instructions from one or more of the shareholders. The Company will deliver promptly, upon written or oral request, a separate copy of the proxy materials to a shareholder at a shared address to which a single copy of the document was delivered. A shareholder who wishes to receive a separate copy of the proxy materials, now or in the future, should submit his or her request to the Company by telephone at</w:t>
      </w:r>
    </w:p>
    <w:p>
      <w:pPr>
        <w:spacing w:after="0" w:line="3" w:lineRule="exact"/>
        <w:rPr>
          <w:sz w:val="20"/>
          <w:szCs w:val="20"/>
          <w:color w:val="auto"/>
        </w:rPr>
      </w:pPr>
    </w:p>
    <w:p>
      <w:pPr>
        <w:jc w:val="both"/>
        <w:ind w:left="120" w:hanging="4"/>
        <w:spacing w:after="0" w:line="238" w:lineRule="auto"/>
        <w:tabs>
          <w:tab w:leader="none" w:pos="59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770-7555 or by submitting a written request to Wynn Resorts, Limited, c/o Investor Relations, 3131 Las Vegas Boulevard South, Las Vegas, Nevada 89109. Beneficial owners sharing an address who are receiving multiple copies of the proxy materials and wish to receive a single copy of such materials in the future will need to contact their broker, bank or other nominee to request that only a single copy be mailed to all shareholders at the shared address in the future.</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331E19"/>
        </w:rPr>
        <w:t>OTHER BUSINESS</w:t>
      </w:r>
    </w:p>
    <w:p>
      <w:pPr>
        <w:spacing w:after="0" w:line="13"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The Company is not aware of any other matters to be presented at the Annual Meeting. If any other matters should properly come before the Annual Meeting, the persons named in the proxy will vote the executed proxies on such matters as they determine appropriate in their discretion.</w:t>
      </w:r>
    </w:p>
    <w:p>
      <w:pPr>
        <w:spacing w:after="0" w:line="46" w:lineRule="exact"/>
        <w:rPr>
          <w:sz w:val="20"/>
          <w:szCs w:val="20"/>
          <w:color w:val="auto"/>
        </w:rPr>
      </w:pPr>
    </w:p>
    <w:p>
      <w:pPr>
        <w:ind w:left="800" w:hanging="684"/>
        <w:spacing w:after="0"/>
        <w:tabs>
          <w:tab w:leader="none" w:pos="800" w:val="left"/>
        </w:tabs>
        <w:numPr>
          <w:ilvl w:val="0"/>
          <w:numId w:val="101"/>
        </w:numPr>
        <w:rPr>
          <w:rFonts w:ascii="Arial" w:cs="Arial" w:eastAsia="Arial" w:hAnsi="Arial"/>
          <w:sz w:val="22"/>
          <w:szCs w:val="22"/>
          <w:b w:val="1"/>
          <w:bCs w:val="1"/>
          <w:color w:val="333D3F"/>
          <w:vertAlign w:val="superscript"/>
        </w:rPr>
      </w:pPr>
      <w:r>
        <w:rPr>
          <w:rFonts w:ascii="Arial" w:cs="Arial" w:eastAsia="Arial" w:hAnsi="Arial"/>
          <w:sz w:val="14"/>
          <w:szCs w:val="14"/>
          <w:color w:val="333D3F"/>
        </w:rPr>
        <w:t xml:space="preserve">Foundation for </w:t>
      </w:r>
      <w:r>
        <w:rPr>
          <w:rFonts w:ascii="Arial" w:cs="Arial" w:eastAsia="Arial" w:hAnsi="Arial"/>
          <w:sz w:val="14"/>
          <w:szCs w:val="14"/>
          <w:i w:val="1"/>
          <w:iCs w:val="1"/>
          <w:color w:val="333D3F"/>
        </w:rPr>
        <w:t>the Future</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155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029450" cy="915543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220345</wp:posOffset>
            </wp:positionV>
            <wp:extent cx="6943725" cy="84093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43725" cy="84093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9">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220345</wp:posOffset>
            </wp:positionV>
            <wp:extent cx="6943725" cy="84093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43725" cy="84093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A026FA"/>
    <w:multiLevelType w:val="hybridMultilevel"/>
    <w:lvl w:ilvl="0">
      <w:lvlJc w:val="left"/>
      <w:lvlText w:val="☐"/>
      <w:numFmt w:val="bullet"/>
      <w:start w:val="1"/>
    </w:lvl>
  </w:abstractNum>
  <w:abstractNum w:abstractNumId="1">
    <w:nsid w:val="79A1DEAA"/>
    <w:multiLevelType w:val="hybridMultilevel"/>
    <w:lvl w:ilvl="0">
      <w:lvlJc w:val="left"/>
      <w:lvlText w:val="☒"/>
      <w:numFmt w:val="bullet"/>
      <w:start w:val="1"/>
    </w:lvl>
  </w:abstractNum>
  <w:abstractNum w:abstractNumId="2">
    <w:nsid w:val="75C6C33A"/>
    <w:multiLevelType w:val="hybridMultilevel"/>
    <w:lvl w:ilvl="0">
      <w:lvlJc w:val="left"/>
      <w:lvlText w:val="☐"/>
      <w:numFmt w:val="bullet"/>
      <w:start w:val="1"/>
    </w:lvl>
    <w:lvl w:ilvl="1">
      <w:lvlJc w:val="left"/>
      <w:lvlText w:val="(%2)"/>
      <w:numFmt w:val="decimal"/>
      <w:start w:val="1"/>
    </w:lvl>
  </w:abstractNum>
  <w:abstractNum w:abstractNumId="3">
    <w:nsid w:val="12E685FB"/>
    <w:multiLevelType w:val="hybridMultilevel"/>
    <w:lvl w:ilvl="0">
      <w:lvlJc w:val="left"/>
      <w:lvlText w:val="%1."/>
      <w:numFmt w:val="decimal"/>
      <w:start w:val="1"/>
    </w:lvl>
  </w:abstractNum>
  <w:abstractNum w:abstractNumId="4">
    <w:nsid w:val="70C6A529"/>
    <w:multiLevelType w:val="hybridMultilevel"/>
    <w:lvl w:ilvl="0">
      <w:lvlJc w:val="left"/>
      <w:lvlText w:val="\endash "/>
      <w:numFmt w:val="bullet"/>
      <w:start w:val="1"/>
    </w:lvl>
  </w:abstractNum>
  <w:abstractNum w:abstractNumId="5">
    <w:nsid w:val="520EEDD1"/>
    <w:multiLevelType w:val="hybridMultilevel"/>
    <w:lvl w:ilvl="0">
      <w:lvlJc w:val="left"/>
      <w:lvlText w:val="(%1)"/>
      <w:numFmt w:val="decimal"/>
      <w:start w:val="1"/>
    </w:lvl>
  </w:abstractNum>
  <w:abstractNum w:abstractNumId="6">
    <w:nsid w:val="374A3FE6"/>
    <w:multiLevelType w:val="hybridMultilevel"/>
    <w:lvl w:ilvl="0">
      <w:lvlJc w:val="left"/>
      <w:lvlText w:val="2"/>
      <w:numFmt w:val="bullet"/>
      <w:start w:val="1"/>
    </w:lvl>
  </w:abstractNum>
  <w:abstractNum w:abstractNumId="7">
    <w:nsid w:val="4F4EF005"/>
    <w:multiLevelType w:val="hybridMultilevel"/>
    <w:lvl w:ilvl="0">
      <w:lvlJc w:val="left"/>
      <w:lvlText w:val="-"/>
      <w:numFmt w:val="bullet"/>
      <w:start w:val="1"/>
    </w:lvl>
  </w:abstractNum>
  <w:abstractNum w:abstractNumId="8">
    <w:nsid w:val="23F9C13C"/>
    <w:multiLevelType w:val="hybridMultilevel"/>
    <w:lvl w:ilvl="0">
      <w:lvlJc w:val="left"/>
      <w:lvlText w:val="-"/>
      <w:numFmt w:val="bullet"/>
      <w:start w:val="1"/>
    </w:lvl>
  </w:abstractNum>
  <w:abstractNum w:abstractNumId="9">
    <w:nsid w:val="649BB77C"/>
    <w:multiLevelType w:val="hybridMultilevel"/>
    <w:lvl w:ilvl="0">
      <w:lvlJc w:val="left"/>
      <w:lvlText w:val="4"/>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6"/>
      <w:numFmt w:val="bullet"/>
      <w:start w:val="1"/>
    </w:lvl>
  </w:abstractNum>
  <w:abstractNum w:abstractNumId="15">
    <w:nsid w:val="47398C89"/>
    <w:multiLevelType w:val="hybridMultilevel"/>
    <w:lvl w:ilvl="0">
      <w:lvlJc w:val="left"/>
      <w:lvlText w:val="-"/>
      <w:numFmt w:val="bullet"/>
      <w:start w:val="1"/>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8"/>
      <w:numFmt w:val="bullet"/>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1)"/>
      <w:numFmt w:val="decimal"/>
      <w:start w:val="1"/>
    </w:lvl>
  </w:abstractNum>
  <w:abstractNum w:abstractNumId="21">
    <w:nsid w:val="3F6AB60F"/>
    <w:multiLevelType w:val="hybridMultilevel"/>
    <w:lvl w:ilvl="0">
      <w:lvlJc w:val="left"/>
      <w:lvlText w:val="%1"/>
      <w:numFmt w:val="decimal"/>
      <w:start w:val="10"/>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1"/>
      <w:numFmt w:val="decimal"/>
      <w:start w:val="12"/>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
      <w:numFmt w:val="bullet"/>
      <w:start w:val="1"/>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decimal"/>
      <w:start w:val="14"/>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
      <w:numFmt w:val="bullet"/>
      <w:start w:val="1"/>
    </w:lvl>
  </w:abstractNum>
  <w:abstractNum w:abstractNumId="32">
    <w:nsid w:val="1F48EAA1"/>
    <w:multiLevelType w:val="hybridMultilevel"/>
    <w:lvl w:ilvl="0">
      <w:lvlJc w:val="left"/>
      <w:lvlText w:val="%1"/>
      <w:numFmt w:val="decimal"/>
      <w:start w:val="16"/>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endash "/>
      <w:numFmt w:val="bullet"/>
      <w:start w:val="1"/>
    </w:lvl>
  </w:abstractNum>
  <w:abstractNum w:abstractNumId="35">
    <w:nsid w:val="100F8FCA"/>
    <w:multiLevelType w:val="hybridMultilevel"/>
    <w:lvl w:ilvl="0">
      <w:lvlJc w:val="left"/>
      <w:lvlText w:val="•"/>
      <w:numFmt w:val="bullet"/>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1"/>
      <w:numFmt w:val="decimal"/>
      <w:start w:val="22"/>
    </w:lvl>
  </w:abstractNum>
  <w:abstractNum w:abstractNumId="38">
    <w:nsid w:val="5F5E7FD0"/>
    <w:multiLevelType w:val="hybridMultilevel"/>
    <w:lvl w:ilvl="0">
      <w:lvlJc w:val="left"/>
      <w:lvlText w:val="•"/>
      <w:numFmt w:val="bullet"/>
      <w:start w:val="1"/>
    </w:lvl>
    <w:lvl w:ilvl="1">
      <w:lvlJc w:val="left"/>
      <w:lvlText w:val="○"/>
      <w:numFmt w:val="bullet"/>
      <w:start w:val="1"/>
    </w:lvl>
  </w:abstractNum>
  <w:abstractNum w:abstractNumId="39">
    <w:nsid w:val="98A3148"/>
    <w:multiLevelType w:val="hybridMultilevel"/>
    <w:lvl w:ilvl="0">
      <w:lvlJc w:val="left"/>
      <w:lvlText w:val="%1"/>
      <w:numFmt w:val="decimal"/>
      <w:start w:val="24"/>
    </w:lvl>
  </w:abstractNum>
  <w:abstractNum w:abstractNumId="40">
    <w:nsid w:val="799D0247"/>
    <w:multiLevelType w:val="hybridMultilevel"/>
    <w:lvl w:ilvl="0">
      <w:lvlJc w:val="left"/>
      <w:lvlText w:val="•"/>
      <w:numFmt w:val="bullet"/>
      <w:start w:val="1"/>
    </w:lvl>
    <w:lvl w:ilvl="1">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1"/>
      <w:numFmt w:val="decimal"/>
      <w:start w:val="26"/>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1"/>
      <w:numFmt w:val="decimal"/>
      <w:start w:val="28"/>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1"/>
      <w:numFmt w:val="decimal"/>
      <w:start w:val="30"/>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1"/>
      <w:numFmt w:val="decimal"/>
      <w:start w:val="36"/>
    </w:lvl>
  </w:abstractNum>
  <w:abstractNum w:abstractNumId="53">
    <w:nsid w:val="42963E5A"/>
    <w:multiLevelType w:val="hybridMultilevel"/>
    <w:lvl w:ilvl="0">
      <w:lvlJc w:val="left"/>
      <w:lvlText w:val="%1"/>
      <w:numFmt w:val="decimal"/>
      <w:start w:val="38"/>
    </w:lvl>
  </w:abstractNum>
  <w:abstractNum w:abstractNumId="54">
    <w:nsid w:val="A0382C5"/>
    <w:multiLevelType w:val="hybridMultilevel"/>
    <w:lvl w:ilvl="0">
      <w:lvlJc w:val="left"/>
      <w:lvlText w:val="❑"/>
      <w:numFmt w:val="bullet"/>
      <w:start w:val="1"/>
    </w:lvl>
  </w:abstractNum>
  <w:abstractNum w:abstractNumId="55">
    <w:nsid w:val="8F2B15E"/>
    <w:multiLevelType w:val="hybridMultilevel"/>
    <w:lvl w:ilvl="0">
      <w:lvlJc w:val="left"/>
      <w:lvlText w:val="(%1)"/>
      <w:numFmt w:val="decimal"/>
      <w:start w:val="2"/>
    </w:lvl>
  </w:abstractNum>
  <w:abstractNum w:abstractNumId="56">
    <w:nsid w:val="1A32234B"/>
    <w:multiLevelType w:val="hybridMultilevel"/>
    <w:lvl w:ilvl="0">
      <w:lvlJc w:val="left"/>
      <w:lvlText w:val="(%1)"/>
      <w:numFmt w:val="decimal"/>
      <w:start w:val="1"/>
    </w:lvl>
  </w:abstractNum>
  <w:abstractNum w:abstractNumId="57">
    <w:nsid w:val="3B0FD379"/>
    <w:multiLevelType w:val="hybridMultilevel"/>
    <w:lvl w:ilvl="0">
      <w:lvlJc w:val="left"/>
      <w:lvlText w:val="%1"/>
      <w:numFmt w:val="decimal"/>
      <w:start w:val="40"/>
    </w:lvl>
  </w:abstractNum>
  <w:abstractNum w:abstractNumId="58">
    <w:nsid w:val="68EB2F63"/>
    <w:multiLevelType w:val="hybridMultilevel"/>
    <w:lvl w:ilvl="0">
      <w:lvlJc w:val="left"/>
      <w:lvlText w:val="-"/>
      <w:numFmt w:val="bullet"/>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1)"/>
      <w:numFmt w:val="decimal"/>
      <w:start w:val="1"/>
    </w:lvl>
  </w:abstractNum>
  <w:abstractNum w:abstractNumId="61">
    <w:nsid w:val="6A5EE64"/>
    <w:multiLevelType w:val="hybridMultilevel"/>
    <w:lvl w:ilvl="0">
      <w:lvlJc w:val="left"/>
      <w:lvlText w:val="(%1)"/>
      <w:numFmt w:val="decimal"/>
      <w:start w:val="1"/>
    </w:lvl>
  </w:abstractNum>
  <w:abstractNum w:abstractNumId="62">
    <w:nsid w:val="14330624"/>
    <w:multiLevelType w:val="hybridMultilevel"/>
    <w:lvl w:ilvl="0">
      <w:lvlJc w:val="left"/>
      <w:lvlText w:val="%1"/>
      <w:numFmt w:val="decimal"/>
      <w:start w:val="42"/>
    </w:lvl>
  </w:abstractNum>
  <w:abstractNum w:abstractNumId="63">
    <w:nsid w:val="7FFFCA11"/>
    <w:multiLevelType w:val="hybridMultilevel"/>
    <w:lvl w:ilvl="0">
      <w:lvlJc w:val="left"/>
      <w:lvlText w:val="\endash "/>
      <w:numFmt w:val="bullet"/>
      <w:start w:val="1"/>
    </w:lvl>
  </w:abstractNum>
  <w:abstractNum w:abstractNumId="64">
    <w:nsid w:val="1A27709E"/>
    <w:multiLevelType w:val="hybridMultilevel"/>
    <w:lvl w:ilvl="0">
      <w:lvlJc w:val="left"/>
      <w:lvlText w:val="(%1)"/>
      <w:numFmt w:val="decimal"/>
      <w:start w:val="1"/>
    </w:lvl>
  </w:abstractNum>
  <w:abstractNum w:abstractNumId="65">
    <w:nsid w:val="71EA1109"/>
    <w:multiLevelType w:val="hybridMultilevel"/>
    <w:lvl w:ilvl="0">
      <w:lvlJc w:val="left"/>
      <w:lvlText w:val="%1."/>
      <w:numFmt w:val="decimal"/>
      <w:start w:val="1"/>
    </w:lvl>
  </w:abstractNum>
  <w:abstractNum w:abstractNumId="66">
    <w:nsid w:val="100F59DC"/>
    <w:multiLevelType w:val="hybridMultilevel"/>
    <w:lvl w:ilvl="0">
      <w:lvlJc w:val="left"/>
      <w:lvlText w:val="%1."/>
      <w:numFmt w:val="decimal"/>
      <w:start w:val="1"/>
    </w:lvl>
  </w:abstractNum>
  <w:abstractNum w:abstractNumId="67">
    <w:nsid w:val="7FB7E0AA"/>
    <w:multiLevelType w:val="hybridMultilevel"/>
    <w:lvl w:ilvl="0">
      <w:lvlJc w:val="left"/>
      <w:lvlText w:val="%1"/>
      <w:numFmt w:val="decimal"/>
      <w:start w:val="44"/>
    </w:lvl>
  </w:abstractNum>
  <w:abstractNum w:abstractNumId="68">
    <w:nsid w:val="6EB5BD4"/>
    <w:multiLevelType w:val="hybridMultilevel"/>
    <w:lvl w:ilvl="0">
      <w:lvlJc w:val="left"/>
      <w:lvlText w:val="%1."/>
      <w:numFmt w:val="decimal"/>
      <w:start w:val="2"/>
    </w:lvl>
  </w:abstractNum>
  <w:abstractNum w:abstractNumId="69">
    <w:nsid w:val="6F6DD9AC"/>
    <w:multiLevelType w:val="hybridMultilevel"/>
    <w:lvl w:ilvl="0">
      <w:lvlJc w:val="left"/>
      <w:lvlText w:val="%1"/>
      <w:numFmt w:val="decimal"/>
      <w:start w:val="46"/>
    </w:lvl>
  </w:abstractNum>
  <w:abstractNum w:abstractNumId="70">
    <w:nsid w:val="94211F2"/>
    <w:multiLevelType w:val="hybridMultilevel"/>
    <w:lvl w:ilvl="0">
      <w:lvlJc w:val="left"/>
      <w:lvlText w:val="%1"/>
      <w:numFmt w:val="decimal"/>
      <w:start w:val="48"/>
    </w:lvl>
  </w:abstractNum>
  <w:abstractNum w:abstractNumId="71">
    <w:nsid w:val="885E1B"/>
    <w:multiLevelType w:val="hybridMultilevel"/>
    <w:lvl w:ilvl="0">
      <w:lvlJc w:val="left"/>
      <w:lvlText w:val="(%1)"/>
      <w:numFmt w:val="decimal"/>
      <w:start w:val="1"/>
    </w:lvl>
  </w:abstractNum>
  <w:abstractNum w:abstractNumId="72">
    <w:nsid w:val="76272110"/>
    <w:multiLevelType w:val="hybridMultilevel"/>
    <w:lvl w:ilvl="0">
      <w:lvlJc w:val="left"/>
      <w:lvlText w:val="%1"/>
      <w:numFmt w:val="decimal"/>
      <w:start w:val="54"/>
    </w:lvl>
  </w:abstractNum>
  <w:abstractNum w:abstractNumId="73">
    <w:nsid w:val="4C04A8AF"/>
    <w:multiLevelType w:val="hybridMultilevel"/>
    <w:lvl w:ilvl="0">
      <w:lvlJc w:val="left"/>
      <w:lvlText w:val="(%1)"/>
      <w:numFmt w:val="decimal"/>
      <w:start w:val="3"/>
    </w:lvl>
    <w:lvl w:ilvl="1">
      <w:lvlJc w:val="left"/>
      <w:lvlText w:val="(%2)"/>
      <w:numFmt w:val="lowerRoman"/>
      <w:start w:val="1"/>
    </w:lvl>
  </w:abstractNum>
  <w:abstractNum w:abstractNumId="74">
    <w:nsid w:val="1716703B"/>
    <w:multiLevelType w:val="hybridMultilevel"/>
    <w:lvl w:ilvl="0">
      <w:lvlJc w:val="left"/>
      <w:lvlText w:val="(%1)"/>
      <w:numFmt w:val="lowerRoman"/>
      <w:start w:val="1"/>
    </w:lvl>
  </w:abstractNum>
  <w:abstractNum w:abstractNumId="75">
    <w:nsid w:val="14E17E33"/>
    <w:multiLevelType w:val="hybridMultilevel"/>
    <w:lvl w:ilvl="0">
      <w:lvlJc w:val="left"/>
      <w:lvlText w:val="(%1)"/>
      <w:numFmt w:val="lowerRoman"/>
      <w:start w:val="1"/>
    </w:lvl>
  </w:abstractNum>
  <w:abstractNum w:abstractNumId="76">
    <w:nsid w:val="3222E7CD"/>
    <w:multiLevelType w:val="hybridMultilevel"/>
    <w:lvl w:ilvl="0">
      <w:lvlJc w:val="left"/>
      <w:lvlText w:val="(%1)"/>
      <w:numFmt w:val="decimal"/>
      <w:start w:val="1"/>
    </w:lvl>
  </w:abstractNum>
  <w:abstractNum w:abstractNumId="77">
    <w:nsid w:val="74DE0EE3"/>
    <w:multiLevelType w:val="hybridMultilevel"/>
    <w:lvl w:ilvl="0">
      <w:lvlJc w:val="left"/>
      <w:lvlText w:val="%1"/>
      <w:numFmt w:val="decimal"/>
      <w:start w:val="56"/>
    </w:lvl>
  </w:abstractNum>
  <w:abstractNum w:abstractNumId="78">
    <w:nsid w:val="68EBC550"/>
    <w:multiLevelType w:val="hybridMultilevel"/>
    <w:lvl w:ilvl="0">
      <w:lvlJc w:val="left"/>
      <w:lvlText w:val="(%1)"/>
      <w:numFmt w:val="decimal"/>
      <w:start w:val="7"/>
    </w:lvl>
  </w:abstractNum>
  <w:abstractNum w:abstractNumId="79">
    <w:nsid w:val="2DF6D648"/>
    <w:multiLevelType w:val="hybridMultilevel"/>
    <w:lvl w:ilvl="0">
      <w:lvlJc w:val="left"/>
      <w:lvlText w:val="(%1)"/>
      <w:numFmt w:val="decimal"/>
      <w:start w:val="1"/>
    </w:lvl>
  </w:abstractNum>
  <w:abstractNum w:abstractNumId="80">
    <w:nsid w:val="46B7D447"/>
    <w:multiLevelType w:val="hybridMultilevel"/>
    <w:lvl w:ilvl="0">
      <w:lvlJc w:val="left"/>
      <w:lvlText w:val="(%1)"/>
      <w:numFmt w:val="decimal"/>
      <w:start w:val="1"/>
    </w:lvl>
  </w:abstractNum>
  <w:abstractNum w:abstractNumId="81">
    <w:nsid w:val="4A2AC315"/>
    <w:multiLevelType w:val="hybridMultilevel"/>
    <w:lvl w:ilvl="0">
      <w:lvlJc w:val="left"/>
      <w:lvlText w:val="(%1)"/>
      <w:numFmt w:val="lowerRoman"/>
      <w:start w:val="8"/>
    </w:lvl>
  </w:abstractNum>
  <w:abstractNum w:abstractNumId="82">
    <w:nsid w:val="39EE015C"/>
    <w:multiLevelType w:val="hybridMultilevel"/>
    <w:lvl w:ilvl="0">
      <w:lvlJc w:val="left"/>
      <w:lvlText w:val="%1"/>
      <w:numFmt w:val="decimal"/>
      <w:start w:val="58"/>
    </w:lvl>
  </w:abstractNum>
  <w:abstractNum w:abstractNumId="83">
    <w:nsid w:val="57FC4FBB"/>
    <w:multiLevelType w:val="hybridMultilevel"/>
    <w:lvl w:ilvl="0">
      <w:lvlJc w:val="left"/>
      <w:lvlText w:val="(%1)"/>
      <w:numFmt w:val="lowerRoman"/>
      <w:start w:val="4"/>
    </w:lvl>
  </w:abstractNum>
  <w:abstractNum w:abstractNumId="84">
    <w:nsid w:val="CC1016F"/>
    <w:multiLevelType w:val="hybridMultilevel"/>
    <w:lvl w:ilvl="0">
      <w:lvlJc w:val="left"/>
      <w:lvlText w:val="(%1)"/>
      <w:numFmt w:val="decimal"/>
      <w:start w:val="1"/>
    </w:lvl>
  </w:abstractNum>
  <w:abstractNum w:abstractNumId="85">
    <w:nsid w:val="43F18422"/>
    <w:multiLevelType w:val="hybridMultilevel"/>
    <w:lvl w:ilvl="0">
      <w:lvlJc w:val="left"/>
      <w:lvlText w:val="(%1)"/>
      <w:numFmt w:val="decimal"/>
      <w:start w:val="1"/>
    </w:lvl>
  </w:abstractNum>
  <w:abstractNum w:abstractNumId="86">
    <w:nsid w:val="60EF0119"/>
    <w:multiLevelType w:val="hybridMultilevel"/>
    <w:lvl w:ilvl="0">
      <w:lvlJc w:val="left"/>
      <w:lvlText w:val="%1"/>
      <w:numFmt w:val="decimal"/>
      <w:start w:val="60"/>
    </w:lvl>
  </w:abstractNum>
  <w:abstractNum w:abstractNumId="87">
    <w:nsid w:val="26F324BA"/>
    <w:multiLevelType w:val="hybridMultilevel"/>
    <w:lvl w:ilvl="0">
      <w:lvlJc w:val="left"/>
      <w:lvlText w:val="(%1)"/>
      <w:numFmt w:val="decimal"/>
      <w:start w:val="1"/>
    </w:lvl>
  </w:abstractNum>
  <w:abstractNum w:abstractNumId="88">
    <w:nsid w:val="7F01579B"/>
    <w:multiLevelType w:val="hybridMultilevel"/>
    <w:lvl w:ilvl="0">
      <w:lvlJc w:val="left"/>
      <w:lvlText w:val="(%1)"/>
      <w:numFmt w:val="lowerLetter"/>
      <w:start w:val="2"/>
    </w:lvl>
  </w:abstractNum>
  <w:abstractNum w:abstractNumId="89">
    <w:nsid w:val="49DA307D"/>
    <w:multiLevelType w:val="hybridMultilevel"/>
    <w:lvl w:ilvl="0">
      <w:lvlJc w:val="left"/>
      <w:lvlText w:val="%1"/>
      <w:numFmt w:val="decimal"/>
      <w:start w:val="62"/>
    </w:lvl>
  </w:abstractNum>
  <w:abstractNum w:abstractNumId="90">
    <w:nsid w:val="7055A5F5"/>
    <w:multiLevelType w:val="hybridMultilevel"/>
    <w:lvl w:ilvl="0">
      <w:lvlJc w:val="left"/>
      <w:lvlText w:val="(%1)"/>
      <w:numFmt w:val="decimal"/>
      <w:start w:val="1"/>
    </w:lvl>
  </w:abstractNum>
  <w:abstractNum w:abstractNumId="91">
    <w:nsid w:val="5FB8370B"/>
    <w:multiLevelType w:val="hybridMultilevel"/>
    <w:lvl w:ilvl="0">
      <w:lvlJc w:val="left"/>
      <w:lvlText w:val="%1"/>
      <w:numFmt w:val="decimal"/>
      <w:start w:val="64"/>
    </w:lvl>
  </w:abstractNum>
  <w:abstractNum w:abstractNumId="92">
    <w:nsid w:val="50801EE1"/>
    <w:multiLevelType w:val="hybridMultilevel"/>
    <w:lvl w:ilvl="0">
      <w:lvlJc w:val="left"/>
      <w:lvlText w:val="(%1)"/>
      <w:numFmt w:val="decimal"/>
      <w:start w:val="2"/>
    </w:lvl>
  </w:abstractNum>
  <w:abstractNum w:abstractNumId="93">
    <w:nsid w:val="488AC1A"/>
    <w:multiLevelType w:val="hybridMultilevel"/>
    <w:lvl w:ilvl="0">
      <w:lvlJc w:val="left"/>
      <w:lvlText w:val="(%1)"/>
      <w:numFmt w:val="decimal"/>
      <w:start w:val="1"/>
    </w:lvl>
  </w:abstractNum>
  <w:abstractNum w:abstractNumId="94">
    <w:nsid w:val="5FB8011C"/>
    <w:multiLevelType w:val="hybridMultilevel"/>
    <w:lvl w:ilvl="0">
      <w:lvlJc w:val="left"/>
      <w:lvlText w:val="-"/>
      <w:numFmt w:val="bullet"/>
      <w:start w:val="1"/>
    </w:lvl>
  </w:abstractNum>
  <w:abstractNum w:abstractNumId="95">
    <w:nsid w:val="6AA78F7F"/>
    <w:multiLevelType w:val="hybridMultilevel"/>
    <w:lvl w:ilvl="0">
      <w:lvlJc w:val="left"/>
      <w:lvlText w:val="%1"/>
      <w:numFmt w:val="decimal"/>
      <w:start w:val="70"/>
    </w:lvl>
  </w:abstractNum>
  <w:abstractNum w:abstractNumId="96">
    <w:nsid w:val="7672BD23"/>
    <w:multiLevelType w:val="hybridMultilevel"/>
    <w:lvl w:ilvl="0">
      <w:lvlJc w:val="left"/>
      <w:lvlText w:val="%1"/>
      <w:numFmt w:val="decimal"/>
      <w:start w:val="72"/>
    </w:lvl>
  </w:abstractNum>
  <w:abstractNum w:abstractNumId="97">
    <w:nsid w:val="6FC75AF8"/>
    <w:multiLevelType w:val="hybridMultilevel"/>
    <w:lvl w:ilvl="0">
      <w:lvlJc w:val="left"/>
      <w:lvlText w:val="•"/>
      <w:numFmt w:val="bullet"/>
      <w:start w:val="1"/>
    </w:lvl>
  </w:abstractNum>
  <w:abstractNum w:abstractNumId="98">
    <w:nsid w:val="6A5F7029"/>
    <w:multiLevelType w:val="hybridMultilevel"/>
    <w:lvl w:ilvl="0">
      <w:lvlJc w:val="left"/>
      <w:lvlText w:val="%1"/>
      <w:numFmt w:val="decimal"/>
      <w:start w:val="74"/>
    </w:lvl>
  </w:abstractNum>
  <w:abstractNum w:abstractNumId="99">
    <w:nsid w:val="7D5E18F8"/>
    <w:multiLevelType w:val="hybridMultilevel"/>
    <w:lvl w:ilvl="0">
      <w:lvlJc w:val="left"/>
      <w:lvlText w:val="(%1)"/>
      <w:numFmt w:val="decimal"/>
      <w:start w:val="702"/>
    </w:lvl>
  </w:abstractNum>
  <w:abstractNum w:abstractNumId="100">
    <w:nsid w:val="5F3534A4"/>
    <w:multiLevelType w:val="hybridMultilevel"/>
    <w:lvl w:ilvl="0">
      <w:lvlJc w:val="left"/>
      <w:lvlText w:val="%1"/>
      <w:numFmt w:val="decimal"/>
      <w:start w:val="7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2021-03-28T08:14:21Z</dcterms:created>
  <dcterms:modified xsi:type="dcterms:W3CDTF">2021-03-28T08:14:21Z</dcterms:modified>
</cp:coreProperties>
</file>