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November 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4160" w:type="dxa"/>
            <w:vAlign w:val="bottom"/>
          </w:tcPr>
          <w:p>
            <w:pPr>
              <w:jc w:val="center"/>
              <w:ind w:right="240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160" w:type="dxa"/>
            <w:vAlign w:val="bottom"/>
          </w:tcPr>
          <w:p>
            <w:pPr>
              <w:jc w:val="center"/>
              <w:ind w:right="23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60" w:type="dxa"/>
            <w:vAlign w:val="bottom"/>
          </w:tcPr>
          <w:p>
            <w:pPr>
              <w:jc w:val="center"/>
              <w:ind w:right="2402"/>
              <w:spacing w:after="0"/>
              <w:rPr>
                <w:sz w:val="20"/>
                <w:szCs w:val="20"/>
                <w:color w:val="auto"/>
              </w:rPr>
            </w:pPr>
            <w:r>
              <w:rPr>
                <w:rFonts w:ascii="Arial" w:cs="Arial" w:eastAsia="Arial" w:hAnsi="Arial"/>
                <w:sz w:val="14"/>
                <w:szCs w:val="14"/>
                <w:b w:val="1"/>
                <w:bCs w:val="1"/>
                <w:color w:val="auto"/>
                <w:w w:val="88"/>
              </w:rPr>
              <w:t>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160" w:type="dxa"/>
            <w:vAlign w:val="bottom"/>
          </w:tcPr>
          <w:p>
            <w:pPr>
              <w:jc w:val="center"/>
              <w:ind w:left="124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60" w:type="dxa"/>
            <w:vAlign w:val="bottom"/>
          </w:tcPr>
          <w:p>
            <w:pPr>
              <w:jc w:val="center"/>
              <w:ind w:left="124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160" w:type="dxa"/>
            <w:vAlign w:val="bottom"/>
          </w:tcPr>
          <w:p>
            <w:pPr>
              <w:jc w:val="center"/>
              <w:ind w:left="124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On November 2, 2012, Wynn Resorts, Limited (the “Company”) held its 2012 Annual Meeting (the “Annual Meeting”) of Stockholders. The Company’s stockholders elected each of the director nominees named in the Company’s proxy statement and approved each of the other two proposals presented. The proposals voted upon at the Annual Meeting and the final results of the stockholder vote on each proposal were as follows: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1: Election of Directors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 elect the following Class I directors, each to serve until the 2015 Annual Meeting of Stockholders and until his or her successor is elected and qualified, or until such director’s earlier death, resignation or removal:</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Director</w:t>
            </w:r>
          </w:p>
        </w:tc>
        <w:tc>
          <w:tcPr>
            <w:tcW w:w="1800" w:type="dxa"/>
            <w:vAlign w:val="bottom"/>
          </w:tcPr>
          <w:p>
            <w:pPr>
              <w:spacing w:after="0"/>
              <w:rPr>
                <w:sz w:val="14"/>
                <w:szCs w:val="14"/>
                <w:color w:val="auto"/>
              </w:rPr>
            </w:pPr>
          </w:p>
        </w:tc>
        <w:tc>
          <w:tcPr>
            <w:tcW w:w="222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83"/>
              </w:rPr>
              <w:t>Votes For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Votes Withheld</w:t>
            </w:r>
          </w:p>
        </w:tc>
        <w:tc>
          <w:tcPr>
            <w:tcW w:w="15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Broker Non-Votes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402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6"/>
              </w:rPr>
              <w:t>73,182,088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4,853,945</w:t>
            </w:r>
          </w:p>
        </w:tc>
        <w:tc>
          <w:tcPr>
            <w:tcW w:w="2640" w:type="dxa"/>
            <w:vAlign w:val="bottom"/>
            <w:gridSpan w:val="2"/>
            <w:shd w:val="clear" w:color="auto" w:fill="CCEEFF"/>
          </w:tcPr>
          <w:p>
            <w:pPr>
              <w:jc w:val="center"/>
              <w:ind w:left="1432"/>
              <w:spacing w:after="0"/>
              <w:rPr>
                <w:sz w:val="20"/>
                <w:szCs w:val="20"/>
                <w:color w:val="auto"/>
              </w:rPr>
            </w:pPr>
            <w:r>
              <w:rPr>
                <w:rFonts w:ascii="Arial" w:cs="Arial" w:eastAsia="Arial" w:hAnsi="Arial"/>
                <w:sz w:val="18"/>
                <w:szCs w:val="18"/>
                <w:color w:val="auto"/>
                <w:w w:val="89"/>
              </w:rPr>
              <w:t>9,952,995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Mark D. Schorr</w:t>
            </w:r>
          </w:p>
        </w:tc>
        <w:tc>
          <w:tcPr>
            <w:tcW w:w="4020" w:type="dxa"/>
            <w:vAlign w:val="bottom"/>
            <w:gridSpan w:val="3"/>
          </w:tcPr>
          <w:p>
            <w:pPr>
              <w:jc w:val="center"/>
              <w:ind w:left="72"/>
              <w:spacing w:after="0"/>
              <w:rPr>
                <w:sz w:val="20"/>
                <w:szCs w:val="20"/>
                <w:color w:val="auto"/>
              </w:rPr>
            </w:pPr>
            <w:r>
              <w:rPr>
                <w:rFonts w:ascii="Arial" w:cs="Arial" w:eastAsia="Arial" w:hAnsi="Arial"/>
                <w:sz w:val="18"/>
                <w:szCs w:val="18"/>
                <w:color w:val="auto"/>
                <w:w w:val="86"/>
              </w:rPr>
              <w:t>73,315,237</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4,720,796</w:t>
            </w:r>
          </w:p>
        </w:tc>
        <w:tc>
          <w:tcPr>
            <w:tcW w:w="2640" w:type="dxa"/>
            <w:vAlign w:val="bottom"/>
            <w:gridSpan w:val="2"/>
          </w:tcPr>
          <w:p>
            <w:pPr>
              <w:jc w:val="center"/>
              <w:ind w:left="1432"/>
              <w:spacing w:after="0"/>
              <w:rPr>
                <w:sz w:val="20"/>
                <w:szCs w:val="20"/>
                <w:color w:val="auto"/>
              </w:rPr>
            </w:pPr>
            <w:r>
              <w:rPr>
                <w:rFonts w:ascii="Arial" w:cs="Arial" w:eastAsia="Arial" w:hAnsi="Arial"/>
                <w:sz w:val="18"/>
                <w:szCs w:val="18"/>
                <w:color w:val="auto"/>
                <w:w w:val="89"/>
              </w:rPr>
              <w:t>9,952,995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Edward Virtue</w:t>
            </w:r>
          </w:p>
        </w:tc>
        <w:tc>
          <w:tcPr>
            <w:tcW w:w="402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6"/>
              </w:rPr>
              <w:t>76,625,737</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1,410,296</w:t>
            </w:r>
          </w:p>
        </w:tc>
        <w:tc>
          <w:tcPr>
            <w:tcW w:w="2640" w:type="dxa"/>
            <w:vAlign w:val="bottom"/>
            <w:gridSpan w:val="2"/>
            <w:shd w:val="clear" w:color="auto" w:fill="CCEEFF"/>
          </w:tcPr>
          <w:p>
            <w:pPr>
              <w:jc w:val="center"/>
              <w:ind w:left="1432"/>
              <w:spacing w:after="0"/>
              <w:rPr>
                <w:sz w:val="20"/>
                <w:szCs w:val="20"/>
                <w:color w:val="auto"/>
              </w:rPr>
            </w:pPr>
            <w:r>
              <w:rPr>
                <w:rFonts w:ascii="Arial" w:cs="Arial" w:eastAsia="Arial" w:hAnsi="Arial"/>
                <w:sz w:val="18"/>
                <w:szCs w:val="18"/>
                <w:color w:val="auto"/>
                <w:w w:val="89"/>
              </w:rPr>
              <w:t>9,952,995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4020" w:type="dxa"/>
            <w:vAlign w:val="bottom"/>
            <w:gridSpan w:val="3"/>
          </w:tcPr>
          <w:p>
            <w:pPr>
              <w:jc w:val="center"/>
              <w:ind w:left="72"/>
              <w:spacing w:after="0"/>
              <w:rPr>
                <w:sz w:val="20"/>
                <w:szCs w:val="20"/>
                <w:color w:val="auto"/>
              </w:rPr>
            </w:pPr>
            <w:r>
              <w:rPr>
                <w:rFonts w:ascii="Arial" w:cs="Arial" w:eastAsia="Arial" w:hAnsi="Arial"/>
                <w:sz w:val="18"/>
                <w:szCs w:val="18"/>
                <w:color w:val="auto"/>
                <w:w w:val="86"/>
              </w:rPr>
              <w:t>68,906,518</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9,129,515</w:t>
            </w:r>
          </w:p>
        </w:tc>
        <w:tc>
          <w:tcPr>
            <w:tcW w:w="2640" w:type="dxa"/>
            <w:vAlign w:val="bottom"/>
            <w:gridSpan w:val="2"/>
          </w:tcPr>
          <w:p>
            <w:pPr>
              <w:jc w:val="center"/>
              <w:ind w:left="1432"/>
              <w:spacing w:after="0"/>
              <w:rPr>
                <w:sz w:val="20"/>
                <w:szCs w:val="20"/>
                <w:color w:val="auto"/>
              </w:rPr>
            </w:pPr>
            <w:r>
              <w:rPr>
                <w:rFonts w:ascii="Arial" w:cs="Arial" w:eastAsia="Arial" w:hAnsi="Arial"/>
                <w:sz w:val="18"/>
                <w:szCs w:val="18"/>
                <w:color w:val="auto"/>
                <w:w w:val="89"/>
              </w:rPr>
              <w:t>9,952,995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Class II directors remain in office with their term expiring in 2013: Stephen A. Wynn, Ray R. Irani, Alvin V. Shoemaker and D. Boone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Wayson. The following Class III directors remain in office with their term expiring in 2014: Russell Goldsmith, Robert J. Miller, Kazuo Okada and Allen Zeman.</w:t>
      </w:r>
    </w:p>
    <w:p>
      <w:pPr>
        <w:spacing w:after="0" w:line="188" w:lineRule="exact"/>
        <w:rPr>
          <w:sz w:val="20"/>
          <w:szCs w:val="20"/>
          <w:color w:val="auto"/>
        </w:rPr>
      </w:pPr>
    </w:p>
    <w:p>
      <w:pPr>
        <w:ind w:left="460" w:right="1840"/>
        <w:spacing w:after="0" w:line="516" w:lineRule="auto"/>
        <w:rPr>
          <w:sz w:val="20"/>
          <w:szCs w:val="20"/>
          <w:color w:val="auto"/>
        </w:rPr>
      </w:pPr>
      <w:r>
        <w:rPr>
          <w:rFonts w:ascii="Arial" w:cs="Arial" w:eastAsia="Arial" w:hAnsi="Arial"/>
          <w:sz w:val="16"/>
          <w:szCs w:val="16"/>
          <w:i w:val="1"/>
          <w:iCs w:val="1"/>
          <w:color w:val="auto"/>
        </w:rPr>
        <w:t xml:space="preserve">Proposal 2: Approval of the Company’s Amended and Restated Annual Performance Based Incentive Plan for Executive Officers </w:t>
      </w:r>
      <w:r>
        <w:rPr>
          <w:rFonts w:ascii="Arial" w:cs="Arial" w:eastAsia="Arial" w:hAnsi="Arial"/>
          <w:sz w:val="16"/>
          <w:szCs w:val="16"/>
          <w:color w:val="auto"/>
        </w:rPr>
        <w:t>To approve the Company’s Amended and Restated Annual Performance Based Incentive Plan:</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Votes For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Votes Against</w:t>
            </w:r>
          </w:p>
        </w:tc>
        <w:tc>
          <w:tcPr>
            <w:tcW w:w="1780" w:type="dxa"/>
            <w:vAlign w:val="bottom"/>
          </w:tcPr>
          <w:p>
            <w:pPr>
              <w:spacing w:after="0"/>
              <w:rPr>
                <w:sz w:val="14"/>
                <w:szCs w:val="14"/>
                <w:color w:val="auto"/>
              </w:rPr>
            </w:pPr>
          </w:p>
        </w:tc>
        <w:tc>
          <w:tcPr>
            <w:tcW w:w="222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85"/>
              </w:rPr>
              <w:t>Abstain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Broker Non-Votes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75,811,171</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92"/>
              </w:rPr>
              <w:t>1,157,381</w:t>
            </w:r>
          </w:p>
        </w:tc>
        <w:tc>
          <w:tcPr>
            <w:tcW w:w="4000" w:type="dxa"/>
            <w:vAlign w:val="bottom"/>
            <w:gridSpan w:val="3"/>
            <w:shd w:val="clear" w:color="auto" w:fill="CCEEFF"/>
          </w:tcPr>
          <w:p>
            <w:pPr>
              <w:jc w:val="right"/>
              <w:ind w:right="1640"/>
              <w:spacing w:after="0"/>
              <w:rPr>
                <w:sz w:val="20"/>
                <w:szCs w:val="20"/>
                <w:color w:val="auto"/>
              </w:rPr>
            </w:pPr>
            <w:r>
              <w:rPr>
                <w:rFonts w:ascii="Arial" w:cs="Arial" w:eastAsia="Arial" w:hAnsi="Arial"/>
                <w:sz w:val="18"/>
                <w:szCs w:val="18"/>
                <w:color w:val="auto"/>
              </w:rPr>
              <w:t>1,067,481</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9,952,995</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3: Ratification of Appointment of Independent Registered Public Accounting Firm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ratify the Audit Committee’s appointment of Ernst &amp; Young LLP as the independent public accountants for the Company and all of its subsidiaries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Votes For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1860" w:type="dxa"/>
            <w:vAlign w:val="bottom"/>
          </w:tcPr>
          <w:p>
            <w:pPr>
              <w:spacing w:after="0"/>
              <w:rPr>
                <w:sz w:val="14"/>
                <w:szCs w:val="14"/>
                <w:color w:val="auto"/>
              </w:rPr>
            </w:pPr>
          </w:p>
        </w:tc>
        <w:tc>
          <w:tcPr>
            <w:tcW w:w="230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85"/>
              </w:rPr>
              <w:t>Abstain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Broker Non-Votes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86,580,650</w:t>
            </w:r>
          </w:p>
        </w:tc>
        <w:tc>
          <w:tcPr>
            <w:tcW w:w="860" w:type="dxa"/>
            <w:vAlign w:val="bottom"/>
            <w:tcBorders>
              <w:right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323,175</w:t>
            </w:r>
          </w:p>
        </w:tc>
        <w:tc>
          <w:tcPr>
            <w:tcW w:w="4160" w:type="dxa"/>
            <w:vAlign w:val="bottom"/>
            <w:gridSpan w:val="3"/>
            <w:shd w:val="clear" w:color="auto" w:fill="CCEEFF"/>
          </w:tcPr>
          <w:p>
            <w:pPr>
              <w:jc w:val="right"/>
              <w:ind w:right="1720"/>
              <w:spacing w:after="0"/>
              <w:rPr>
                <w:sz w:val="20"/>
                <w:szCs w:val="20"/>
                <w:color w:val="auto"/>
              </w:rPr>
            </w:pPr>
            <w:r>
              <w:rPr>
                <w:rFonts w:ascii="Arial" w:cs="Arial" w:eastAsia="Arial" w:hAnsi="Arial"/>
                <w:sz w:val="18"/>
                <w:szCs w:val="18"/>
                <w:color w:val="auto"/>
              </w:rPr>
              <w:t>1,085,203</w:t>
            </w:r>
          </w:p>
        </w:tc>
        <w:tc>
          <w:tcPr>
            <w:tcW w:w="112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60" w:type="dxa"/>
            <w:vAlign w:val="bottom"/>
          </w:tcPr>
          <w:p>
            <w:pPr>
              <w:jc w:val="right"/>
              <w:ind w:right="1698"/>
              <w:spacing w:after="0"/>
              <w:rPr>
                <w:sz w:val="20"/>
                <w:szCs w:val="20"/>
                <w:color w:val="auto"/>
              </w:rPr>
            </w:pPr>
            <w:r>
              <w:rPr>
                <w:rFonts w:ascii="Arial" w:cs="Arial" w:eastAsia="Arial" w:hAnsi="Arial"/>
                <w:sz w:val="15"/>
                <w:szCs w:val="15"/>
                <w:color w:val="auto"/>
                <w:w w:val="71"/>
              </w:rPr>
              <w:t>2</w:t>
            </w: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00" w:type="dxa"/>
            <w:vAlign w:val="bottom"/>
          </w:tcPr>
          <w:p>
            <w:pPr>
              <w:spacing w:after="0"/>
              <w:rPr>
                <w:sz w:val="19"/>
                <w:szCs w:val="19"/>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7, 2012</w:t>
            </w:r>
          </w:p>
        </w:tc>
        <w:tc>
          <w:tcPr>
            <w:tcW w:w="2700" w:type="dxa"/>
            <w:vAlign w:val="bottom"/>
          </w:tcPr>
          <w:p>
            <w:pPr>
              <w:ind w:left="21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7"/>
        </w:trPr>
        <w:tc>
          <w:tcPr>
            <w:tcW w:w="3700" w:type="dxa"/>
            <w:vAlign w:val="bottom"/>
          </w:tcPr>
          <w:p>
            <w:pPr>
              <w:spacing w:after="0"/>
              <w:rPr>
                <w:sz w:val="18"/>
                <w:szCs w:val="18"/>
                <w:color w:val="auto"/>
              </w:rPr>
            </w:pPr>
          </w:p>
        </w:tc>
        <w:tc>
          <w:tcPr>
            <w:tcW w:w="2700" w:type="dxa"/>
            <w:vAlign w:val="bottom"/>
          </w:tcPr>
          <w:p>
            <w:pPr>
              <w:ind w:left="21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3700" w:type="dxa"/>
            <w:vAlign w:val="bottom"/>
          </w:tcPr>
          <w:p>
            <w:pPr>
              <w:spacing w:after="0"/>
              <w:rPr>
                <w:sz w:val="19"/>
                <w:szCs w:val="19"/>
                <w:color w:val="auto"/>
              </w:rPr>
            </w:pPr>
          </w:p>
        </w:tc>
        <w:tc>
          <w:tcPr>
            <w:tcW w:w="2700" w:type="dxa"/>
            <w:vAlign w:val="bottom"/>
          </w:tcPr>
          <w:p>
            <w:pPr>
              <w:ind w:left="21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365"/>
        </w:trPr>
        <w:tc>
          <w:tcPr>
            <w:tcW w:w="3700" w:type="dxa"/>
            <w:vAlign w:val="bottom"/>
          </w:tcPr>
          <w:p>
            <w:pPr>
              <w:spacing w:after="0"/>
              <w:rPr>
                <w:sz w:val="24"/>
                <w:szCs w:val="24"/>
                <w:color w:val="auto"/>
              </w:rPr>
            </w:pPr>
          </w:p>
        </w:tc>
        <w:tc>
          <w:tcPr>
            <w:tcW w:w="2700" w:type="dxa"/>
            <w:vAlign w:val="bottom"/>
          </w:tcPr>
          <w:p>
            <w:pPr>
              <w:ind w:left="1980"/>
              <w:spacing w:after="0"/>
              <w:rPr>
                <w:sz w:val="20"/>
                <w:szCs w:val="20"/>
                <w:color w:val="auto"/>
              </w:rPr>
            </w:pPr>
            <w:r>
              <w:rPr>
                <w:rFonts w:ascii="Arial" w:cs="Arial" w:eastAsia="Arial" w:hAnsi="Arial"/>
                <w:sz w:val="18"/>
                <w:szCs w:val="18"/>
                <w:color w:val="auto"/>
              </w:rPr>
              <w:t>3</w:t>
            </w:r>
          </w:p>
        </w:tc>
        <w:tc>
          <w:tcPr>
            <w:tcW w:w="50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2019-12-09T15:27:51Z</dcterms:created>
  <dcterms:modified xsi:type="dcterms:W3CDTF">2019-12-09T15:27:51Z</dcterms:modified>
</cp:coreProperties>
</file>