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5213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2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78.73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5,689.34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person's prior reports inadvertently reported certain shares as being directly held rather than indirectly held by the Family Trust.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57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09/17/2024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22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2024-09-17T19:11:58Z</dcterms:created>
  <dcterms:modified xsi:type="dcterms:W3CDTF">2024-09-17T19:11:58Z</dcterms:modified>
</cp:coreProperties>
</file>