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Date of Report (Date of earliest event reported): November 7, 2006</w:t>
      </w:r>
    </w:p>
    <w:p>
      <w:pPr>
        <w:spacing w:after="0" w:line="25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233" w:right="1440" w:bottom="0" w:gutter="0" w:footer="0" w:header="0"/>
        </w:sectPr>
      </w:pPr>
    </w:p>
    <w:p>
      <w:pPr>
        <w:spacing w:after="0" w:line="21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25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25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440" w:space="620"/>
            <w:col w:w="1960" w:space="380"/>
            <w:col w:w="4819"/>
          </w:cols>
          <w:pgMar w:left="240" w:top="233" w:right="1440" w:bottom="0" w:gutter="0" w:footer="0" w:header="0"/>
          <w:type w:val="continuous"/>
        </w:sectPr>
      </w:pPr>
    </w:p>
    <w:p>
      <w:pPr>
        <w:ind w:left="9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233" w:right="1440" w:bottom="0" w:gutter="0" w:footer="0" w:header="0"/>
          <w:type w:val="continuous"/>
        </w:sectPr>
      </w:pPr>
    </w:p>
    <w:p>
      <w:pPr>
        <w:spacing w:after="0" w:line="2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19"/>
          </w:cols>
          <w:pgMar w:left="240" w:top="233" w:right="1440" w:bottom="0" w:gutter="0" w:footer="0" w:header="0"/>
          <w:type w:val="continuous"/>
        </w:sectPr>
      </w:pPr>
    </w:p>
    <w:p>
      <w:pPr>
        <w:spacing w:after="0" w:line="247"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333-98369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2259"/>
        <w:spacing w:after="0"/>
        <w:rPr>
          <w:sz w:val="20"/>
          <w:szCs w:val="20"/>
          <w:color w:val="auto"/>
        </w:rPr>
      </w:pPr>
      <w:r>
        <w:rPr>
          <w:rFonts w:ascii="Arial" w:cs="Arial" w:eastAsia="Arial" w:hAnsi="Arial"/>
          <w:sz w:val="18"/>
          <w:szCs w:val="18"/>
          <w:b w:val="1"/>
          <w:bCs w:val="1"/>
          <w:color w:val="auto"/>
        </w:rPr>
        <w:t>88-0494878</w:t>
      </w:r>
    </w:p>
    <w:p>
      <w:pPr>
        <w:spacing w:after="0" w:line="21" w:lineRule="exact"/>
        <w:rPr>
          <w:sz w:val="24"/>
          <w:szCs w:val="24"/>
          <w:color w:val="auto"/>
        </w:rPr>
      </w:pPr>
    </w:p>
    <w:p>
      <w:pPr>
        <w:jc w:val="center"/>
        <w:ind w:right="225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440" w:space="620"/>
            <w:col w:w="1960" w:space="380"/>
            <w:col w:w="4819"/>
          </w:cols>
          <w:pgMar w:left="240" w:top="233" w:right="1440" w:bottom="0" w:gutter="0" w:footer="0" w:header="0"/>
          <w:type w:val="continuous"/>
        </w:sectPr>
      </w:pPr>
    </w:p>
    <w:p>
      <w:pPr>
        <w:ind w:left="9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233" w:right="1440" w:bottom="0" w:gutter="0" w:footer="0" w:header="0"/>
          <w:type w:val="continuous"/>
        </w:sectPr>
      </w:pPr>
    </w:p>
    <w:p>
      <w:pPr>
        <w:spacing w:after="0" w:line="236"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jc w:val="center"/>
        <w:ind w:right="333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33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380" w:space="720"/>
            <w:col w:w="411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340" w:right="211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8" w:lineRule="exact"/>
        <w:rPr>
          <w:rFonts w:ascii="Arial" w:cs="Arial" w:eastAsia="Arial" w:hAnsi="Arial"/>
          <w:sz w:val="18"/>
          <w:szCs w:val="18"/>
          <w:color w:val="auto"/>
        </w:rPr>
      </w:pPr>
    </w:p>
    <w:p>
      <w:pPr>
        <w:ind w:left="340" w:right="231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4"/>
          <w:szCs w:val="24"/>
          <w:color w:val="auto"/>
        </w:rPr>
      </w:pPr>
    </w:p>
    <w:p>
      <w:pPr>
        <w:jc w:val="both"/>
        <w:ind w:right="2119"/>
        <w:spacing w:after="0" w:line="294" w:lineRule="auto"/>
        <w:rPr>
          <w:sz w:val="20"/>
          <w:szCs w:val="20"/>
          <w:color w:val="auto"/>
        </w:rPr>
      </w:pPr>
      <w:r>
        <w:rPr>
          <w:rFonts w:ascii="Arial" w:cs="Arial" w:eastAsia="Arial" w:hAnsi="Arial"/>
          <w:sz w:val="16"/>
          <w:szCs w:val="16"/>
          <w:color w:val="auto"/>
        </w:rPr>
        <w:t>On November 7, 2006, Wynn Resorts, Limited issued a press release announcing its results of operations for the third quarter of 2006.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164"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19"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4"/>
          <w:szCs w:val="24"/>
          <w:color w:val="auto"/>
        </w:rPr>
      </w:pPr>
    </w:p>
    <w:p>
      <w:pPr>
        <w:ind w:left="1460" w:hanging="750"/>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Exhibit</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6"/>
          <w:szCs w:val="16"/>
          <w:u w:val="single" w:color="auto"/>
          <w:color w:val="auto"/>
        </w:rPr>
        <w:t>Description</w:t>
      </w:r>
    </w:p>
    <w:p>
      <w:pPr>
        <w:spacing w:after="0" w:line="151" w:lineRule="exact"/>
        <w:rPr>
          <w:sz w:val="24"/>
          <w:szCs w:val="24"/>
          <w:color w:val="auto"/>
        </w:rPr>
      </w:pPr>
    </w:p>
    <w:p>
      <w:pPr>
        <w:ind w:left="1560"/>
        <w:spacing w:after="0"/>
        <w:tabs>
          <w:tab w:leader="none" w:pos="2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7, 2006, of Wynn Resorts,</w:t>
      </w:r>
    </w:p>
    <w:p>
      <w:pPr>
        <w:sectPr>
          <w:pgSz w:w="11900" w:h="16838" w:orient="portrait"/>
          <w:cols w:equalWidth="0" w:num="1">
            <w:col w:w="10219"/>
          </w:cols>
          <w:pgMar w:left="240" w:top="233" w:right="1440" w:bottom="0" w:gutter="0" w:footer="0" w:header="0"/>
          <w:type w:val="continuous"/>
        </w:sectPr>
      </w:pPr>
    </w:p>
    <w:bookmarkStart w:id="1" w:name="page2"/>
    <w:bookmarkEnd w:id="1"/>
    <w:p>
      <w:pPr>
        <w:ind w:left="2940"/>
        <w:spacing w:after="0"/>
        <w:rPr>
          <w:sz w:val="20"/>
          <w:szCs w:val="20"/>
          <w:color w:val="auto"/>
        </w:rPr>
      </w:pPr>
      <w:r>
        <w:rPr>
          <w:rFonts w:ascii="Arial" w:cs="Arial" w:eastAsia="Arial" w:hAnsi="Arial"/>
          <w:sz w:val="18"/>
          <w:szCs w:val="18"/>
          <w:color w:val="auto"/>
        </w:rPr>
        <w:t>Limited.</w:t>
      </w:r>
    </w:p>
    <w:p>
      <w:pPr>
        <w:spacing w:after="0" w:line="200" w:lineRule="exact"/>
        <w:rPr>
          <w:sz w:val="20"/>
          <w:szCs w:val="20"/>
          <w:color w:val="auto"/>
        </w:rPr>
      </w:pPr>
    </w:p>
    <w:p>
      <w:pPr>
        <w:spacing w:after="0" w:line="24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2006</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Wynn Resorts, Limited</w:t>
      </w:r>
    </w:p>
    <w:p>
      <w:pPr>
        <w:spacing w:after="0" w:line="306" w:lineRule="exact"/>
        <w:rPr>
          <w:sz w:val="20"/>
          <w:szCs w:val="20"/>
          <w:color w:val="auto"/>
        </w:rPr>
      </w:pPr>
    </w:p>
    <w:p>
      <w:pPr>
        <w:ind w:left="470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19685</wp:posOffset>
            </wp:positionV>
            <wp:extent cx="1886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2006</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WYNN LAS VEGAS, LLC</w:t>
      </w:r>
    </w:p>
    <w:p>
      <w:pPr>
        <w:spacing w:after="0" w:line="15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its sole member</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its sole member</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19685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31" w:right="1440" w:bottom="1440"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u w:val="single" w:color="auto"/>
          <w:color w:val="auto"/>
        </w:rPr>
        <w:t>Exhibit 99.1</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 Reports Third Quarter Results</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LAS VEGAS, November 7, 2006 (BUSINESS WIRE) -- Wynn Resorts, Limited (Nasdaq: WYNN) today reported financial results for the quarter ended September 30, 2006.</w:t>
      </w:r>
    </w:p>
    <w:p>
      <w:pPr>
        <w:spacing w:after="0" w:line="186"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Net Revenues for the quarter were $318.1 million, 26.5% higher than in the third quarter of 2005. Results for this quarter include 25 days of operations of Wynn Macau, which opened on September 6, 2006. On a US GAAP (Generally Accepted Accounting Principles) basis, net income for the quarter was $715.7 million, or $6.43 per diluted share, compared to a loss of $9.2 million, or $0.09 per diluted share, in the third quarter of 2005. The significant increase in net income was due to the completion of the sale of the subconcession right in Macau in the third quarter of 2006. Adjusted net loss was $1.3 million, or ($0.01) per diluted share (adjusted EPS)(1) compared to an adjusted net loss of $2.2 million, or ($0.02) per diluted share in the third quarter of 2005.</w:t>
      </w:r>
    </w:p>
    <w:p>
      <w:pPr>
        <w:spacing w:after="0" w:line="174" w:lineRule="exact"/>
        <w:rPr>
          <w:sz w:val="20"/>
          <w:szCs w:val="20"/>
          <w:color w:val="auto"/>
        </w:rPr>
      </w:pPr>
    </w:p>
    <w:p>
      <w:pPr>
        <w:jc w:val="both"/>
        <w:ind w:right="2119"/>
        <w:spacing w:after="0" w:line="212" w:lineRule="auto"/>
        <w:rPr>
          <w:sz w:val="20"/>
          <w:szCs w:val="20"/>
          <w:color w:val="auto"/>
        </w:rPr>
      </w:pPr>
      <w:r>
        <w:rPr>
          <w:rFonts w:ascii="Arial" w:cs="Arial" w:eastAsia="Arial" w:hAnsi="Arial"/>
          <w:sz w:val="18"/>
          <w:szCs w:val="18"/>
          <w:color w:val="auto"/>
        </w:rPr>
        <w:t>Consolidated adjusted EBITDA</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the quarter was $79.6 million, an increase of 8.7% from $73.2 million in third quarter of 2005.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Results</w:t>
      </w:r>
    </w:p>
    <w:p>
      <w:pPr>
        <w:spacing w:after="0" w:line="231"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For the quarter ended September 30, 2006, Wynn Las Vegas generated adjusted EBITDA of $77.3 million, an increase of 5.6% from the third quarter of 2005, with a 28.3% EBITDA margin on net revenue.</w:t>
      </w:r>
    </w:p>
    <w:p>
      <w:pPr>
        <w:spacing w:after="0" w:line="18"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Net casino revenues in the third quarter of 2006 were $131.9 million compared to $123.0 million for the third quarter of 2005. Table games drop was $458.2 million, with win per table per day (before discounts) of $7,779 for the quarter compared to drop of $414.6 million and win per table per day of $7,339 last year. Table games win percentage of 22.3% was slightly above the property’s expected range of 19% to 22% and the 21.9% generated last year. Slot machine win per unit per day was $248 on handle (volume) of $1,017.2 million in the quarter compared to a win per unit per day of $243 on handle of $897.1 million during the comparable period of 2005. Slot handle increased during the three months of 2006 as compared to 2005, however, during the three months of 2006, the slot win percentage was slightly less than the expected range of 5% to 6%.</w:t>
      </w:r>
    </w:p>
    <w:p>
      <w:pPr>
        <w:spacing w:after="0" w:line="37"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Gross non-casino revenues for the quarter were $178.4 million, an 8.5% increase from the third quarter of 2005. Hotel revenues were up 4.8% to $64.3 million during the quarter, versus $61.4 million in the third quarter of 2005. Wynn Las Vegas achieved an Average Daily Rate (ADR) of $271 for the quarter, compared to $264 in the third quarter of 2005. The property’s occupancy was 94.9% compared to 93.0% during the prior year period, generating revenue per available room (REVPAR) of $257 in the 2006 period (4.5% higher than in 2005).</w:t>
      </w:r>
    </w:p>
    <w:p>
      <w:pPr>
        <w:spacing w:after="0" w:line="48"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Food and beverage revenues increased 13.2% to $69.3 million in the quarter compared to $61.2 million in the third quarter of 2005. Retail revenues were $19.2 million in the quarter compared to $17.0 million in the third quarter of 2005, an increase of 12.7%. Entertainment revenues were approximately $14.1 million, matching the $14.0 million generated in the third quarter of 2005. Food and beverage revenue increases in 2006 compared to 2005 were primarily from increased revenues from the nightclub located in Wynn Las Vegas.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Results</w:t>
      </w:r>
    </w:p>
    <w:p>
      <w:pPr>
        <w:spacing w:after="0" w:line="110"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first phase of Wynn Macau opened on September 6, 2006 featuring 600 hotel rooms and suites, approximately 212 table games and 375 slot machines in approximately 100,000 square feet of casino gaming space, seven restaurants, approximately 26,000 square feet of retail space, a spa, a salon, entertainment lounges, and meeting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Wynn Macau generated net revenues (after discounts and commissions) of $45.0 million and EBITDA of $2.3 million in the property’s first 25 days of operations. Approximately 81.2% of revenues were derived from table games play at Wynn Macau.</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Table games results are segregated into two distinct reporting segments, the mass market segment and the VIP segment.</w:t>
      </w:r>
    </w:p>
    <w:p>
      <w:pPr>
        <w:spacing w:after="0" w:line="186"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Table games drop in the mass market segment was approximately $134 million during the 25 day period. Mass market table games win percentage (calculated before discounts and incentives) was 15.7%, below the expected range of 17% to 19%.</w:t>
      </w:r>
    </w:p>
    <w:p>
      <w:pPr>
        <w:spacing w:after="0" w:line="19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Table games turnover in the VIP segment was $1.5 billion for the 25 day period. VIP table games win percentage (calculated before discounts and commissions) was 1.9%, which is significantly less than the expected range of 2.5% to 2.8%.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Slot machine win per unit per day was $387 on handle (volume) of $60.6 million for the 25 day period.</w:t>
      </w:r>
    </w:p>
    <w:p>
      <w:pPr>
        <w:spacing w:after="0" w:line="10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Since our opening on September 6, 2006, Wynn Macau has generated an average daily room rate (ADR) of $201, with occupancy averaging 75.9%. Net non-casino revenues for the 25 days were $4.9 million.</w:t>
      </w:r>
    </w:p>
    <w:p>
      <w:pPr>
        <w:spacing w:after="0" w:line="13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As of September 30, 2006, the Company has expended approximately $816 million of a total project budget for Wynn Macau of approximately $1.2 billion (including the expansion).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Wynn Macau Expansion</w:t>
      </w:r>
    </w:p>
    <w:p>
      <w:pPr>
        <w:sectPr>
          <w:pgSz w:w="11900" w:h="16838" w:orient="portrait"/>
          <w:cols w:equalWidth="0" w:num="1">
            <w:col w:w="10219"/>
          </w:cols>
          <w:pgMar w:left="240" w:top="131" w:right="1440" w:bottom="0" w:gutter="0" w:footer="0" w:header="0"/>
        </w:sectPr>
      </w:pPr>
    </w:p>
    <w:bookmarkStart w:id="3" w:name="page4"/>
    <w:bookmarkEnd w:id="3"/>
    <w:p>
      <w:pPr>
        <w:jc w:val="both"/>
        <w:ind w:right="2099"/>
        <w:spacing w:after="0" w:line="255" w:lineRule="auto"/>
        <w:rPr>
          <w:sz w:val="20"/>
          <w:szCs w:val="20"/>
          <w:color w:val="auto"/>
        </w:rPr>
      </w:pPr>
      <w:r>
        <w:rPr>
          <w:rFonts w:ascii="Arial" w:cs="Arial" w:eastAsia="Arial" w:hAnsi="Arial"/>
          <w:sz w:val="18"/>
          <w:szCs w:val="18"/>
          <w:color w:val="auto"/>
        </w:rPr>
        <w:t>Construction of the second phase of Wynn Macau on the remaining five acres continues. This expansion will be fully integrated with the first phase of Wynn Macau and will open in stages in 2007, commencing with approximately 119 table games and 300 slot machines in February. The second phase will include an additional approximately 135,000 square feet of casino space, two restaurants, retail space, a theater, and a dramatic front feature attraction.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Cotai</w:t>
      </w:r>
    </w:p>
    <w:p>
      <w:pPr>
        <w:spacing w:after="0" w:line="22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Company has submitted an application to the Macau government for a land concession for an additional 54 acres of land on the Cotai Strip in Macau for future development.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6" w:lineRule="exact"/>
        <w:rPr>
          <w:sz w:val="20"/>
          <w:szCs w:val="20"/>
          <w:color w:val="auto"/>
        </w:rPr>
      </w:pPr>
    </w:p>
    <w:p>
      <w:pPr>
        <w:jc w:val="both"/>
        <w:ind w:right="2099"/>
        <w:spacing w:after="0" w:line="306" w:lineRule="auto"/>
        <w:rPr>
          <w:sz w:val="20"/>
          <w:szCs w:val="20"/>
          <w:color w:val="auto"/>
        </w:rPr>
      </w:pPr>
      <w:r>
        <w:rPr>
          <w:rFonts w:ascii="Arial" w:cs="Arial" w:eastAsia="Arial" w:hAnsi="Arial"/>
          <w:sz w:val="15"/>
          <w:szCs w:val="15"/>
          <w:color w:val="auto"/>
        </w:rPr>
        <w:t>On March 31, 2006, Wynn Las Vegas, LLC’s lenders approved a $1.74 billion project budget and the related plans and specifications for Encore (the “Encore Budget, Plans and Specs”). The Company continues to refine the design of Encore and is evaluating certain enhancements, which may increase the project budget. In addition, we are negotiating the final guaranteed maximum price contract for Encore with our general contractor. Any increase to the Encore budget would be funded by contributions of debt and/or equity from Wynn Resorts. Encore’s current design includes a 2,042-room hotel tower fully integrated with Wynn Las Vegas, consisting of 132 suites and 1,910 guest rooms, as well as an approximately 54,000 square foot casino, additional convention and meeting space, as well as restaurants, a nightclub, swimming pools, a spa and salon and retail outlets. The Encore Budget, Plans and Specs include approximately $70.0 million to be incurred for an additional employee parking garage located on the Company’s Koval property across Sands Avenue from Wynn Las Vegas, a related pedestrian bridge, and costs to be incurred in connection with preparing the Broadway Theater to host “Monty Python’s Spamalot.” The Company commenced construction of Encore on April 28, 2006 and expects to open Encore to the public by early 2009.</w:t>
      </w:r>
    </w:p>
    <w:p>
      <w:pPr>
        <w:spacing w:after="0" w:line="170"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Through September 30, 2006, the Company incurred approximately $200.7 million of the Encore project costs. These costs, net of approximately $6.4 million of retention, have been funded from the Wynn Las Vegas Credit Facilities, the First Mortgage Notes and cash flow from the operations of Wynn Las Vegas. Prior to signing a guaranteed maximum price construction contract, the Company is permitted to spend up to $300.0 million of the proceeds of the First Mortgage Notes and the Wynn Las Vegas Credit Facilities on Encore project costs. As of September 30, 2006, the Company has spent approximately $155.9 million using the debt proceeds. The remaining $38.4 million has been funded from cash flows from operations. The Company expects that the remaining proceeds from the First Mortgage Notes, together with availability under the Wynn Las Vegas Credit Facilities, cash flow from operations and the equity commitment from Wynn Resorts will be sufficient to fund Encore’s $1.74 billion budget.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110"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Wynn Macau completed the sale of a subconcession right to Publishing &amp; Broadcasting, Limited for $900 million in cash, received on September 11, 2006. The one time gain on the sale substantially increased net income for the quarter ended September 30, 2006.</w:t>
      </w:r>
    </w:p>
    <w:p>
      <w:pPr>
        <w:spacing w:after="0" w:line="19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Depreciation and amortization expenses were $42.5 million during the third quarter of 2006. Interest expense, net of $8.7 million in capitalized interest, was $37.0 million for the quarter. Pre-opening expenses, primarily related to Wynn Macau, totaled $36.8 million during the quarter. Corporate expenses and other were $13.3 million, including $4.8 million of stock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110"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Our total cash balances at the end of the quarter were $1.7 billion, including unrestricted cash balances of $1.4 billion and cash balances restricted for our construction and development projects of $324 million. Total debt outstanding at the end of the quarter was $2.4 billion, including $224 million of Convertible Debentures and $478 million of Wynn Macau-related debt. Capital expenditures during the third quarter of 2006, net of changes in construction payables and retention, totaled approximately $231 million, of which approximately $134 million was related to Wynn Macau and the remainder was mostly attributable to Encore.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7" w:lineRule="exact"/>
        <w:rPr>
          <w:sz w:val="20"/>
          <w:szCs w:val="20"/>
          <w:color w:val="auto"/>
        </w:rPr>
      </w:pPr>
    </w:p>
    <w:p>
      <w:pPr>
        <w:jc w:val="both"/>
        <w:ind w:right="2119"/>
        <w:spacing w:after="0" w:line="222" w:lineRule="auto"/>
        <w:rPr>
          <w:sz w:val="20"/>
          <w:szCs w:val="20"/>
          <w:color w:val="auto"/>
        </w:rPr>
      </w:pPr>
      <w:r>
        <w:rPr>
          <w:rFonts w:ascii="Arial" w:cs="Arial" w:eastAsia="Arial" w:hAnsi="Arial"/>
          <w:sz w:val="18"/>
          <w:szCs w:val="18"/>
          <w:color w:val="auto"/>
        </w:rPr>
        <w:t>The Company will hold a conference call to discuss its results on Tuesday, November 7</w:t>
      </w:r>
      <w:r>
        <w:rPr>
          <w:rFonts w:ascii="Arial" w:cs="Arial" w:eastAsia="Arial" w:hAnsi="Arial"/>
          <w:sz w:val="29"/>
          <w:szCs w:val="29"/>
          <w:color w:val="auto"/>
          <w:vertAlign w:val="superscript"/>
        </w:rPr>
        <w:t>th</w:t>
      </w:r>
      <w:r>
        <w:rPr>
          <w:rFonts w:ascii="Arial" w:cs="Arial" w:eastAsia="Arial" w:hAnsi="Arial"/>
          <w:sz w:val="18"/>
          <w:szCs w:val="18"/>
          <w:color w:val="auto"/>
        </w:rPr>
        <w:t>, 2006, at 6:00 p.m. ET (3:00 p.m. PT). Interested parties are invited to join the call by accessing a live audio webcast via the Investor Relations page at http://www.wynnresorts.com.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1" w:lineRule="exact"/>
        <w:rPr>
          <w:sz w:val="20"/>
          <w:szCs w:val="20"/>
          <w:color w:val="auto"/>
        </w:rPr>
      </w:pPr>
    </w:p>
    <w:p>
      <w:pPr>
        <w:jc w:val="both"/>
        <w:ind w:right="2099"/>
        <w:spacing w:after="0" w:line="309" w:lineRule="auto"/>
        <w:rPr>
          <w:sz w:val="20"/>
          <w:szCs w:val="20"/>
          <w:color w:val="auto"/>
        </w:rPr>
      </w:pPr>
      <w:r>
        <w:rPr>
          <w:rFonts w:ascii="Arial" w:cs="Arial" w:eastAsia="Arial" w:hAnsi="Arial"/>
          <w:sz w:val="15"/>
          <w:szCs w:val="15"/>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2005 and the Company's other periodic reports filed with the Securities and Exchange Commission. The Company is</w:t>
      </w:r>
    </w:p>
    <w:p>
      <w:pPr>
        <w:sectPr>
          <w:pgSz w:w="11900" w:h="16838" w:orient="portrait"/>
          <w:cols w:equalWidth="0" w:num="1">
            <w:col w:w="10219"/>
          </w:cols>
          <w:pgMar w:left="240" w:top="347" w:right="1440" w:bottom="0" w:gutter="0" w:footer="0" w:header="0"/>
        </w:sectPr>
      </w:pPr>
    </w:p>
    <w:bookmarkStart w:id="4" w:name="page5"/>
    <w:bookmarkEnd w:id="4"/>
    <w:p>
      <w:pPr>
        <w:spacing w:after="0" w:line="18"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under no obligation to (and expressly disclaims any such obligation to) update its forward-looking statements as a result of new information, future events or otherwise.</w:t>
      </w:r>
    </w:p>
    <w:p>
      <w:pPr>
        <w:spacing w:after="0" w:line="29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3" w:lineRule="exact"/>
        <w:rPr>
          <w:sz w:val="20"/>
          <w:szCs w:val="20"/>
          <w:color w:val="auto"/>
        </w:rPr>
      </w:pPr>
    </w:p>
    <w:p>
      <w:pPr>
        <w:jc w:val="both"/>
        <w:ind w:right="2119" w:firstLine="8"/>
        <w:spacing w:after="0" w:line="255" w:lineRule="auto"/>
        <w:tabs>
          <w:tab w:leader="none" w:pos="292"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(loss) and adjusted earnings (loss) per share (“EPS”) are presented exclusively as supplemental disclosures because management believes that these financial measures are widely used to measure the performance, and as a principal basis for valuation, of gaming companies. These measures are considered by many to be a better indicator on which to base expectations of future results than income or EPS computed in accordance with GAAP.</w:t>
      </w:r>
    </w:p>
    <w:p>
      <w:pPr>
        <w:spacing w:after="0" w:line="196" w:lineRule="exact"/>
        <w:rPr>
          <w:rFonts w:ascii="Arial" w:cs="Arial" w:eastAsia="Arial" w:hAnsi="Arial"/>
          <w:sz w:val="18"/>
          <w:szCs w:val="18"/>
          <w:color w:val="auto"/>
        </w:rPr>
      </w:pPr>
    </w:p>
    <w:p>
      <w:pPr>
        <w:jc w:val="both"/>
        <w:ind w:right="2099" w:firstLine="8"/>
        <w:spacing w:after="0" w:line="304" w:lineRule="auto"/>
        <w:tabs>
          <w:tab w:leader="none" w:pos="293" w:val="left"/>
        </w:tabs>
        <w:numPr>
          <w:ilvl w:val="0"/>
          <w:numId w:val="3"/>
        </w:numPr>
        <w:rPr>
          <w:rFonts w:ascii="Arial" w:cs="Arial" w:eastAsia="Arial" w:hAnsi="Arial"/>
          <w:sz w:val="15"/>
          <w:szCs w:val="15"/>
          <w:color w:val="auto"/>
        </w:rPr>
      </w:pPr>
      <w:r>
        <w:rPr>
          <w:rFonts w:ascii="Arial" w:cs="Arial" w:eastAsia="Arial" w:hAnsi="Arial"/>
          <w:sz w:val="15"/>
          <w:szCs w:val="15"/>
          <w:color w:val="auto"/>
        </w:rPr>
        <w:t>“Adjusted EBITDA” is earnings before interest, taxes, depreciation, amortization, pre-opening expenses, property charges, corporate expenses, stock-based compensation, and other non-operating income and expenses. Adjusted EBITDA is presented exclusively as a supplemental disclosure because management believes that it is widely used to measure the performance, and as a basis for valuation, of gaming companies. Management uses Adjusted EBITDA as a measure of the operating performance of its segments 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382"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The Company has included schedules in the tables that accompany this release that reconcile (i) net income and net income (loss) per share to adjusted net income (loss) and adjusted net income (loss) per share, and (ii) reconciliation of operating income (loss) to adjusted EBITDA and adjusted EBITDA to net income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WYNN RESORTS, LIMITED AND SUBSIDIARIES</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2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5"/>
                <w:szCs w:val="15"/>
                <w:color w:val="auto"/>
              </w:rPr>
            </w:pPr>
          </w:p>
        </w:tc>
        <w:tc>
          <w:tcPr>
            <w:tcW w:w="2420" w:type="dxa"/>
            <w:vAlign w:val="bottom"/>
            <w:gridSpan w:val="5"/>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3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w w:val="83"/>
              </w:rPr>
              <w:t>September 30,</w:t>
            </w:r>
          </w:p>
        </w:tc>
      </w:tr>
      <w:tr>
        <w:trPr>
          <w:trHeight w:val="210"/>
        </w:trPr>
        <w:tc>
          <w:tcPr>
            <w:tcW w:w="3380" w:type="dxa"/>
            <w:vAlign w:val="bottom"/>
          </w:tcPr>
          <w:p>
            <w:pPr>
              <w:spacing w:after="0"/>
              <w:rPr>
                <w:sz w:val="18"/>
                <w:szCs w:val="18"/>
                <w:color w:val="auto"/>
              </w:rPr>
            </w:pPr>
          </w:p>
        </w:tc>
        <w:tc>
          <w:tcPr>
            <w:tcW w:w="900" w:type="dxa"/>
            <w:vAlign w:val="bottom"/>
            <w:tcBorders>
              <w:top w:val="single" w:sz="8" w:color="808080"/>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808080"/>
              <w:bottom w:val="single" w:sz="8" w:color="auto"/>
            </w:tcBorders>
          </w:tcPr>
          <w:p>
            <w:pPr>
              <w:spacing w:after="0"/>
              <w:rPr>
                <w:sz w:val="18"/>
                <w:szCs w:val="18"/>
                <w:color w:val="auto"/>
              </w:rPr>
            </w:pPr>
          </w:p>
        </w:tc>
        <w:tc>
          <w:tcPr>
            <w:tcW w:w="240" w:type="dxa"/>
            <w:vAlign w:val="bottom"/>
            <w:tcBorders>
              <w:top w:val="single" w:sz="8" w:color="808080"/>
            </w:tcBorders>
          </w:tcPr>
          <w:p>
            <w:pPr>
              <w:spacing w:after="0"/>
              <w:rPr>
                <w:sz w:val="18"/>
                <w:szCs w:val="18"/>
                <w:color w:val="auto"/>
              </w:rPr>
            </w:pPr>
          </w:p>
        </w:tc>
        <w:tc>
          <w:tcPr>
            <w:tcW w:w="1220" w:type="dxa"/>
            <w:vAlign w:val="bottom"/>
            <w:tcBorders>
              <w:top w:val="single" w:sz="8" w:color="808080"/>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8"/>
                <w:szCs w:val="18"/>
                <w:color w:val="auto"/>
              </w:rPr>
            </w:pPr>
          </w:p>
        </w:tc>
        <w:tc>
          <w:tcPr>
            <w:tcW w:w="260" w:type="dxa"/>
            <w:vAlign w:val="bottom"/>
            <w:tcBorders>
              <w:top w:val="single" w:sz="8" w:color="808080"/>
              <w:bottom w:val="single" w:sz="8" w:color="auto"/>
            </w:tcBorders>
          </w:tcPr>
          <w:p>
            <w:pPr>
              <w:spacing w:after="0"/>
              <w:rPr>
                <w:sz w:val="18"/>
                <w:szCs w:val="18"/>
                <w:color w:val="auto"/>
              </w:rPr>
            </w:pPr>
          </w:p>
        </w:tc>
        <w:tc>
          <w:tcPr>
            <w:tcW w:w="660" w:type="dxa"/>
            <w:vAlign w:val="bottom"/>
            <w:tcBorders>
              <w:top w:val="single" w:sz="8" w:color="808080"/>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808080"/>
              <w:bottom w:val="single" w:sz="8" w:color="auto"/>
            </w:tcBorders>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220" w:type="dxa"/>
            <w:vAlign w:val="bottom"/>
            <w:tcBorders>
              <w:top w:val="single" w:sz="8" w:color="808080"/>
              <w:bottom w:val="single" w:sz="8" w:color="auto"/>
            </w:tcBorders>
          </w:tcPr>
          <w:p>
            <w:pPr>
              <w:spacing w:after="0"/>
              <w:rPr>
                <w:sz w:val="18"/>
                <w:szCs w:val="18"/>
                <w:color w:val="auto"/>
              </w:rPr>
            </w:pPr>
          </w:p>
        </w:tc>
        <w:tc>
          <w:tcPr>
            <w:tcW w:w="1020" w:type="dxa"/>
            <w:vAlign w:val="bottom"/>
            <w:tcBorders>
              <w:top w:val="single" w:sz="8" w:color="808080"/>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3"/>
              </w:rPr>
              <w:t>2005</w:t>
            </w:r>
          </w:p>
        </w:tc>
      </w:tr>
      <w:tr>
        <w:trPr>
          <w:trHeight w:val="223"/>
        </w:trPr>
        <w:tc>
          <w:tcPr>
            <w:tcW w:w="3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restated)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right="132"/>
              <w:spacing w:after="0"/>
              <w:rPr>
                <w:sz w:val="20"/>
                <w:szCs w:val="20"/>
                <w:color w:val="auto"/>
              </w:rPr>
            </w:pPr>
            <w:r>
              <w:rPr>
                <w:rFonts w:ascii="Arial" w:cs="Arial" w:eastAsia="Arial" w:hAnsi="Arial"/>
                <w:sz w:val="14"/>
                <w:szCs w:val="14"/>
                <w:b w:val="1"/>
                <w:bCs w:val="1"/>
                <w:color w:val="auto"/>
                <w:w w:val="84"/>
              </w:rPr>
              <w:t>(as restated)</w:t>
            </w:r>
          </w:p>
        </w:tc>
      </w:tr>
      <w:tr>
        <w:trPr>
          <w:trHeight w:val="230"/>
        </w:trPr>
        <w:tc>
          <w:tcPr>
            <w:tcW w:w="3380" w:type="dxa"/>
            <w:vAlign w:val="bottom"/>
          </w:tcPr>
          <w:p>
            <w:pPr>
              <w:spacing w:after="0"/>
              <w:rPr>
                <w:sz w:val="20"/>
                <w:szCs w:val="20"/>
                <w:color w:val="auto"/>
              </w:rPr>
            </w:pPr>
            <w:r>
              <w:rPr>
                <w:rFonts w:ascii="Arial" w:cs="Arial" w:eastAsia="Arial" w:hAnsi="Arial"/>
                <w:sz w:val="14"/>
                <w:szCs w:val="14"/>
                <w:color w:val="auto"/>
              </w:rPr>
              <w:t>Operating revenues: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3380" w:type="dxa"/>
            <w:vAlign w:val="bottom"/>
          </w:tcPr>
          <w:p>
            <w:pPr>
              <w:ind w:left="400"/>
              <w:spacing w:after="0"/>
              <w:rPr>
                <w:sz w:val="20"/>
                <w:szCs w:val="20"/>
                <w:color w:val="auto"/>
              </w:rPr>
            </w:pPr>
            <w:r>
              <w:rPr>
                <w:rFonts w:ascii="Arial" w:cs="Arial" w:eastAsia="Arial" w:hAnsi="Arial"/>
                <w:sz w:val="14"/>
                <w:szCs w:val="14"/>
                <w:color w:val="auto"/>
              </w:rPr>
              <w:t>Casino</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   172,019</w:t>
            </w:r>
          </w:p>
        </w:tc>
        <w:tc>
          <w:tcPr>
            <w:tcW w:w="1780" w:type="dxa"/>
            <w:vAlign w:val="bottom"/>
            <w:gridSpan w:val="3"/>
          </w:tcPr>
          <w:p>
            <w:pPr>
              <w:jc w:val="right"/>
              <w:ind w:right="352"/>
              <w:spacing w:after="0"/>
              <w:rPr>
                <w:sz w:val="20"/>
                <w:szCs w:val="20"/>
                <w:color w:val="auto"/>
              </w:rPr>
            </w:pPr>
            <w:r>
              <w:rPr>
                <w:rFonts w:ascii="Arial" w:cs="Arial" w:eastAsia="Arial" w:hAnsi="Arial"/>
                <w:sz w:val="14"/>
                <w:szCs w:val="14"/>
                <w:color w:val="auto"/>
              </w:rPr>
              <w:t>$   123,049</w:t>
            </w:r>
          </w:p>
        </w:tc>
        <w:tc>
          <w:tcPr>
            <w:tcW w:w="240" w:type="dxa"/>
            <w:vAlign w:val="bottom"/>
          </w:tcPr>
          <w:p>
            <w:pPr>
              <w:spacing w:after="0"/>
              <w:rPr>
                <w:sz w:val="21"/>
                <w:szCs w:val="21"/>
                <w:color w:val="auto"/>
              </w:rPr>
            </w:pP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412,060</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152"/>
              <w:spacing w:after="0"/>
              <w:rPr>
                <w:sz w:val="20"/>
                <w:szCs w:val="20"/>
                <w:color w:val="auto"/>
              </w:rPr>
            </w:pPr>
            <w:r>
              <w:rPr>
                <w:rFonts w:ascii="Arial" w:cs="Arial" w:eastAsia="Arial" w:hAnsi="Arial"/>
                <w:sz w:val="14"/>
                <w:szCs w:val="14"/>
                <w:color w:val="auto"/>
                <w:w w:val="86"/>
              </w:rPr>
              <w:t>221,764</w:t>
            </w: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Rooms</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66,837</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61,393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204,236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106,026</w:t>
            </w: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Food and beverage</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72,091</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61,211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224,411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109,266</w:t>
            </w:r>
          </w:p>
        </w:tc>
      </w:tr>
      <w:tr>
        <w:trPr>
          <w:trHeight w:val="217"/>
        </w:trPr>
        <w:tc>
          <w:tcPr>
            <w:tcW w:w="3380" w:type="dxa"/>
            <w:vAlign w:val="bottom"/>
          </w:tcPr>
          <w:p>
            <w:pPr>
              <w:ind w:left="400"/>
              <w:spacing w:after="0"/>
              <w:rPr>
                <w:sz w:val="20"/>
                <w:szCs w:val="20"/>
                <w:color w:val="auto"/>
              </w:rPr>
            </w:pPr>
            <w:r>
              <w:rPr>
                <w:rFonts w:ascii="Arial" w:cs="Arial" w:eastAsia="Arial" w:hAnsi="Arial"/>
                <w:sz w:val="14"/>
                <w:szCs w:val="14"/>
                <w:color w:val="auto"/>
              </w:rPr>
              <w:t>Entertainment, retail and other</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46,300</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42,057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144,646</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76,716</w:t>
            </w:r>
          </w:p>
        </w:tc>
      </w:tr>
      <w:tr>
        <w:trPr>
          <w:trHeight w:val="223"/>
        </w:trPr>
        <w:tc>
          <w:tcPr>
            <w:tcW w:w="3380" w:type="dxa"/>
            <w:vAlign w:val="bottom"/>
          </w:tcPr>
          <w:p>
            <w:pPr>
              <w:ind w:left="420"/>
              <w:spacing w:after="0"/>
              <w:rPr>
                <w:sz w:val="20"/>
                <w:szCs w:val="20"/>
                <w:color w:val="auto"/>
              </w:rPr>
            </w:pPr>
            <w:r>
              <w:rPr>
                <w:rFonts w:ascii="Arial" w:cs="Arial" w:eastAsia="Arial" w:hAnsi="Arial"/>
                <w:sz w:val="14"/>
                <w:szCs w:val="14"/>
                <w:color w:val="auto"/>
              </w:rPr>
              <w:t>Gross revenues</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357,247</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287,710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985,353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513,772</w:t>
            </w:r>
          </w:p>
        </w:tc>
      </w:tr>
      <w:tr>
        <w:trPr>
          <w:trHeight w:val="217"/>
        </w:trPr>
        <w:tc>
          <w:tcPr>
            <w:tcW w:w="3380" w:type="dxa"/>
            <w:vAlign w:val="bottom"/>
          </w:tcPr>
          <w:p>
            <w:pPr>
              <w:ind w:left="400"/>
              <w:spacing w:after="0"/>
              <w:rPr>
                <w:sz w:val="20"/>
                <w:szCs w:val="20"/>
                <w:color w:val="auto"/>
              </w:rPr>
            </w:pPr>
            <w:r>
              <w:rPr>
                <w:rFonts w:ascii="Arial" w:cs="Arial" w:eastAsia="Arial" w:hAnsi="Arial"/>
                <w:sz w:val="14"/>
                <w:szCs w:val="14"/>
                <w:color w:val="auto"/>
              </w:rPr>
              <w:t>Less: promotional allowances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(39,155)</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(36,269)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(116,666)</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(61,203)</w:t>
            </w:r>
          </w:p>
        </w:tc>
      </w:tr>
      <w:tr>
        <w:trPr>
          <w:trHeight w:val="210"/>
        </w:trPr>
        <w:tc>
          <w:tcPr>
            <w:tcW w:w="3380" w:type="dxa"/>
            <w:vAlign w:val="bottom"/>
          </w:tcPr>
          <w:p>
            <w:pPr>
              <w:ind w:left="420"/>
              <w:spacing w:after="0"/>
              <w:rPr>
                <w:sz w:val="20"/>
                <w:szCs w:val="20"/>
                <w:color w:val="auto"/>
              </w:rPr>
            </w:pPr>
            <w:r>
              <w:rPr>
                <w:rFonts w:ascii="Arial" w:cs="Arial" w:eastAsia="Arial" w:hAnsi="Arial"/>
                <w:sz w:val="14"/>
                <w:szCs w:val="14"/>
                <w:color w:val="auto"/>
              </w:rPr>
              <w:t>Net revenues</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318,092</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251,441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868,687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452,569</w:t>
            </w:r>
          </w:p>
        </w:tc>
      </w:tr>
      <w:tr>
        <w:trPr>
          <w:trHeight w:val="452"/>
        </w:trPr>
        <w:tc>
          <w:tcPr>
            <w:tcW w:w="3380" w:type="dxa"/>
            <w:vAlign w:val="bottom"/>
          </w:tcPr>
          <w:p>
            <w:pPr>
              <w:spacing w:after="0"/>
              <w:rPr>
                <w:sz w:val="20"/>
                <w:szCs w:val="20"/>
                <w:color w:val="auto"/>
              </w:rPr>
            </w:pPr>
            <w:r>
              <w:rPr>
                <w:rFonts w:ascii="Arial" w:cs="Arial" w:eastAsia="Arial" w:hAnsi="Arial"/>
                <w:sz w:val="14"/>
                <w:szCs w:val="14"/>
                <w:color w:val="auto"/>
              </w:rPr>
              <w:t>Operating costs and expenses:</w:t>
            </w: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Casino</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93,480</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53,388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214,636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95,668</w:t>
            </w: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Rooms</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18,259</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16,120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53,384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27,900</w:t>
            </w: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Food and beverage</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47,772</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42,477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141,954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76,184</w:t>
            </w:r>
          </w:p>
        </w:tc>
      </w:tr>
      <w:tr>
        <w:trPr>
          <w:trHeight w:val="206"/>
        </w:trPr>
        <w:tc>
          <w:tcPr>
            <w:tcW w:w="3380" w:type="dxa"/>
            <w:vAlign w:val="bottom"/>
          </w:tcPr>
          <w:p>
            <w:pPr>
              <w:ind w:left="400"/>
              <w:spacing w:after="0"/>
              <w:rPr>
                <w:sz w:val="20"/>
                <w:szCs w:val="20"/>
                <w:color w:val="auto"/>
              </w:rPr>
            </w:pPr>
            <w:r>
              <w:rPr>
                <w:rFonts w:ascii="Arial" w:cs="Arial" w:eastAsia="Arial" w:hAnsi="Arial"/>
                <w:sz w:val="14"/>
                <w:szCs w:val="14"/>
                <w:color w:val="auto"/>
              </w:rPr>
              <w:t>Entertainment, retail and other</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31,678</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28,699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98,304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48,966</w:t>
            </w:r>
          </w:p>
        </w:tc>
      </w:tr>
      <w:tr>
        <w:trPr>
          <w:trHeight w:val="172"/>
        </w:trPr>
        <w:tc>
          <w:tcPr>
            <w:tcW w:w="3380" w:type="dxa"/>
            <w:vAlign w:val="bottom"/>
          </w:tcPr>
          <w:p>
            <w:pPr>
              <w:ind w:left="400"/>
              <w:spacing w:after="0"/>
              <w:rPr>
                <w:sz w:val="20"/>
                <w:szCs w:val="20"/>
                <w:color w:val="auto"/>
              </w:rPr>
            </w:pPr>
            <w:r>
              <w:rPr>
                <w:rFonts w:ascii="Arial" w:cs="Arial" w:eastAsia="Arial" w:hAnsi="Arial"/>
                <w:sz w:val="14"/>
                <w:szCs w:val="14"/>
                <w:color w:val="auto"/>
              </w:rPr>
              <w:t>General and administrative</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56,195</w:t>
            </w:r>
          </w:p>
        </w:tc>
        <w:tc>
          <w:tcPr>
            <w:tcW w:w="1780" w:type="dxa"/>
            <w:vAlign w:val="bottom"/>
            <w:gridSpan w:val="3"/>
          </w:tcPr>
          <w:p>
            <w:pPr>
              <w:jc w:val="right"/>
              <w:ind w:right="292"/>
              <w:spacing w:after="0"/>
              <w:rPr>
                <w:sz w:val="20"/>
                <w:szCs w:val="20"/>
                <w:color w:val="auto"/>
              </w:rPr>
            </w:pPr>
            <w:r>
              <w:rPr>
                <w:rFonts w:ascii="Arial" w:cs="Arial" w:eastAsia="Arial" w:hAnsi="Arial"/>
                <w:sz w:val="14"/>
                <w:szCs w:val="14"/>
                <w:color w:val="auto"/>
              </w:rPr>
              <w:t>44,814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152,172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75,827</w:t>
            </w:r>
          </w:p>
        </w:tc>
      </w:tr>
    </w:tbl>
    <w:p>
      <w:pPr>
        <w:sectPr>
          <w:pgSz w:w="11900" w:h="16856" w:orient="portrait"/>
          <w:cols w:equalWidth="0" w:num="1">
            <w:col w:w="10219"/>
          </w:cols>
          <w:pgMar w:left="240" w:top="131" w:right="1440" w:bottom="0" w:gutter="0" w:footer="0" w:header="0"/>
        </w:sectPr>
      </w:pPr>
    </w:p>
    <w:bookmarkStart w:id="5" w:name="page6"/>
    <w:bookmarkEnd w:id="5"/>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3380" w:type="dxa"/>
            <w:vAlign w:val="bottom"/>
          </w:tcPr>
          <w:p>
            <w:pPr>
              <w:ind w:left="400"/>
              <w:spacing w:after="0"/>
              <w:rPr>
                <w:sz w:val="20"/>
                <w:szCs w:val="20"/>
                <w:color w:val="auto"/>
              </w:rPr>
            </w:pPr>
            <w:r>
              <w:rPr>
                <w:rFonts w:ascii="Arial" w:cs="Arial" w:eastAsia="Arial" w:hAnsi="Arial"/>
                <w:sz w:val="14"/>
                <w:szCs w:val="14"/>
                <w:color w:val="auto"/>
              </w:rPr>
              <w:t>Provision for doubtful accounts</w:t>
            </w:r>
          </w:p>
        </w:tc>
        <w:tc>
          <w:tcPr>
            <w:tcW w:w="24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color w:val="auto"/>
              </w:rPr>
              <w:t>4,876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2,043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11,452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10,642</w:t>
            </w: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36,820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7,147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62,794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88,616</w:t>
            </w: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42,470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color w:val="auto"/>
              </w:rPr>
              <w:t>37,886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color w:val="auto"/>
              </w:rPr>
              <w:t>124,797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67,505</w:t>
            </w: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Contract termination fee</w:t>
            </w:r>
          </w:p>
        </w:tc>
        <w:tc>
          <w:tcPr>
            <w:tcW w:w="24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5,000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3380" w:type="dxa"/>
            <w:vAlign w:val="bottom"/>
          </w:tcPr>
          <w:p>
            <w:pPr>
              <w:ind w:left="400"/>
              <w:spacing w:after="0"/>
              <w:rPr>
                <w:sz w:val="20"/>
                <w:szCs w:val="20"/>
                <w:color w:val="auto"/>
              </w:rPr>
            </w:pPr>
            <w:r>
              <w:rPr>
                <w:rFonts w:ascii="Arial" w:cs="Arial" w:eastAsia="Arial" w:hAnsi="Arial"/>
                <w:sz w:val="14"/>
                <w:szCs w:val="14"/>
                <w:color w:val="auto"/>
              </w:rPr>
              <w:t>Property charges and 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5,739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6,052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13,064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6,161</w:t>
            </w:r>
          </w:p>
        </w:tc>
        <w:tc>
          <w:tcPr>
            <w:tcW w:w="0" w:type="dxa"/>
            <w:vAlign w:val="bottom"/>
          </w:tcPr>
          <w:p>
            <w:pPr>
              <w:spacing w:after="0"/>
              <w:rPr>
                <w:sz w:val="1"/>
                <w:szCs w:val="1"/>
                <w:color w:val="auto"/>
              </w:rPr>
            </w:pPr>
          </w:p>
        </w:tc>
      </w:tr>
      <w:tr>
        <w:trPr>
          <w:trHeight w:val="223"/>
        </w:trPr>
        <w:tc>
          <w:tcPr>
            <w:tcW w:w="3380" w:type="dxa"/>
            <w:vAlign w:val="bottom"/>
          </w:tcPr>
          <w:p>
            <w:pPr>
              <w:ind w:left="600"/>
              <w:spacing w:after="0"/>
              <w:rPr>
                <w:sz w:val="20"/>
                <w:szCs w:val="20"/>
                <w:color w:val="auto"/>
              </w:rPr>
            </w:pPr>
            <w:r>
              <w:rPr>
                <w:rFonts w:ascii="Arial" w:cs="Arial" w:eastAsia="Arial" w:hAnsi="Arial"/>
                <w:sz w:val="14"/>
                <w:szCs w:val="14"/>
                <w:color w:val="auto"/>
              </w:rPr>
              <w:t>Total operating costs and expenses</w:t>
            </w:r>
          </w:p>
        </w:tc>
        <w:tc>
          <w:tcPr>
            <w:tcW w:w="24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337,289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color w:val="auto"/>
              </w:rPr>
              <w:t>238,626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color w:val="auto"/>
              </w:rPr>
              <w:t>877,557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497,469</w:t>
            </w:r>
          </w:p>
        </w:tc>
        <w:tc>
          <w:tcPr>
            <w:tcW w:w="0" w:type="dxa"/>
            <w:vAlign w:val="bottom"/>
          </w:tcPr>
          <w:p>
            <w:pPr>
              <w:spacing w:after="0"/>
              <w:rPr>
                <w:sz w:val="1"/>
                <w:szCs w:val="1"/>
                <w:color w:val="auto"/>
              </w:rPr>
            </w:pPr>
          </w:p>
        </w:tc>
      </w:tr>
      <w:tr>
        <w:trPr>
          <w:trHeight w:val="446"/>
        </w:trPr>
        <w:tc>
          <w:tcPr>
            <w:tcW w:w="3380" w:type="dxa"/>
            <w:vAlign w:val="bottom"/>
          </w:tcPr>
          <w:p>
            <w:pPr>
              <w:spacing w:after="0"/>
              <w:rPr>
                <w:sz w:val="20"/>
                <w:szCs w:val="20"/>
                <w:color w:val="auto"/>
              </w:rPr>
            </w:pPr>
            <w:r>
              <w:rPr>
                <w:rFonts w:ascii="Arial" w:cs="Arial" w:eastAsia="Arial" w:hAnsi="Arial"/>
                <w:sz w:val="14"/>
                <w:szCs w:val="14"/>
                <w:color w:val="auto"/>
              </w:rPr>
              <w:t>Equity in income from unconsolidated affiliates</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488</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463</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1,574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439"/>
        </w:trPr>
        <w:tc>
          <w:tcPr>
            <w:tcW w:w="3380" w:type="dxa"/>
            <w:vAlign w:val="bottom"/>
          </w:tcPr>
          <w:p>
            <w:pPr>
              <w:spacing w:after="0"/>
              <w:rPr>
                <w:sz w:val="20"/>
                <w:szCs w:val="20"/>
                <w:color w:val="auto"/>
              </w:rPr>
            </w:pPr>
            <w:r>
              <w:rPr>
                <w:rFonts w:ascii="Arial" w:cs="Arial" w:eastAsia="Arial" w:hAnsi="Arial"/>
                <w:sz w:val="14"/>
                <w:szCs w:val="14"/>
                <w:color w:val="auto"/>
              </w:rPr>
              <w:t>Operating income (loss</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(18,709)</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13,278</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(7,296)</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(44,186)</w:t>
            </w:r>
          </w:p>
        </w:tc>
        <w:tc>
          <w:tcPr>
            <w:tcW w:w="0" w:type="dxa"/>
            <w:vAlign w:val="bottom"/>
          </w:tcPr>
          <w:p>
            <w:pPr>
              <w:spacing w:after="0"/>
              <w:rPr>
                <w:sz w:val="1"/>
                <w:szCs w:val="1"/>
                <w:color w:val="auto"/>
              </w:rPr>
            </w:pPr>
          </w:p>
        </w:tc>
      </w:tr>
      <w:tr>
        <w:trPr>
          <w:trHeight w:val="452"/>
        </w:trPr>
        <w:tc>
          <w:tcPr>
            <w:tcW w:w="3380" w:type="dxa"/>
            <w:vAlign w:val="bottom"/>
          </w:tcPr>
          <w:p>
            <w:pPr>
              <w:spacing w:after="0"/>
              <w:rPr>
                <w:sz w:val="20"/>
                <w:szCs w:val="20"/>
                <w:color w:val="auto"/>
              </w:rPr>
            </w:pPr>
            <w:r>
              <w:rPr>
                <w:rFonts w:ascii="Arial" w:cs="Arial" w:eastAsia="Arial" w:hAnsi="Arial"/>
                <w:sz w:val="14"/>
                <w:szCs w:val="14"/>
                <w:color w:val="auto"/>
              </w:rPr>
              <w:t>Other income (expense):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Interest and other income</w:t>
            </w:r>
          </w:p>
        </w:tc>
        <w:tc>
          <w:tcPr>
            <w:tcW w:w="24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11,837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7,467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29,885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20,632</w:t>
            </w: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(36,969)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(36,138)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(108,218)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color w:val="auto"/>
              </w:rPr>
              <w:t>(65,430)</w:t>
            </w: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Increase (decrease) in swap fair value</w:t>
            </w:r>
          </w:p>
        </w:tc>
        <w:tc>
          <w:tcPr>
            <w:tcW w:w="24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color w:val="auto"/>
              </w:rPr>
              <w:t>(8,757)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6,146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1,835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color w:val="auto"/>
              </w:rPr>
              <w:t>8,033</w:t>
            </w: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(10,758)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color w:val="auto"/>
              </w:rPr>
              <w:t>(10,758)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3380" w:type="dxa"/>
            <w:vAlign w:val="bottom"/>
          </w:tcPr>
          <w:p>
            <w:pPr>
              <w:ind w:left="400"/>
              <w:spacing w:after="0"/>
              <w:rPr>
                <w:sz w:val="20"/>
                <w:szCs w:val="20"/>
                <w:color w:val="auto"/>
              </w:rPr>
            </w:pPr>
            <w:r>
              <w:rPr>
                <w:rFonts w:ascii="Arial" w:cs="Arial" w:eastAsia="Arial" w:hAnsi="Arial"/>
                <w:sz w:val="14"/>
                <w:szCs w:val="14"/>
                <w:color w:val="auto"/>
              </w:rPr>
              <w:t>Gain on sale of subconcession right,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899,409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899,409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80" w:type="dxa"/>
            <w:vAlign w:val="bottom"/>
          </w:tcPr>
          <w:p>
            <w:pPr>
              <w:ind w:left="60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854,762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(22,525)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812,153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(36,765)</w:t>
            </w:r>
          </w:p>
        </w:tc>
        <w:tc>
          <w:tcPr>
            <w:tcW w:w="0" w:type="dxa"/>
            <w:vAlign w:val="bottom"/>
          </w:tcPr>
          <w:p>
            <w:pPr>
              <w:spacing w:after="0"/>
              <w:rPr>
                <w:sz w:val="1"/>
                <w:szCs w:val="1"/>
                <w:color w:val="auto"/>
              </w:rPr>
            </w:pPr>
          </w:p>
        </w:tc>
      </w:tr>
      <w:tr>
        <w:trPr>
          <w:trHeight w:val="439"/>
        </w:trPr>
        <w:tc>
          <w:tcPr>
            <w:tcW w:w="338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24"/>
                <w:szCs w:val="2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836,053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color w:val="auto"/>
              </w:rPr>
              <w:t>(9,247)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color w:val="auto"/>
              </w:rPr>
              <w:t>804,857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color w:val="auto"/>
              </w:rPr>
              <w:t>(80,951)</w:t>
            </w:r>
          </w:p>
        </w:tc>
        <w:tc>
          <w:tcPr>
            <w:tcW w:w="0" w:type="dxa"/>
            <w:vAlign w:val="bottom"/>
          </w:tcPr>
          <w:p>
            <w:pPr>
              <w:spacing w:after="0"/>
              <w:rPr>
                <w:sz w:val="1"/>
                <w:szCs w:val="1"/>
                <w:color w:val="auto"/>
              </w:rPr>
            </w:pPr>
          </w:p>
        </w:tc>
      </w:tr>
      <w:tr>
        <w:trPr>
          <w:trHeight w:val="446"/>
        </w:trPr>
        <w:tc>
          <w:tcPr>
            <w:tcW w:w="3380" w:type="dxa"/>
            <w:vAlign w:val="bottom"/>
          </w:tcPr>
          <w:p>
            <w:pPr>
              <w:ind w:left="40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120,397</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120,706</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2"/>
        </w:trPr>
        <w:tc>
          <w:tcPr>
            <w:tcW w:w="3380" w:type="dxa"/>
            <w:vAlign w:val="bottom"/>
          </w:tcPr>
          <w:p>
            <w:pPr>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w w:val="98"/>
              </w:rPr>
              <w:t>715,656</w:t>
            </w:r>
          </w:p>
        </w:tc>
        <w:tc>
          <w:tcPr>
            <w:tcW w:w="24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(9,247)</w:t>
            </w:r>
          </w:p>
        </w:tc>
        <w:tc>
          <w:tcPr>
            <w:tcW w:w="240" w:type="dxa"/>
            <w:vAlign w:val="bottom"/>
          </w:tcPr>
          <w:p>
            <w:pPr>
              <w:spacing w:after="0"/>
              <w:rPr>
                <w:sz w:val="24"/>
                <w:szCs w:val="24"/>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684,151</w:t>
            </w: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(80,951)</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color w:val="auto"/>
              </w:rPr>
              <w:t>Basic and diluted income (loss) per common share:</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40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6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7.12</w:t>
            </w:r>
          </w:p>
        </w:tc>
        <w:tc>
          <w:tcPr>
            <w:tcW w:w="240" w:type="dxa"/>
            <w:vAlign w:val="bottom"/>
          </w:tcPr>
          <w:p>
            <w:pPr>
              <w:spacing w:after="0"/>
              <w:rPr>
                <w:sz w:val="19"/>
                <w:szCs w:val="19"/>
                <w:color w:val="auto"/>
              </w:rPr>
            </w:pP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2"/>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52"/>
              <w:spacing w:after="0"/>
              <w:rPr>
                <w:sz w:val="20"/>
                <w:szCs w:val="20"/>
                <w:color w:val="auto"/>
              </w:rPr>
            </w:pPr>
            <w:r>
              <w:rPr>
                <w:rFonts w:ascii="Arial" w:cs="Arial" w:eastAsia="Arial" w:hAnsi="Arial"/>
                <w:sz w:val="14"/>
                <w:szCs w:val="14"/>
                <w:color w:val="auto"/>
              </w:rPr>
              <w:t>6.86</w:t>
            </w:r>
          </w:p>
        </w:tc>
        <w:tc>
          <w:tcPr>
            <w:tcW w:w="220" w:type="dxa"/>
            <w:vAlign w:val="bottom"/>
          </w:tcPr>
          <w:p>
            <w:pPr>
              <w:spacing w:after="0"/>
              <w:rPr>
                <w:sz w:val="19"/>
                <w:szCs w:val="19"/>
                <w:color w:val="auto"/>
              </w:rPr>
            </w:pP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30"/>
        </w:trPr>
        <w:tc>
          <w:tcPr>
            <w:tcW w:w="3380" w:type="dxa"/>
            <w:vAlign w:val="bottom"/>
          </w:tcPr>
          <w:p>
            <w:pPr>
              <w:ind w:left="56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6.43</w:t>
            </w:r>
          </w:p>
        </w:tc>
        <w:tc>
          <w:tcPr>
            <w:tcW w:w="240" w:type="dxa"/>
            <w:vAlign w:val="bottom"/>
          </w:tcPr>
          <w:p>
            <w:pPr>
              <w:spacing w:after="0"/>
              <w:rPr>
                <w:sz w:val="19"/>
                <w:szCs w:val="19"/>
                <w:color w:val="auto"/>
              </w:rPr>
            </w:pP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2"/>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52"/>
              <w:spacing w:after="0"/>
              <w:rPr>
                <w:sz w:val="20"/>
                <w:szCs w:val="20"/>
                <w:color w:val="auto"/>
              </w:rPr>
            </w:pPr>
            <w:r>
              <w:rPr>
                <w:rFonts w:ascii="Arial" w:cs="Arial" w:eastAsia="Arial" w:hAnsi="Arial"/>
                <w:sz w:val="14"/>
                <w:szCs w:val="14"/>
                <w:color w:val="auto"/>
              </w:rPr>
              <w:t>6.22</w:t>
            </w:r>
          </w:p>
        </w:tc>
        <w:tc>
          <w:tcPr>
            <w:tcW w:w="220" w:type="dxa"/>
            <w:vAlign w:val="bottom"/>
          </w:tcPr>
          <w:p>
            <w:pPr>
              <w:spacing w:after="0"/>
              <w:rPr>
                <w:sz w:val="19"/>
                <w:szCs w:val="19"/>
                <w:color w:val="auto"/>
              </w:rPr>
            </w:pP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16"/>
        </w:trPr>
        <w:tc>
          <w:tcPr>
            <w:tcW w:w="3380" w:type="dxa"/>
            <w:vAlign w:val="bottom"/>
          </w:tcPr>
          <w:p>
            <w:pPr>
              <w:ind w:left="400"/>
              <w:spacing w:after="0"/>
              <w:rPr>
                <w:sz w:val="20"/>
                <w:szCs w:val="20"/>
                <w:color w:val="auto"/>
              </w:rPr>
            </w:pPr>
            <w:r>
              <w:rPr>
                <w:rFonts w:ascii="Arial" w:cs="Arial" w:eastAsia="Arial" w:hAnsi="Arial"/>
                <w:sz w:val="14"/>
                <w:szCs w:val="14"/>
                <w:color w:val="auto"/>
                <w:w w:val="99"/>
              </w:rPr>
              <w:t>Weighted average common shares outstanding:</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56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100,480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98,472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99,688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98,245</w:t>
            </w:r>
          </w:p>
        </w:tc>
        <w:tc>
          <w:tcPr>
            <w:tcW w:w="0" w:type="dxa"/>
            <w:vAlign w:val="bottom"/>
          </w:tcPr>
          <w:p>
            <w:pPr>
              <w:spacing w:after="0"/>
              <w:rPr>
                <w:sz w:val="1"/>
                <w:szCs w:val="1"/>
                <w:color w:val="auto"/>
              </w:rPr>
            </w:pPr>
          </w:p>
        </w:tc>
      </w:tr>
      <w:tr>
        <w:trPr>
          <w:trHeight w:val="230"/>
        </w:trPr>
        <w:tc>
          <w:tcPr>
            <w:tcW w:w="3380" w:type="dxa"/>
            <w:vAlign w:val="bottom"/>
          </w:tcPr>
          <w:p>
            <w:pPr>
              <w:ind w:left="56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color w:val="auto"/>
              </w:rPr>
              <w:t>111,702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98,472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color w:val="auto"/>
              </w:rPr>
              <w:t>111,083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98,245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159"/>
        <w:spacing w:after="0" w:line="230" w:lineRule="auto"/>
        <w:rPr>
          <w:sz w:val="20"/>
          <w:szCs w:val="20"/>
          <w:color w:val="auto"/>
        </w:rPr>
      </w:pPr>
      <w:r>
        <w:rPr>
          <w:rFonts w:ascii="Arial" w:cs="Arial" w:eastAsia="Arial" w:hAnsi="Arial"/>
          <w:sz w:val="14"/>
          <w:szCs w:val="14"/>
          <w:color w:val="auto"/>
        </w:rPr>
        <w:t>Note: *Diluted earnings per share for the three and nine months ended September 30, 2006 includes the assumption that the convertible subordinated debentures were converted into shares of common stock. Accordingly, net income used in the computation of diluted earnings per share is increased by approximately $2.3 million and $7.1 million, respectively, of interest attributable to these debentures for the three and nine months ended September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WYNN RESORTS, LIMITED AND SUBSIDIARIES</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RECONCILIATION OF NET INCOME (LOSS) AND EARNINGS PER SHARE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TO ADJUSTED NET INCOME (LOSS) AND ADJUSTED EARNINGS PER SHARE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95"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560" w:type="dxa"/>
            <w:vAlign w:val="bottom"/>
            <w:gridSpan w:val="5"/>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3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808080"/>
            </w:tcBorders>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2005</w:t>
            </w:r>
          </w:p>
        </w:tc>
      </w:tr>
      <w:tr>
        <w:trPr>
          <w:trHeight w:val="452"/>
        </w:trPr>
        <w:tc>
          <w:tcPr>
            <w:tcW w:w="338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w w:val="98"/>
              </w:rPr>
              <w:t>715,656</w:t>
            </w:r>
          </w:p>
        </w:tc>
        <w:tc>
          <w:tcPr>
            <w:tcW w:w="860" w:type="dxa"/>
            <w:vAlign w:val="bottom"/>
            <w:gridSpan w:val="3"/>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32"/>
              <w:spacing w:after="0"/>
              <w:rPr>
                <w:sz w:val="20"/>
                <w:szCs w:val="20"/>
                <w:color w:val="auto"/>
              </w:rPr>
            </w:pPr>
            <w:r>
              <w:rPr>
                <w:rFonts w:ascii="Arial" w:cs="Arial" w:eastAsia="Arial" w:hAnsi="Arial"/>
                <w:sz w:val="14"/>
                <w:szCs w:val="14"/>
                <w:color w:val="auto"/>
                <w:w w:val="90"/>
              </w:rPr>
              <w:t>(9,247)</w:t>
            </w:r>
          </w:p>
        </w:tc>
        <w:tc>
          <w:tcPr>
            <w:tcW w:w="24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w w:val="94"/>
              </w:rPr>
              <w:t>684,151</w:t>
            </w:r>
          </w:p>
        </w:tc>
        <w:tc>
          <w:tcPr>
            <w:tcW w:w="940" w:type="dxa"/>
            <w:vAlign w:val="bottom"/>
            <w:gridSpan w:val="3"/>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72"/>
              <w:spacing w:after="0"/>
              <w:rPr>
                <w:sz w:val="20"/>
                <w:szCs w:val="20"/>
                <w:color w:val="auto"/>
              </w:rPr>
            </w:pPr>
            <w:r>
              <w:rPr>
                <w:rFonts w:ascii="Arial" w:cs="Arial" w:eastAsia="Arial" w:hAnsi="Arial"/>
                <w:sz w:val="14"/>
                <w:szCs w:val="14"/>
                <w:color w:val="auto"/>
                <w:w w:val="91"/>
              </w:rPr>
              <w:t>(80,951)</w:t>
            </w:r>
          </w:p>
        </w:tc>
      </w:tr>
      <w:tr>
        <w:trPr>
          <w:trHeight w:val="230"/>
        </w:trPr>
        <w:tc>
          <w:tcPr>
            <w:tcW w:w="3380" w:type="dxa"/>
            <w:vAlign w:val="bottom"/>
          </w:tcPr>
          <w:p>
            <w:pPr>
              <w:ind w:left="240"/>
              <w:spacing w:after="0"/>
              <w:rPr>
                <w:sz w:val="20"/>
                <w:szCs w:val="20"/>
                <w:color w:val="auto"/>
              </w:rPr>
            </w:pPr>
            <w:r>
              <w:rPr>
                <w:rFonts w:ascii="Arial" w:cs="Arial" w:eastAsia="Arial" w:hAnsi="Arial"/>
                <w:sz w:val="14"/>
                <w:szCs w:val="14"/>
                <w:color w:val="auto"/>
              </w:rPr>
              <w:t>Gain on sale of subconcession right, net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(899,409)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6"/>
              </w:rPr>
              <w:t>(899,409)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230"/>
        </w:trPr>
        <w:tc>
          <w:tcPr>
            <w:tcW w:w="3380" w:type="dxa"/>
            <w:vAlign w:val="bottom"/>
          </w:tcPr>
          <w:p>
            <w:pPr>
              <w:ind w:left="240"/>
              <w:spacing w:after="0"/>
              <w:rPr>
                <w:sz w:val="20"/>
                <w:szCs w:val="20"/>
                <w:color w:val="auto"/>
              </w:rPr>
            </w:pPr>
            <w:r>
              <w:rPr>
                <w:rFonts w:ascii="Arial" w:cs="Arial" w:eastAsia="Arial" w:hAnsi="Arial"/>
                <w:sz w:val="14"/>
                <w:szCs w:val="14"/>
                <w:color w:val="auto"/>
              </w:rPr>
              <w:t>Pre-opening costs</w:t>
            </w:r>
          </w:p>
        </w:tc>
        <w:tc>
          <w:tcPr>
            <w:tcW w:w="2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36,820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412"/>
              <w:spacing w:after="0"/>
              <w:rPr>
                <w:sz w:val="20"/>
                <w:szCs w:val="20"/>
                <w:color w:val="auto"/>
              </w:rPr>
            </w:pPr>
            <w:r>
              <w:rPr>
                <w:rFonts w:ascii="Arial" w:cs="Arial" w:eastAsia="Arial" w:hAnsi="Arial"/>
                <w:sz w:val="14"/>
                <w:szCs w:val="14"/>
                <w:color w:val="auto"/>
              </w:rPr>
              <w:t>7,147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62,794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color w:val="auto"/>
              </w:rPr>
              <w:t>88,616</w:t>
            </w:r>
          </w:p>
        </w:tc>
      </w:tr>
      <w:tr>
        <w:trPr>
          <w:trHeight w:val="230"/>
        </w:trPr>
        <w:tc>
          <w:tcPr>
            <w:tcW w:w="3380" w:type="dxa"/>
            <w:vAlign w:val="bottom"/>
          </w:tcPr>
          <w:p>
            <w:pPr>
              <w:ind w:left="24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10,758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10,758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230"/>
        </w:trPr>
        <w:tc>
          <w:tcPr>
            <w:tcW w:w="3380" w:type="dxa"/>
            <w:vAlign w:val="bottom"/>
          </w:tcPr>
          <w:p>
            <w:pPr>
              <w:ind w:left="240"/>
              <w:spacing w:after="0"/>
              <w:rPr>
                <w:sz w:val="20"/>
                <w:szCs w:val="20"/>
                <w:color w:val="auto"/>
              </w:rPr>
            </w:pPr>
            <w:r>
              <w:rPr>
                <w:rFonts w:ascii="Arial" w:cs="Arial" w:eastAsia="Arial" w:hAnsi="Arial"/>
                <w:sz w:val="14"/>
                <w:szCs w:val="14"/>
                <w:color w:val="auto"/>
              </w:rPr>
              <w:t>(Increase) decrease in swap fair value</w:t>
            </w:r>
          </w:p>
        </w:tc>
        <w:tc>
          <w:tcPr>
            <w:tcW w:w="26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8,757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color w:val="auto"/>
              </w:rPr>
              <w:t>(6,146)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(1,835)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(8,033)</w:t>
            </w:r>
          </w:p>
        </w:tc>
      </w:tr>
      <w:tr>
        <w:trPr>
          <w:trHeight w:val="230"/>
        </w:trPr>
        <w:tc>
          <w:tcPr>
            <w:tcW w:w="3380" w:type="dxa"/>
            <w:vAlign w:val="bottom"/>
          </w:tcPr>
          <w:p>
            <w:pPr>
              <w:ind w:left="240"/>
              <w:spacing w:after="0"/>
              <w:rPr>
                <w:sz w:val="20"/>
                <w:szCs w:val="20"/>
                <w:color w:val="auto"/>
              </w:rPr>
            </w:pPr>
            <w:r>
              <w:rPr>
                <w:rFonts w:ascii="Arial" w:cs="Arial" w:eastAsia="Arial" w:hAnsi="Arial"/>
                <w:sz w:val="14"/>
                <w:szCs w:val="14"/>
                <w:color w:val="auto"/>
              </w:rPr>
              <w:t>Property charges and other</w:t>
            </w:r>
          </w:p>
        </w:tc>
        <w:tc>
          <w:tcPr>
            <w:tcW w:w="26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5,739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412"/>
              <w:spacing w:after="0"/>
              <w:rPr>
                <w:sz w:val="20"/>
                <w:szCs w:val="20"/>
                <w:color w:val="auto"/>
              </w:rPr>
            </w:pPr>
            <w:r>
              <w:rPr>
                <w:rFonts w:ascii="Arial" w:cs="Arial" w:eastAsia="Arial" w:hAnsi="Arial"/>
                <w:sz w:val="14"/>
                <w:szCs w:val="14"/>
                <w:color w:val="auto"/>
              </w:rPr>
              <w:t>6,052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13,064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color w:val="auto"/>
              </w:rPr>
              <w:t>6,161</w:t>
            </w:r>
          </w:p>
        </w:tc>
      </w:tr>
      <w:tr>
        <w:trPr>
          <w:trHeight w:val="230"/>
        </w:trPr>
        <w:tc>
          <w:tcPr>
            <w:tcW w:w="3380" w:type="dxa"/>
            <w:vAlign w:val="bottom"/>
          </w:tcPr>
          <w:p>
            <w:pPr>
              <w:ind w:left="240"/>
              <w:spacing w:after="0"/>
              <w:rPr>
                <w:sz w:val="20"/>
                <w:szCs w:val="20"/>
                <w:color w:val="auto"/>
              </w:rPr>
            </w:pPr>
            <w:r>
              <w:rPr>
                <w:rFonts w:ascii="Arial" w:cs="Arial" w:eastAsia="Arial" w:hAnsi="Arial"/>
                <w:sz w:val="14"/>
                <w:szCs w:val="14"/>
                <w:color w:val="auto"/>
              </w:rPr>
              <w:t>Avenue Q contract termination fee</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5,000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217"/>
        </w:trPr>
        <w:tc>
          <w:tcPr>
            <w:tcW w:w="3380" w:type="dxa"/>
            <w:vAlign w:val="bottom"/>
          </w:tcPr>
          <w:p>
            <w:pPr>
              <w:ind w:left="24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120,337</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120,337</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r>
      <w:tr>
        <w:trPr>
          <w:trHeight w:val="210"/>
        </w:trPr>
        <w:tc>
          <w:tcPr>
            <w:tcW w:w="3380" w:type="dxa"/>
            <w:vAlign w:val="bottom"/>
          </w:tcPr>
          <w:p>
            <w:pPr>
              <w:spacing w:after="0"/>
              <w:rPr>
                <w:sz w:val="20"/>
                <w:szCs w:val="20"/>
                <w:color w:val="auto"/>
              </w:rPr>
            </w:pPr>
            <w:r>
              <w:rPr>
                <w:rFonts w:ascii="Arial" w:cs="Arial" w:eastAsia="Arial" w:hAnsi="Arial"/>
                <w:sz w:val="14"/>
                <w:szCs w:val="14"/>
                <w:color w:val="auto"/>
              </w:rPr>
              <w:t>Adjusted net income (loss)</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(1,342)</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w w:val="99"/>
              </w:rPr>
              <w:t>(2,194)</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(5,140)</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5,793</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34"/>
        </w:trPr>
        <w:tc>
          <w:tcPr>
            <w:tcW w:w="3380" w:type="dxa"/>
            <w:vAlign w:val="bottom"/>
          </w:tcPr>
          <w:p>
            <w:pPr>
              <w:spacing w:after="0"/>
              <w:rPr>
                <w:sz w:val="20"/>
                <w:szCs w:val="20"/>
                <w:color w:val="auto"/>
              </w:rPr>
            </w:pPr>
            <w:r>
              <w:rPr>
                <w:rFonts w:ascii="Arial" w:cs="Arial" w:eastAsia="Arial" w:hAnsi="Arial"/>
                <w:sz w:val="14"/>
                <w:szCs w:val="14"/>
                <w:color w:val="auto"/>
              </w:rPr>
              <w:t>Net income (loss) per diluted share</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6.43</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6.22</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(0.82)</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3"/>
        </w:trPr>
        <w:tc>
          <w:tcPr>
            <w:tcW w:w="3380" w:type="dxa"/>
            <w:vAlign w:val="bottom"/>
          </w:tcPr>
          <w:p>
            <w:pPr>
              <w:spacing w:after="0"/>
              <w:rPr>
                <w:sz w:val="20"/>
                <w:szCs w:val="20"/>
                <w:color w:val="auto"/>
              </w:rPr>
            </w:pPr>
            <w:r>
              <w:rPr>
                <w:rFonts w:ascii="Arial" w:cs="Arial" w:eastAsia="Arial" w:hAnsi="Arial"/>
                <w:sz w:val="14"/>
                <w:szCs w:val="14"/>
                <w:color w:val="auto"/>
              </w:rPr>
              <w:t>Adjusted net income (loss) per diluted share</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ind w:left="260"/>
              <w:spacing w:after="0"/>
              <w:rPr>
                <w:sz w:val="20"/>
                <w:szCs w:val="20"/>
                <w:color w:val="auto"/>
              </w:rPr>
            </w:pPr>
            <w:r>
              <w:rPr>
                <w:rFonts w:ascii="Arial" w:cs="Arial" w:eastAsia="Arial" w:hAnsi="Arial"/>
                <w:sz w:val="14"/>
                <w:szCs w:val="14"/>
                <w:color w:val="auto"/>
              </w:rPr>
              <w:t>(0.01)</w:t>
            </w:r>
          </w:p>
        </w:tc>
        <w:tc>
          <w:tcPr>
            <w:tcW w:w="860" w:type="dxa"/>
            <w:vAlign w:val="bottom"/>
            <w:gridSpan w:val="3"/>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32"/>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(0.05)</w:t>
            </w:r>
          </w:p>
        </w:tc>
        <w:tc>
          <w:tcPr>
            <w:tcW w:w="940" w:type="dxa"/>
            <w:vAlign w:val="bottom"/>
            <w:gridSpan w:val="3"/>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52"/>
              <w:spacing w:after="0"/>
              <w:rPr>
                <w:sz w:val="20"/>
                <w:szCs w:val="20"/>
                <w:color w:val="auto"/>
              </w:rPr>
            </w:pPr>
            <w:r>
              <w:rPr>
                <w:rFonts w:ascii="Arial" w:cs="Arial" w:eastAsia="Arial" w:hAnsi="Arial"/>
                <w:sz w:val="14"/>
                <w:szCs w:val="14"/>
                <w:color w:val="auto"/>
              </w:rPr>
              <w:t>0.15</w:t>
            </w:r>
          </w:p>
        </w:tc>
      </w:tr>
      <w:tr>
        <w:trPr>
          <w:trHeight w:val="20"/>
        </w:trPr>
        <w:tc>
          <w:tcPr>
            <w:tcW w:w="3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2199"/>
        <w:spacing w:after="0" w:line="288" w:lineRule="auto"/>
        <w:rPr>
          <w:sz w:val="20"/>
          <w:szCs w:val="20"/>
          <w:color w:val="auto"/>
        </w:rPr>
      </w:pPr>
      <w:r>
        <w:rPr>
          <w:rFonts w:ascii="Arial" w:cs="Arial" w:eastAsia="Arial" w:hAnsi="Arial"/>
          <w:sz w:val="12"/>
          <w:szCs w:val="12"/>
          <w:color w:val="auto"/>
        </w:rPr>
        <w:t>Note: *Diluted adjusted net income per share for the nine months ended September 30, 2005 includes the assumption that the convertible subordinated debentures were converted into shares of common stock. Accordingly, adjusted net income used in the computation of diluted adjusted net income per share is increased by approximately $11.3 million of interest attributable to these debentures.</w:t>
      </w:r>
    </w:p>
    <w:p>
      <w:pPr>
        <w:spacing w:after="0" w:line="316"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23" w:right="1440" w:bottom="0" w:gutter="0" w:footer="0" w:header="0"/>
        </w:sectPr>
      </w:pPr>
    </w:p>
    <w:bookmarkStart w:id="6" w:name="page7"/>
    <w:bookmarkEnd w:id="6"/>
    <w:p>
      <w:pPr>
        <w:jc w:val="center"/>
        <w:ind w:right="2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t>WYNN RESORTS, LIMITED AND SUBSIDIARIES</w:t>
      </w:r>
    </w:p>
    <w:p>
      <w:pPr>
        <w:spacing w:after="0" w:line="15" w:lineRule="exact"/>
        <w:rPr>
          <w:sz w:val="20"/>
          <w:szCs w:val="20"/>
          <w:color w:val="auto"/>
        </w:rPr>
      </w:pPr>
    </w:p>
    <w:p>
      <w:pPr>
        <w:jc w:val="center"/>
        <w:ind w:right="2299"/>
        <w:spacing w:after="0"/>
        <w:rPr>
          <w:sz w:val="20"/>
          <w:szCs w:val="20"/>
          <w:color w:val="auto"/>
        </w:rPr>
      </w:pPr>
      <w:r>
        <w:rPr>
          <w:rFonts w:ascii="Arial" w:cs="Arial" w:eastAsia="Arial" w:hAnsi="Arial"/>
          <w:sz w:val="18"/>
          <w:szCs w:val="18"/>
          <w:color w:val="auto"/>
        </w:rPr>
        <w:t>RECONCILIATION OF OPERATING INCOME (LOSS) TO ADJUSTED EBITDA</w:t>
      </w:r>
    </w:p>
    <w:p>
      <w:pPr>
        <w:spacing w:after="0" w:line="9" w:lineRule="exact"/>
        <w:rPr>
          <w:sz w:val="20"/>
          <w:szCs w:val="20"/>
          <w:color w:val="auto"/>
        </w:rPr>
      </w:pPr>
    </w:p>
    <w:p>
      <w:pPr>
        <w:jc w:val="center"/>
        <w:ind w:right="2299"/>
        <w:spacing w:after="0"/>
        <w:rPr>
          <w:sz w:val="20"/>
          <w:szCs w:val="20"/>
          <w:color w:val="auto"/>
        </w:rPr>
      </w:pPr>
      <w:r>
        <w:rPr>
          <w:rFonts w:ascii="Arial" w:cs="Arial" w:eastAsia="Arial" w:hAnsi="Arial"/>
          <w:sz w:val="18"/>
          <w:szCs w:val="18"/>
          <w:color w:val="auto"/>
        </w:rPr>
        <w:t>AND ADJUSTED EBITDA TO NET INCOME (LOSS)</w:t>
      </w:r>
    </w:p>
    <w:p>
      <w:pPr>
        <w:spacing w:after="0" w:line="9" w:lineRule="exact"/>
        <w:rPr>
          <w:sz w:val="20"/>
          <w:szCs w:val="20"/>
          <w:color w:val="auto"/>
        </w:rPr>
      </w:pPr>
    </w:p>
    <w:p>
      <w:pPr>
        <w:jc w:val="center"/>
        <w:ind w:right="22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299"/>
        <w:spacing w:after="0"/>
        <w:rPr>
          <w:sz w:val="20"/>
          <w:szCs w:val="20"/>
          <w:color w:val="auto"/>
        </w:rPr>
      </w:pPr>
      <w:r>
        <w:rPr>
          <w:rFonts w:ascii="Arial" w:cs="Arial" w:eastAsia="Arial" w:hAnsi="Arial"/>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gridSpan w:val="5"/>
          </w:tcPr>
          <w:p>
            <w:pPr>
              <w:ind w:left="100"/>
              <w:spacing w:after="0"/>
              <w:rPr>
                <w:sz w:val="20"/>
                <w:szCs w:val="20"/>
                <w:color w:val="auto"/>
              </w:rPr>
            </w:pPr>
            <w:r>
              <w:rPr>
                <w:rFonts w:ascii="Arial" w:cs="Arial" w:eastAsia="Arial" w:hAnsi="Arial"/>
                <w:sz w:val="14"/>
                <w:szCs w:val="14"/>
                <w:b w:val="1"/>
                <w:bCs w:val="1"/>
                <w:color w:val="auto"/>
              </w:rPr>
              <w:t>3 Months Ended September 30, 2006</w:t>
            </w:r>
          </w:p>
        </w:tc>
        <w:tc>
          <w:tcPr>
            <w:tcW w:w="26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Wynn</w:t>
            </w:r>
          </w:p>
        </w:tc>
        <w:tc>
          <w:tcPr>
            <w:tcW w:w="1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Wynn Las Vegas</w:t>
            </w: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Macau</w:t>
            </w:r>
          </w:p>
        </w:tc>
        <w:tc>
          <w:tcPr>
            <w:tcW w:w="18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2"/>
        </w:trPr>
        <w:tc>
          <w:tcPr>
            <w:tcW w:w="326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2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color w:val="auto"/>
              </w:rPr>
              <w:t>22,440</w:t>
            </w:r>
          </w:p>
        </w:tc>
        <w:tc>
          <w:tcPr>
            <w:tcW w:w="220" w:type="dxa"/>
            <w:vAlign w:val="bottom"/>
          </w:tcPr>
          <w:p>
            <w:pPr>
              <w:spacing w:after="0"/>
              <w:rPr>
                <w:sz w:val="24"/>
                <w:szCs w:val="24"/>
                <w:color w:val="auto"/>
              </w:rPr>
            </w:pPr>
          </w:p>
        </w:tc>
        <w:tc>
          <w:tcPr>
            <w:tcW w:w="2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color w:val="auto"/>
              </w:rPr>
              <w:t>(43,090)</w:t>
            </w:r>
          </w:p>
        </w:tc>
        <w:tc>
          <w:tcPr>
            <w:tcW w:w="2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color w:val="auto"/>
              </w:rPr>
              <w:t>1,941</w:t>
            </w:r>
          </w:p>
        </w:tc>
        <w:tc>
          <w:tcPr>
            <w:tcW w:w="240" w:type="dxa"/>
            <w:vAlign w:val="bottom"/>
          </w:tcPr>
          <w:p>
            <w:pPr>
              <w:spacing w:after="0"/>
              <w:rPr>
                <w:sz w:val="24"/>
                <w:szCs w:val="24"/>
                <w:color w:val="auto"/>
              </w:rPr>
            </w:pPr>
          </w:p>
        </w:tc>
        <w:tc>
          <w:tcPr>
            <w:tcW w:w="2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color w:val="auto"/>
              </w:rPr>
              <w:t>(18,709)</w:t>
            </w:r>
          </w:p>
        </w:tc>
        <w:tc>
          <w:tcPr>
            <w:tcW w:w="0" w:type="dxa"/>
            <w:vAlign w:val="bottom"/>
          </w:tcPr>
          <w:p>
            <w:pPr>
              <w:spacing w:after="0"/>
              <w:rPr>
                <w:sz w:val="1"/>
                <w:szCs w:val="1"/>
                <w:color w:val="auto"/>
              </w:rPr>
            </w:pPr>
          </w:p>
        </w:tc>
      </w:tr>
      <w:tr>
        <w:trPr>
          <w:trHeight w:val="459"/>
        </w:trPr>
        <w:tc>
          <w:tcPr>
            <w:tcW w:w="3260" w:type="dxa"/>
            <w:vAlign w:val="bottom"/>
          </w:tcPr>
          <w:p>
            <w:pPr>
              <w:ind w:left="460"/>
              <w:spacing w:after="0"/>
              <w:rPr>
                <w:sz w:val="20"/>
                <w:szCs w:val="20"/>
                <w:color w:val="auto"/>
              </w:rPr>
            </w:pPr>
            <w:r>
              <w:rPr>
                <w:rFonts w:ascii="Arial" w:cs="Arial" w:eastAsia="Arial" w:hAnsi="Arial"/>
                <w:sz w:val="14"/>
                <w:szCs w:val="14"/>
                <w:color w:val="auto"/>
              </w:rPr>
              <w:t>Preopeningcosts</w:t>
            </w:r>
          </w:p>
        </w:tc>
        <w:tc>
          <w:tcPr>
            <w:tcW w:w="26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982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color w:val="auto"/>
              </w:rPr>
              <w:t>35,717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color w:val="auto"/>
              </w:rPr>
              <w:t>121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36,820</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Depreciationandamortization</w:t>
            </w:r>
          </w:p>
        </w:tc>
        <w:tc>
          <w:tcPr>
            <w:tcW w:w="26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color w:val="auto"/>
              </w:rPr>
              <w:t>36,225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5,434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color w:val="auto"/>
              </w:rPr>
              <w:t>811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42,470</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Propertychargesandother</w:t>
            </w:r>
          </w:p>
        </w:tc>
        <w:tc>
          <w:tcPr>
            <w:tcW w:w="26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5,739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Managementfeesandroyalties</w:t>
            </w:r>
          </w:p>
        </w:tc>
        <w:tc>
          <w:tcPr>
            <w:tcW w:w="26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4,091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1,596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(5,687)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Corporateexpensesandother</w:t>
            </w:r>
          </w:p>
        </w:tc>
        <w:tc>
          <w:tcPr>
            <w:tcW w:w="26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5,545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1,853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1,093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Stock-basedcompensation</w:t>
            </w:r>
          </w:p>
        </w:tc>
        <w:tc>
          <w:tcPr>
            <w:tcW w:w="26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2,260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color w:val="auto"/>
              </w:rPr>
              <w:t>783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color w:val="auto"/>
              </w:rPr>
              <w:t>1,721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color w:val="auto"/>
              </w:rPr>
              <w:t>4,764</w:t>
            </w:r>
          </w:p>
        </w:tc>
        <w:tc>
          <w:tcPr>
            <w:tcW w:w="0" w:type="dxa"/>
            <w:vAlign w:val="bottom"/>
          </w:tcPr>
          <w:p>
            <w:pPr>
              <w:spacing w:after="0"/>
              <w:rPr>
                <w:sz w:val="1"/>
                <w:szCs w:val="1"/>
                <w:color w:val="auto"/>
              </w:rPr>
            </w:pPr>
          </w:p>
        </w:tc>
      </w:tr>
      <w:tr>
        <w:trPr>
          <w:trHeight w:val="217"/>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EBITDA </w:t>
            </w:r>
            <w:r>
              <w:rPr>
                <w:rFonts w:ascii="Arial" w:cs="Arial" w:eastAsia="Arial" w:hAnsi="Arial"/>
                <w:sz w:val="22"/>
                <w:szCs w:val="22"/>
                <w:b w:val="1"/>
                <w:bCs w:val="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2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77,282</w:t>
            </w:r>
          </w:p>
        </w:tc>
        <w:tc>
          <w:tcPr>
            <w:tcW w:w="220" w:type="dxa"/>
            <w:vAlign w:val="bottom"/>
          </w:tcPr>
          <w:p>
            <w:pPr>
              <w:spacing w:after="0"/>
              <w:rPr>
                <w:sz w:val="24"/>
                <w:szCs w:val="24"/>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2,293</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79,575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gridSpan w:val="6"/>
          </w:tcPr>
          <w:p>
            <w:pPr>
              <w:ind w:left="100"/>
              <w:spacing w:after="0"/>
              <w:rPr>
                <w:sz w:val="20"/>
                <w:szCs w:val="20"/>
                <w:color w:val="auto"/>
              </w:rPr>
            </w:pPr>
            <w:r>
              <w:rPr>
                <w:rFonts w:ascii="Arial" w:cs="Arial" w:eastAsia="Arial" w:hAnsi="Arial"/>
                <w:sz w:val="14"/>
                <w:szCs w:val="14"/>
                <w:b w:val="1"/>
                <w:bCs w:val="1"/>
                <w:color w:val="auto"/>
              </w:rPr>
              <w:t>3 Months Ended September 30, 2005</w:t>
            </w:r>
          </w:p>
        </w:tc>
        <w:tc>
          <w:tcPr>
            <w:tcW w:w="2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Wynn</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5"/>
              </w:rPr>
              <w:t>Wynn Las Vegas</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Macau</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2"/>
        </w:trPr>
        <w:tc>
          <w:tcPr>
            <w:tcW w:w="326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72"/>
              <w:spacing w:after="0"/>
              <w:rPr>
                <w:sz w:val="20"/>
                <w:szCs w:val="20"/>
                <w:color w:val="auto"/>
              </w:rPr>
            </w:pPr>
            <w:r>
              <w:rPr>
                <w:rFonts w:ascii="Arial" w:cs="Arial" w:eastAsia="Arial" w:hAnsi="Arial"/>
                <w:sz w:val="14"/>
                <w:szCs w:val="14"/>
                <w:color w:val="auto"/>
              </w:rPr>
              <w:t>21,896</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Pr>
          <w:p>
            <w:pPr>
              <w:ind w:left="200"/>
              <w:spacing w:after="0"/>
              <w:rPr>
                <w:sz w:val="20"/>
                <w:szCs w:val="20"/>
                <w:color w:val="auto"/>
              </w:rPr>
            </w:pPr>
            <w:r>
              <w:rPr>
                <w:rFonts w:ascii="Arial" w:cs="Arial" w:eastAsia="Arial" w:hAnsi="Arial"/>
                <w:sz w:val="14"/>
                <w:szCs w:val="14"/>
                <w:color w:val="auto"/>
                <w:w w:val="94"/>
              </w:rPr>
              <w:t>(8,633)</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24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13,278</w:t>
            </w:r>
          </w:p>
        </w:tc>
        <w:tc>
          <w:tcPr>
            <w:tcW w:w="0" w:type="dxa"/>
            <w:vAlign w:val="bottom"/>
          </w:tcPr>
          <w:p>
            <w:pPr>
              <w:spacing w:after="0"/>
              <w:rPr>
                <w:sz w:val="1"/>
                <w:szCs w:val="1"/>
                <w:color w:val="auto"/>
              </w:rPr>
            </w:pPr>
          </w:p>
        </w:tc>
      </w:tr>
      <w:tr>
        <w:trPr>
          <w:trHeight w:val="459"/>
        </w:trPr>
        <w:tc>
          <w:tcPr>
            <w:tcW w:w="3260" w:type="dxa"/>
            <w:vAlign w:val="bottom"/>
          </w:tcPr>
          <w:p>
            <w:pPr>
              <w:ind w:left="460"/>
              <w:spacing w:after="0"/>
              <w:rPr>
                <w:sz w:val="20"/>
                <w:szCs w:val="20"/>
                <w:color w:val="auto"/>
              </w:rPr>
            </w:pPr>
            <w:r>
              <w:rPr>
                <w:rFonts w:ascii="Arial" w:cs="Arial" w:eastAsia="Arial" w:hAnsi="Arial"/>
                <w:sz w:val="14"/>
                <w:szCs w:val="14"/>
                <w:color w:val="auto"/>
              </w:rPr>
              <w:t>Preopeningcosts</w:t>
            </w:r>
          </w:p>
        </w:tc>
        <w:tc>
          <w:tcPr>
            <w:tcW w:w="28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color w:val="auto"/>
              </w:rPr>
              <w:t>1,541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center"/>
              <w:ind w:left="272"/>
              <w:spacing w:after="0"/>
              <w:rPr>
                <w:sz w:val="20"/>
                <w:szCs w:val="20"/>
                <w:color w:val="auto"/>
              </w:rPr>
            </w:pPr>
            <w:r>
              <w:rPr>
                <w:rFonts w:ascii="Arial" w:cs="Arial" w:eastAsia="Arial" w:hAnsi="Arial"/>
                <w:sz w:val="14"/>
                <w:szCs w:val="14"/>
                <w:color w:val="auto"/>
                <w:w w:val="85"/>
              </w:rPr>
              <w:t>5,607</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7,147</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Depreciationandamortization</w:t>
            </w:r>
          </w:p>
        </w:tc>
        <w:tc>
          <w:tcPr>
            <w:tcW w:w="28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color w:val="auto"/>
              </w:rPr>
              <w:t>35,614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center"/>
              <w:ind w:left="272"/>
              <w:spacing w:after="0"/>
              <w:rPr>
                <w:sz w:val="20"/>
                <w:szCs w:val="20"/>
                <w:color w:val="auto"/>
              </w:rPr>
            </w:pPr>
            <w:r>
              <w:rPr>
                <w:rFonts w:ascii="Arial" w:cs="Arial" w:eastAsia="Arial" w:hAnsi="Arial"/>
                <w:sz w:val="14"/>
                <w:szCs w:val="14"/>
                <w:color w:val="auto"/>
                <w:w w:val="85"/>
              </w:rPr>
              <w:t>1,526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746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color w:val="auto"/>
              </w:rPr>
              <w:t>37,886</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Propertychargesandother</w:t>
            </w:r>
          </w:p>
        </w:tc>
        <w:tc>
          <w:tcPr>
            <w:tcW w:w="28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color w:val="auto"/>
              </w:rPr>
              <w:t>5,937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ind w:right="232"/>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12"/>
              <w:spacing w:after="0"/>
              <w:rPr>
                <w:sz w:val="20"/>
                <w:szCs w:val="20"/>
                <w:color w:val="auto"/>
              </w:rPr>
            </w:pPr>
            <w:r>
              <w:rPr>
                <w:rFonts w:ascii="Arial" w:cs="Arial" w:eastAsia="Arial" w:hAnsi="Arial"/>
                <w:sz w:val="14"/>
                <w:szCs w:val="14"/>
                <w:color w:val="auto"/>
              </w:rPr>
              <w:t>115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6,052</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Managementfeesandroyalties</w:t>
            </w:r>
          </w:p>
        </w:tc>
        <w:tc>
          <w:tcPr>
            <w:tcW w:w="28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color w:val="auto"/>
              </w:rPr>
              <w:t>3,783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center"/>
              <w:ind w:left="272"/>
              <w:spacing w:after="0"/>
              <w:rPr>
                <w:sz w:val="20"/>
                <w:szCs w:val="20"/>
                <w:color w:val="auto"/>
              </w:rPr>
            </w:pPr>
            <w:r>
              <w:rPr>
                <w:rFonts w:ascii="Arial" w:cs="Arial" w:eastAsia="Arial" w:hAnsi="Arial"/>
                <w:sz w:val="14"/>
                <w:szCs w:val="14"/>
                <w:color w:val="auto"/>
                <w:w w:val="85"/>
              </w:rPr>
              <w:t>1,500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(5,283)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Corporateexpensesandother</w:t>
            </w:r>
          </w:p>
        </w:tc>
        <w:tc>
          <w:tcPr>
            <w:tcW w:w="28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color w:val="auto"/>
              </w:rPr>
              <w:t>4,434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ind w:right="232"/>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3,397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7,831</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4"/>
                <w:szCs w:val="14"/>
                <w:color w:val="auto"/>
              </w:rPr>
              <w:t>Stock-basedcompensation</w:t>
            </w:r>
          </w:p>
        </w:tc>
        <w:tc>
          <w:tcPr>
            <w:tcW w:w="28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ind w:right="232"/>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5"/>
              </w:rPr>
              <w:t>1,011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17"/>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EBITDA </w:t>
            </w:r>
            <w:r>
              <w:rPr>
                <w:rFonts w:ascii="Arial" w:cs="Arial" w:eastAsia="Arial" w:hAnsi="Arial"/>
                <w:sz w:val="22"/>
                <w:szCs w:val="22"/>
                <w:b w:val="1"/>
                <w:bCs w:val="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260" w:type="dxa"/>
            <w:vAlign w:val="bottom"/>
            <w:vMerge w:val="continue"/>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72"/>
              <w:spacing w:after="0"/>
              <w:rPr>
                <w:sz w:val="20"/>
                <w:szCs w:val="20"/>
                <w:color w:val="auto"/>
              </w:rPr>
            </w:pPr>
            <w:r>
              <w:rPr>
                <w:rFonts w:ascii="Arial" w:cs="Arial" w:eastAsia="Arial" w:hAnsi="Arial"/>
                <w:sz w:val="14"/>
                <w:szCs w:val="14"/>
                <w:color w:val="auto"/>
              </w:rPr>
              <w:t>73,205</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252"/>
              <w:spacing w:after="0"/>
              <w:rPr>
                <w:sz w:val="20"/>
                <w:szCs w:val="20"/>
                <w:color w:val="auto"/>
              </w:rPr>
            </w:pPr>
            <w:r>
              <w:rPr>
                <w:rFonts w:ascii="Arial" w:cs="Arial" w:eastAsia="Arial" w:hAnsi="Arial"/>
                <w:sz w:val="14"/>
                <w:szCs w:val="14"/>
                <w:color w:val="auto"/>
                <w:w w:val="84"/>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73,205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3 Months Ended</w:t>
      </w:r>
    </w:p>
    <w:p>
      <w:pPr>
        <w:spacing w:after="0" w:line="6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0</wp:posOffset>
            </wp:positionV>
            <wp:extent cx="17665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2005</w:t>
            </w:r>
          </w:p>
        </w:tc>
      </w:tr>
      <w:tr>
        <w:trPr>
          <w:trHeight w:val="459"/>
        </w:trPr>
        <w:tc>
          <w:tcPr>
            <w:tcW w:w="6180" w:type="dxa"/>
            <w:vAlign w:val="bottom"/>
          </w:tcPr>
          <w:p>
            <w:pPr>
              <w:spacing w:after="0"/>
              <w:rPr>
                <w:sz w:val="20"/>
                <w:szCs w:val="20"/>
                <w:color w:val="auto"/>
              </w:rPr>
            </w:pPr>
            <w:r>
              <w:rPr>
                <w:rFonts w:ascii="Arial" w:cs="Arial" w:eastAsia="Arial" w:hAnsi="Arial"/>
                <w:sz w:val="14"/>
                <w:szCs w:val="14"/>
                <w:b w:val="1"/>
                <w:bCs w:val="1"/>
                <w:color w:val="auto"/>
              </w:rPr>
              <w:t xml:space="preserve">Adjusted EBITDA </w:t>
            </w:r>
            <w:r>
              <w:rPr>
                <w:rFonts w:ascii="Arial" w:cs="Arial" w:eastAsia="Arial" w:hAnsi="Arial"/>
                <w:sz w:val="22"/>
                <w:szCs w:val="22"/>
                <w:b w:val="1"/>
                <w:bCs w:val="1"/>
                <w:color w:val="auto"/>
                <w:vertAlign w:val="superscript"/>
              </w:rPr>
              <w:t>(2)</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32"/>
              <w:spacing w:after="0"/>
              <w:rPr>
                <w:sz w:val="20"/>
                <w:szCs w:val="20"/>
                <w:color w:val="auto"/>
              </w:rPr>
            </w:pPr>
            <w:r>
              <w:rPr>
                <w:rFonts w:ascii="Arial" w:cs="Arial" w:eastAsia="Arial" w:hAnsi="Arial"/>
                <w:sz w:val="14"/>
                <w:szCs w:val="14"/>
                <w:color w:val="auto"/>
              </w:rPr>
              <w:t>79,575</w:t>
            </w:r>
          </w:p>
        </w:tc>
        <w:tc>
          <w:tcPr>
            <w:tcW w:w="24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73,205</w:t>
            </w:r>
          </w:p>
        </w:tc>
      </w:tr>
      <w:tr>
        <w:trPr>
          <w:trHeight w:val="371"/>
        </w:trPr>
        <w:tc>
          <w:tcPr>
            <w:tcW w:w="6180" w:type="dxa"/>
            <w:vAlign w:val="bottom"/>
          </w:tcPr>
          <w:p>
            <w:pPr>
              <w:ind w:left="460"/>
              <w:spacing w:after="0"/>
              <w:rPr>
                <w:sz w:val="20"/>
                <w:szCs w:val="20"/>
                <w:color w:val="auto"/>
              </w:rPr>
            </w:pPr>
            <w:r>
              <w:rPr>
                <w:rFonts w:ascii="Arial" w:cs="Arial" w:eastAsia="Arial" w:hAnsi="Arial"/>
                <w:sz w:val="14"/>
                <w:szCs w:val="14"/>
                <w:color w:val="auto"/>
              </w:rPr>
              <w:t>Preopening costs</w:t>
            </w:r>
          </w:p>
        </w:tc>
        <w:tc>
          <w:tcPr>
            <w:tcW w:w="2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(36,820)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(7,147)</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(42,470)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(37,886)</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Property charges and other</w:t>
            </w: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(5,739)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(6,052)</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Corporate expenses and other</w:t>
            </w: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(8,491)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(7,831)</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(4,764)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(1,011)</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Interest and other income</w:t>
            </w:r>
          </w:p>
        </w:tc>
        <w:tc>
          <w:tcPr>
            <w:tcW w:w="280" w:type="dxa"/>
            <w:vAlign w:val="bottom"/>
          </w:tcPr>
          <w:p>
            <w:pPr>
              <w:spacing w:after="0"/>
              <w:rPr>
                <w:sz w:val="19"/>
                <w:szCs w:val="19"/>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color w:val="auto"/>
              </w:rPr>
              <w:t>11,837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color w:val="auto"/>
              </w:rPr>
              <w:t>7,467</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(36,969)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(36,138)</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Increase (decrease) in swap fair value</w:t>
            </w: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(8,757)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color w:val="auto"/>
              </w:rPr>
              <w:t>6,146</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(10,758)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Gain on sale of subconcession right, net</w:t>
            </w:r>
          </w:p>
        </w:tc>
        <w:tc>
          <w:tcPr>
            <w:tcW w:w="280" w:type="dxa"/>
            <w:vAlign w:val="bottom"/>
          </w:tcPr>
          <w:p>
            <w:pPr>
              <w:spacing w:after="0"/>
              <w:rPr>
                <w:sz w:val="19"/>
                <w:szCs w:val="19"/>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899,409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230"/>
        </w:trPr>
        <w:tc>
          <w:tcPr>
            <w:tcW w:w="6180" w:type="dxa"/>
            <w:vAlign w:val="bottom"/>
          </w:tcPr>
          <w:p>
            <w:pPr>
              <w:ind w:left="460"/>
              <w:spacing w:after="0"/>
              <w:rPr>
                <w:sz w:val="20"/>
                <w:szCs w:val="20"/>
                <w:color w:val="auto"/>
              </w:rPr>
            </w:pPr>
            <w:r>
              <w:rPr>
                <w:rFonts w:ascii="Arial" w:cs="Arial" w:eastAsia="Arial" w:hAnsi="Arial"/>
                <w:sz w:val="14"/>
                <w:szCs w:val="14"/>
                <w:color w:val="auto"/>
              </w:rPr>
              <w:t>Provision for income taxes</w:t>
            </w:r>
          </w:p>
        </w:tc>
        <w:tc>
          <w:tcPr>
            <w:tcW w:w="280" w:type="dxa"/>
            <w:vAlign w:val="bottom"/>
          </w:tcPr>
          <w:p>
            <w:pPr>
              <w:spacing w:after="0"/>
              <w:rPr>
                <w:sz w:val="19"/>
                <w:szCs w:val="19"/>
                <w:color w:val="auto"/>
              </w:rPr>
            </w:pPr>
          </w:p>
        </w:tc>
        <w:tc>
          <w:tcPr>
            <w:tcW w:w="1000" w:type="dxa"/>
            <w:vAlign w:val="bottom"/>
          </w:tcPr>
          <w:p>
            <w:pPr>
              <w:ind w:left="100"/>
              <w:spacing w:after="0"/>
              <w:rPr>
                <w:sz w:val="20"/>
                <w:szCs w:val="20"/>
                <w:color w:val="auto"/>
              </w:rPr>
            </w:pPr>
            <w:r>
              <w:rPr>
                <w:rFonts w:ascii="Arial" w:cs="Arial" w:eastAsia="Arial" w:hAnsi="Arial"/>
                <w:sz w:val="14"/>
                <w:szCs w:val="14"/>
                <w:color w:val="auto"/>
              </w:rPr>
              <w:t>(120,397)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color w:val="auto"/>
              </w:rPr>
              <w:t>-</w:t>
            </w:r>
          </w:p>
        </w:tc>
      </w:tr>
      <w:tr>
        <w:trPr>
          <w:trHeight w:val="217"/>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331"/>
        </w:trPr>
        <w:tc>
          <w:tcPr>
            <w:tcW w:w="61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715,656</w:t>
            </w:r>
          </w:p>
        </w:tc>
        <w:tc>
          <w:tcPr>
            <w:tcW w:w="24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(9,247)</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368935</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019"/>
          </w:cols>
          <w:pgMar w:left="440" w:top="833" w:right="1440" w:bottom="620" w:gutter="0" w:footer="0" w:header="0"/>
        </w:sectPr>
      </w:pPr>
    </w:p>
    <w:bookmarkStart w:id="7" w:name="page8"/>
    <w:bookmarkEnd w:id="7"/>
    <w:p>
      <w:pPr>
        <w:jc w:val="center"/>
        <w:ind w:right="209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44"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SUPPLEMENTAL DATA SCHEDULE</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Room Statistics for Wynn Las Vegas:</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Occupancy %</w:t>
      </w:r>
    </w:p>
    <w:p>
      <w:pPr>
        <w:spacing w:after="0" w:line="3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Average Daily Room Rate (ADR)</w:t>
      </w:r>
      <w:r>
        <w:rPr>
          <w:rFonts w:ascii="Arial" w:cs="Arial" w:eastAsia="Arial" w:hAnsi="Arial"/>
          <w:sz w:val="22"/>
          <w:szCs w:val="22"/>
          <w:color w:val="auto"/>
          <w:vertAlign w:val="superscript"/>
        </w:rPr>
        <w:t>1</w:t>
      </w:r>
    </w:p>
    <w:p>
      <w:pPr>
        <w:ind w:left="680"/>
        <w:spacing w:after="0" w:line="207" w:lineRule="auto"/>
        <w:rPr>
          <w:sz w:val="20"/>
          <w:szCs w:val="20"/>
          <w:color w:val="auto"/>
        </w:rPr>
      </w:pPr>
      <w:r>
        <w:rPr>
          <w:rFonts w:ascii="Arial" w:cs="Arial" w:eastAsia="Arial" w:hAnsi="Arial"/>
          <w:sz w:val="14"/>
          <w:szCs w:val="14"/>
          <w:color w:val="auto"/>
        </w:rPr>
        <w:t>Average Paying Rate (APR)</w:t>
      </w:r>
      <w:r>
        <w:rPr>
          <w:rFonts w:ascii="Arial" w:cs="Arial" w:eastAsia="Arial" w:hAnsi="Arial"/>
          <w:sz w:val="22"/>
          <w:szCs w:val="22"/>
          <w:color w:val="auto"/>
          <w:vertAlign w:val="superscript"/>
        </w:rPr>
        <w:t>2</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Revenue per available room (REVPAR)</w:t>
      </w:r>
      <w:r>
        <w:rPr>
          <w:rFonts w:ascii="Arial" w:cs="Arial" w:eastAsia="Arial" w:hAnsi="Arial"/>
          <w:sz w:val="19"/>
          <w:szCs w:val="19"/>
          <w:color w:val="auto"/>
          <w:vertAlign w:val="superscript"/>
        </w:rPr>
        <w:t>3</w:t>
      </w:r>
    </w:p>
    <w:p>
      <w:pPr>
        <w:spacing w:after="0" w:line="398" w:lineRule="exact"/>
        <w:rPr>
          <w:sz w:val="20"/>
          <w:szCs w:val="20"/>
          <w:color w:val="auto"/>
        </w:rPr>
      </w:pPr>
    </w:p>
    <w:p>
      <w:pPr>
        <w:ind w:left="680" w:right="360" w:hanging="485"/>
        <w:spacing w:after="0" w:line="257" w:lineRule="auto"/>
        <w:rPr>
          <w:sz w:val="20"/>
          <w:szCs w:val="20"/>
          <w:color w:val="auto"/>
        </w:rPr>
      </w:pPr>
      <w:r>
        <w:rPr>
          <w:rFonts w:ascii="Arial" w:cs="Arial" w:eastAsia="Arial" w:hAnsi="Arial"/>
          <w:sz w:val="14"/>
          <w:szCs w:val="14"/>
          <w:color w:val="auto"/>
        </w:rPr>
        <w:t>Other information for Wynn Las Vegas: Table games win per unit per day</w:t>
      </w:r>
      <w:r>
        <w:rPr>
          <w:rFonts w:ascii="Arial" w:cs="Arial" w:eastAsia="Arial" w:hAnsi="Arial"/>
          <w:sz w:val="22"/>
          <w:szCs w:val="22"/>
          <w:color w:val="auto"/>
          <w:vertAlign w:val="superscript"/>
        </w:rPr>
        <w:t>4</w:t>
      </w:r>
      <w:r>
        <w:rPr>
          <w:rFonts w:ascii="Arial" w:cs="Arial" w:eastAsia="Arial" w:hAnsi="Arial"/>
          <w:sz w:val="14"/>
          <w:szCs w:val="14"/>
          <w:color w:val="auto"/>
        </w:rPr>
        <w:t xml:space="preserve"> Table Hold %</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Slot Machine win per unit per day</w:t>
      </w:r>
      <w:r>
        <w:rPr>
          <w:rFonts w:ascii="Arial" w:cs="Arial" w:eastAsia="Arial" w:hAnsi="Arial"/>
          <w:sz w:val="22"/>
          <w:szCs w:val="22"/>
          <w:color w:val="auto"/>
          <w:vertAlign w:val="superscript"/>
        </w:rPr>
        <w:t>5</w:t>
      </w:r>
    </w:p>
    <w:p>
      <w:pPr>
        <w:ind w:left="680"/>
        <w:spacing w:after="0"/>
        <w:rPr>
          <w:sz w:val="20"/>
          <w:szCs w:val="20"/>
          <w:color w:val="auto"/>
        </w:rPr>
      </w:pPr>
      <w:r>
        <w:rPr>
          <w:rFonts w:ascii="Arial" w:cs="Arial" w:eastAsia="Arial" w:hAnsi="Arial"/>
          <w:sz w:val="14"/>
          <w:szCs w:val="14"/>
          <w:color w:val="auto"/>
        </w:rPr>
        <w:t>Average number of table games</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Average number of slot machines</w:t>
      </w: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Wynn Macau:</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Table games win per unit per day</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Slot Machine win per unit per day</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Average number of table games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Average number of slot machines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82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2"/>
          </w:tcPr>
          <w:p>
            <w:pPr>
              <w:ind w:left="620"/>
              <w:spacing w:after="0"/>
              <w:rPr>
                <w:sz w:val="20"/>
                <w:szCs w:val="20"/>
                <w:color w:val="auto"/>
              </w:rPr>
            </w:pPr>
            <w:r>
              <w:rPr>
                <w:rFonts w:ascii="Arial" w:cs="Arial" w:eastAsia="Arial" w:hAnsi="Arial"/>
                <w:sz w:val="14"/>
                <w:szCs w:val="14"/>
                <w:b w:val="1"/>
                <w:bCs w:val="1"/>
                <w:color w:val="auto"/>
              </w:rPr>
              <w:t>Nine Months Ended</w:t>
            </w:r>
          </w:p>
        </w:tc>
      </w:tr>
      <w:tr>
        <w:trPr>
          <w:trHeight w:val="28"/>
        </w:trPr>
        <w:tc>
          <w:tcPr>
            <w:tcW w:w="1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8"/>
        </w:trPr>
        <w:tc>
          <w:tcPr>
            <w:tcW w:w="1480" w:type="dxa"/>
            <w:vAlign w:val="bottom"/>
          </w:tcPr>
          <w:p>
            <w:pPr>
              <w:jc w:val="right"/>
              <w:ind w:right="432"/>
              <w:spacing w:after="0"/>
              <w:rPr>
                <w:sz w:val="20"/>
                <w:szCs w:val="20"/>
                <w:color w:val="auto"/>
              </w:rPr>
            </w:pPr>
            <w:r>
              <w:rPr>
                <w:rFonts w:ascii="Arial" w:cs="Arial" w:eastAsia="Arial" w:hAnsi="Arial"/>
                <w:sz w:val="14"/>
                <w:szCs w:val="14"/>
                <w:b w:val="1"/>
                <w:bCs w:val="1"/>
                <w:color w:val="auto"/>
              </w:rPr>
              <w:t>September</w:t>
            </w: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September</w:t>
            </w:r>
          </w:p>
        </w:tc>
        <w:tc>
          <w:tcPr>
            <w:tcW w:w="1320" w:type="dxa"/>
            <w:vAlign w:val="bottom"/>
          </w:tcPr>
          <w:p>
            <w:pPr>
              <w:jc w:val="right"/>
              <w:ind w:right="412"/>
              <w:spacing w:after="0"/>
              <w:rPr>
                <w:sz w:val="20"/>
                <w:szCs w:val="20"/>
                <w:color w:val="auto"/>
              </w:rPr>
            </w:pPr>
            <w:r>
              <w:rPr>
                <w:rFonts w:ascii="Arial" w:cs="Arial" w:eastAsia="Arial" w:hAnsi="Arial"/>
                <w:sz w:val="14"/>
                <w:szCs w:val="14"/>
                <w:b w:val="1"/>
                <w:bCs w:val="1"/>
                <w:color w:val="auto"/>
              </w:rPr>
              <w:t>September</w:t>
            </w:r>
          </w:p>
        </w:tc>
        <w:tc>
          <w:tcPr>
            <w:tcW w:w="1220" w:type="dxa"/>
            <w:vAlign w:val="bottom"/>
          </w:tcPr>
          <w:p>
            <w:pPr>
              <w:ind w:left="240"/>
              <w:spacing w:after="0"/>
              <w:rPr>
                <w:sz w:val="20"/>
                <w:szCs w:val="20"/>
                <w:color w:val="auto"/>
              </w:rPr>
            </w:pPr>
            <w:r>
              <w:rPr>
                <w:rFonts w:ascii="Arial" w:cs="Arial" w:eastAsia="Arial" w:hAnsi="Arial"/>
                <w:sz w:val="14"/>
                <w:szCs w:val="14"/>
                <w:b w:val="1"/>
                <w:bCs w:val="1"/>
                <w:color w:val="auto"/>
              </w:rPr>
              <w:t>September</w:t>
            </w:r>
          </w:p>
        </w:tc>
      </w:tr>
      <w:tr>
        <w:trPr>
          <w:trHeight w:val="247"/>
        </w:trPr>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30, 2006</w:t>
            </w:r>
          </w:p>
        </w:tc>
        <w:tc>
          <w:tcPr>
            <w:tcW w:w="1340" w:type="dxa"/>
            <w:vAlign w:val="bottom"/>
            <w:tcBorders>
              <w:bottom w:val="single" w:sz="8" w:color="auto"/>
            </w:tcBorders>
          </w:tcPr>
          <w:p>
            <w:pPr>
              <w:jc w:val="right"/>
              <w:ind w:right="432"/>
              <w:spacing w:after="0" w:line="247" w:lineRule="exact"/>
              <w:rPr>
                <w:sz w:val="20"/>
                <w:szCs w:val="20"/>
                <w:color w:val="auto"/>
              </w:rPr>
            </w:pPr>
            <w:r>
              <w:rPr>
                <w:rFonts w:ascii="Arial" w:cs="Arial" w:eastAsia="Arial" w:hAnsi="Arial"/>
                <w:sz w:val="14"/>
                <w:szCs w:val="14"/>
                <w:b w:val="1"/>
                <w:bCs w:val="1"/>
                <w:color w:val="auto"/>
              </w:rPr>
              <w:t>30, 2005</w:t>
            </w:r>
            <w:r>
              <w:rPr>
                <w:rFonts w:ascii="Arial" w:cs="Arial" w:eastAsia="Arial" w:hAnsi="Arial"/>
                <w:sz w:val="22"/>
                <w:szCs w:val="22"/>
                <w:b w:val="1"/>
                <w:bCs w:val="1"/>
                <w:color w:val="auto"/>
                <w:vertAlign w:val="superscript"/>
              </w:rPr>
              <w:t>(6)</w:t>
            </w:r>
          </w:p>
        </w:tc>
        <w:tc>
          <w:tcPr>
            <w:tcW w:w="1320" w:type="dxa"/>
            <w:vAlign w:val="bottom"/>
            <w:tcBorders>
              <w:bottom w:val="single" w:sz="8" w:color="auto"/>
            </w:tcBorders>
          </w:tcPr>
          <w:p>
            <w:pPr>
              <w:jc w:val="right"/>
              <w:ind w:right="412"/>
              <w:spacing w:after="0" w:line="247" w:lineRule="exact"/>
              <w:rPr>
                <w:sz w:val="20"/>
                <w:szCs w:val="20"/>
                <w:color w:val="auto"/>
              </w:rPr>
            </w:pPr>
            <w:r>
              <w:rPr>
                <w:rFonts w:ascii="Arial" w:cs="Arial" w:eastAsia="Arial" w:hAnsi="Arial"/>
                <w:sz w:val="14"/>
                <w:szCs w:val="14"/>
                <w:b w:val="1"/>
                <w:bCs w:val="1"/>
                <w:color w:val="auto"/>
              </w:rPr>
              <w:t>30, 2006</w:t>
            </w:r>
            <w:r>
              <w:rPr>
                <w:rFonts w:ascii="Arial" w:cs="Arial" w:eastAsia="Arial" w:hAnsi="Arial"/>
                <w:sz w:val="22"/>
                <w:szCs w:val="22"/>
                <w:b w:val="1"/>
                <w:bCs w:val="1"/>
                <w:color w:val="auto"/>
                <w:vertAlign w:val="superscript"/>
              </w:rPr>
              <w:t>(6)</w:t>
            </w:r>
          </w:p>
        </w:tc>
        <w:tc>
          <w:tcPr>
            <w:tcW w:w="1220" w:type="dxa"/>
            <w:vAlign w:val="bottom"/>
            <w:tcBorders>
              <w:bottom w:val="single" w:sz="8" w:color="auto"/>
            </w:tcBorders>
          </w:tcPr>
          <w:p>
            <w:pPr>
              <w:ind w:left="240"/>
              <w:spacing w:after="0" w:line="247" w:lineRule="exact"/>
              <w:rPr>
                <w:sz w:val="20"/>
                <w:szCs w:val="20"/>
                <w:color w:val="auto"/>
              </w:rPr>
            </w:pPr>
            <w:r>
              <w:rPr>
                <w:rFonts w:ascii="Arial" w:cs="Arial" w:eastAsia="Arial" w:hAnsi="Arial"/>
                <w:sz w:val="14"/>
                <w:szCs w:val="14"/>
                <w:b w:val="1"/>
                <w:bCs w:val="1"/>
                <w:color w:val="auto"/>
              </w:rPr>
              <w:t>30, 2005</w:t>
            </w:r>
            <w:r>
              <w:rPr>
                <w:rFonts w:ascii="Arial" w:cs="Arial" w:eastAsia="Arial" w:hAnsi="Arial"/>
                <w:sz w:val="22"/>
                <w:szCs w:val="22"/>
                <w:b w:val="1"/>
                <w:bCs w:val="1"/>
                <w:color w:val="auto"/>
                <w:vertAlign w:val="superscript"/>
              </w:rPr>
              <w:t>(7)</w:t>
            </w:r>
          </w:p>
        </w:tc>
      </w:tr>
      <w:tr>
        <w:trPr>
          <w:trHeight w:val="412"/>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94.9%</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93.0%</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95.4%</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03"/>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$271</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$264</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$286</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30"/>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$255</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$252</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$270</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30"/>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$257</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$246</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$272</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837"/>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$7,779</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$7,339</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$7,455</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30"/>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22.3%</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21.9%</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20.6%</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03"/>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$248</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$243</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$249</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30"/>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143</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135</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143</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03"/>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1,970</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1,956</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1,960</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810"/>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9,236</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NM</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NM</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03"/>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387</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NM</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NM</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03"/>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212</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NM</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NM</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r>
        <w:trPr>
          <w:trHeight w:val="203"/>
        </w:trPr>
        <w:tc>
          <w:tcPr>
            <w:tcW w:w="1480" w:type="dxa"/>
            <w:vAlign w:val="bottom"/>
          </w:tcPr>
          <w:p>
            <w:pPr>
              <w:jc w:val="right"/>
              <w:ind w:right="172"/>
              <w:spacing w:after="0"/>
              <w:rPr>
                <w:sz w:val="20"/>
                <w:szCs w:val="20"/>
                <w:color w:val="auto"/>
              </w:rPr>
            </w:pPr>
            <w:r>
              <w:rPr>
                <w:rFonts w:ascii="Arial" w:cs="Arial" w:eastAsia="Arial" w:hAnsi="Arial"/>
                <w:sz w:val="14"/>
                <w:szCs w:val="14"/>
                <w:color w:val="auto"/>
              </w:rPr>
              <w:t>375</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NM</w:t>
            </w:r>
          </w:p>
        </w:tc>
        <w:tc>
          <w:tcPr>
            <w:tcW w:w="1320" w:type="dxa"/>
            <w:vAlign w:val="bottom"/>
          </w:tcPr>
          <w:p>
            <w:pPr>
              <w:jc w:val="right"/>
              <w:ind w:right="152"/>
              <w:spacing w:after="0"/>
              <w:rPr>
                <w:sz w:val="20"/>
                <w:szCs w:val="20"/>
                <w:color w:val="auto"/>
              </w:rPr>
            </w:pPr>
            <w:r>
              <w:rPr>
                <w:rFonts w:ascii="Arial" w:cs="Arial" w:eastAsia="Arial" w:hAnsi="Arial"/>
                <w:sz w:val="14"/>
                <w:szCs w:val="14"/>
                <w:color w:val="auto"/>
              </w:rPr>
              <w:t>NM</w:t>
            </w:r>
          </w:p>
        </w:tc>
        <w:tc>
          <w:tcPr>
            <w:tcW w:w="1220" w:type="dxa"/>
            <w:vAlign w:val="bottom"/>
          </w:tcPr>
          <w:p>
            <w:pPr>
              <w:ind w:left="900"/>
              <w:spacing w:after="0"/>
              <w:rPr>
                <w:sz w:val="20"/>
                <w:szCs w:val="20"/>
                <w:color w:val="auto"/>
              </w:rPr>
            </w:pPr>
            <w:r>
              <w:rPr>
                <w:rFonts w:ascii="Arial" w:cs="Arial" w:eastAsia="Arial" w:hAnsi="Arial"/>
                <w:sz w:val="14"/>
                <w:szCs w:val="14"/>
                <w:color w:val="auto"/>
              </w:rPr>
              <w:t>NM</w:t>
            </w:r>
          </w:p>
        </w:tc>
      </w:tr>
    </w:tbl>
    <w:p>
      <w:pPr>
        <w:spacing w:after="0" w:line="200" w:lineRule="exact"/>
        <w:rPr>
          <w:sz w:val="20"/>
          <w:szCs w:val="20"/>
          <w:color w:val="auto"/>
        </w:rPr>
      </w:pPr>
    </w:p>
    <w:p>
      <w:pPr>
        <w:sectPr>
          <w:pgSz w:w="11900" w:h="16838" w:orient="portrait"/>
          <w:cols w:equalWidth="0" w:num="2">
            <w:col w:w="2900" w:space="600"/>
            <w:col w:w="6719"/>
          </w:cols>
          <w:pgMar w:left="240" w:top="125" w:right="1440" w:bottom="1440" w:gutter="0" w:footer="0" w:header="0"/>
          <w:type w:val="continuous"/>
        </w:sectPr>
      </w:pPr>
    </w:p>
    <w:p>
      <w:pPr>
        <w:spacing w:after="0" w:line="100"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ADR is Average Daily Room Rate and is calculated by dividing total room revenue by total rooms occupied.</w:t>
      </w:r>
    </w:p>
    <w:p>
      <w:pPr>
        <w:spacing w:after="0" w:line="95" w:lineRule="exact"/>
        <w:rPr>
          <w:rFonts w:ascii="Arial" w:cs="Arial" w:eastAsia="Arial" w:hAnsi="Arial"/>
          <w:sz w:val="14"/>
          <w:szCs w:val="14"/>
          <w:color w:val="auto"/>
        </w:rPr>
      </w:pP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APR is Average Paying Rate and is calculated by dividing cash room revenue by cash rooms occupied.</w:t>
      </w:r>
    </w:p>
    <w:p>
      <w:pPr>
        <w:spacing w:after="0" w:line="95" w:lineRule="exact"/>
        <w:rPr>
          <w:rFonts w:ascii="Arial" w:cs="Arial" w:eastAsia="Arial" w:hAnsi="Arial"/>
          <w:sz w:val="14"/>
          <w:szCs w:val="14"/>
          <w:color w:val="auto"/>
        </w:rPr>
      </w:pP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 by total rooms available.</w:t>
      </w:r>
    </w:p>
    <w:p>
      <w:pPr>
        <w:spacing w:after="0" w:line="95" w:lineRule="exact"/>
        <w:rPr>
          <w:rFonts w:ascii="Arial" w:cs="Arial" w:eastAsia="Arial" w:hAnsi="Arial"/>
          <w:sz w:val="14"/>
          <w:szCs w:val="14"/>
          <w:color w:val="auto"/>
        </w:rPr>
      </w:pP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Table games win per unit per day is shown before discounts and commissions.</w:t>
      </w:r>
    </w:p>
    <w:p>
      <w:pPr>
        <w:spacing w:after="0" w:line="95" w:lineRule="exact"/>
        <w:rPr>
          <w:rFonts w:ascii="Arial" w:cs="Arial" w:eastAsia="Arial" w:hAnsi="Arial"/>
          <w:sz w:val="14"/>
          <w:szCs w:val="14"/>
          <w:color w:val="auto"/>
        </w:rPr>
      </w:pP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Slot machine win per unit per day is net of participation fees and progressive accruals.</w:t>
      </w:r>
    </w:p>
    <w:p>
      <w:pPr>
        <w:spacing w:after="0" w:line="95" w:lineRule="exact"/>
        <w:rPr>
          <w:rFonts w:ascii="Arial" w:cs="Arial" w:eastAsia="Arial" w:hAnsi="Arial"/>
          <w:sz w:val="14"/>
          <w:szCs w:val="14"/>
          <w:color w:val="auto"/>
        </w:rPr>
      </w:pPr>
    </w:p>
    <w:p>
      <w:pPr>
        <w:ind w:right="2659" w:firstLine="8"/>
        <w:spacing w:after="0" w:line="239" w:lineRule="auto"/>
        <w:tabs>
          <w:tab w:leader="none" w:pos="191"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Information for the 2005 and 2006 nine-month periods as well as 2005 three-month period is not meaningful as Wynn Macau opened on September 6, 2006.</w:t>
      </w:r>
    </w:p>
    <w:p>
      <w:pPr>
        <w:spacing w:after="0" w:line="84" w:lineRule="exact"/>
        <w:rPr>
          <w:rFonts w:ascii="Arial" w:cs="Arial" w:eastAsia="Arial" w:hAnsi="Arial"/>
          <w:sz w:val="14"/>
          <w:szCs w:val="14"/>
          <w:color w:val="auto"/>
        </w:rPr>
      </w:pP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Comparison to the 2005 nine-month period is not meaningful as Wynn Las Vegas opened on April 28, 2005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www.wynnresorts.com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www.wynnlasvegas.com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www.wynnmacau.com</w:t>
      </w:r>
    </w:p>
    <w:p>
      <w:pPr>
        <w:spacing w:after="0" w:line="200" w:lineRule="exact"/>
        <w:rPr>
          <w:sz w:val="20"/>
          <w:szCs w:val="20"/>
          <w:color w:val="auto"/>
        </w:rPr>
      </w:pPr>
    </w:p>
    <w:p>
      <w:pPr>
        <w:spacing w:after="0" w:line="282"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8</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2019-12-12T04:33:42Z</dcterms:created>
  <dcterms:modified xsi:type="dcterms:W3CDTF">2019-12-12T04:33:42Z</dcterms:modified>
</cp:coreProperties>
</file>