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6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of incorporation)</w:t>
            </w:r>
          </w:p>
        </w:tc>
        <w:tc>
          <w:tcPr>
            <w:tcW w:w="380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264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vMerge w:val="restart"/>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2640" w:type="dxa"/>
            <w:vAlign w:val="bottom"/>
          </w:tcPr>
          <w:p>
            <w:pPr>
              <w:spacing w:after="0"/>
              <w:rPr>
                <w:sz w:val="24"/>
                <w:szCs w:val="24"/>
                <w:color w:val="auto"/>
              </w:rPr>
            </w:pPr>
          </w:p>
        </w:tc>
        <w:tc>
          <w:tcPr>
            <w:tcW w:w="3800" w:type="dxa"/>
            <w:vAlign w:val="bottom"/>
          </w:tcPr>
          <w:p>
            <w:pPr>
              <w:jc w:val="right"/>
              <w:ind w:right="1401"/>
              <w:spacing w:after="0"/>
              <w:rPr>
                <w:sz w:val="20"/>
                <w:szCs w:val="20"/>
                <w:color w:val="auto"/>
              </w:rPr>
            </w:pPr>
            <w:r>
              <w:rPr>
                <w:rFonts w:ascii="Arial" w:cs="Arial" w:eastAsia="Arial" w:hAnsi="Arial"/>
                <w:sz w:val="18"/>
                <w:szCs w:val="18"/>
                <w:b w:val="1"/>
                <w:bCs w:val="1"/>
                <w:color w:val="auto"/>
              </w:rPr>
              <w:t>(702) 770-7555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380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90805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80" w:type="dxa"/>
            <w:vAlign w:val="bottom"/>
          </w:tcPr>
          <w:p>
            <w:pPr>
              <w:spacing w:after="0"/>
              <w:rPr>
                <w:sz w:val="18"/>
                <w:szCs w:val="18"/>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Trading Symbol(s)</w:t>
            </w:r>
          </w:p>
        </w:tc>
        <w:tc>
          <w:tcPr>
            <w:tcW w:w="424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91"/>
        </w:trPr>
        <w:tc>
          <w:tcPr>
            <w:tcW w:w="292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Common stock, par value $0.01</w:t>
            </w:r>
          </w:p>
        </w:tc>
        <w:tc>
          <w:tcPr>
            <w:tcW w:w="620" w:type="dxa"/>
            <w:vAlign w:val="bottom"/>
          </w:tcPr>
          <w:p>
            <w:pPr>
              <w:spacing w:after="0"/>
              <w:rPr>
                <w:sz w:val="24"/>
                <w:szCs w:val="24"/>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color w:val="auto"/>
              </w:rPr>
              <w:t>WYNN</w:t>
            </w:r>
          </w:p>
        </w:tc>
        <w:tc>
          <w:tcPr>
            <w:tcW w:w="8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14d-2(b) under the Exchange Act (17 CFR 240.14d-2(b))</w:t>
      </w:r>
    </w:p>
    <w:p>
      <w:pPr>
        <w:spacing w:after="0" w:line="16"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287" w:right="259" w:bottom="1440" w:gutter="0" w:footer="0" w:header="0"/>
        </w:sectPr>
      </w:pPr>
    </w:p>
    <w:bookmarkStart w:id="1" w:name="page2"/>
    <w:bookmarkEnd w:id="1"/>
    <w:p>
      <w:pPr>
        <w:ind w:left="6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1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780" w:space="640"/>
            <w:col w:w="9940"/>
          </w:cols>
          <w:pgMar w:left="240" w:top="715" w:right="299" w:bottom="1440" w:gutter="0" w:footer="0" w:header="0"/>
        </w:sectPr>
      </w:pPr>
    </w:p>
    <w:p>
      <w:pPr>
        <w:ind w:firstLine="486"/>
        <w:spacing w:after="0" w:line="289" w:lineRule="auto"/>
        <w:rPr>
          <w:sz w:val="20"/>
          <w:szCs w:val="20"/>
          <w:color w:val="auto"/>
        </w:rPr>
      </w:pPr>
      <w:r>
        <w:rPr>
          <w:rFonts w:ascii="Arial" w:cs="Arial" w:eastAsia="Arial" w:hAnsi="Arial"/>
          <w:sz w:val="16"/>
          <w:szCs w:val="16"/>
          <w:color w:val="auto"/>
        </w:rPr>
        <w:t>On December 16, 2019, Wynn Resorts, Limited (the "Company") entered into an amended and restated employment agreement with Matt Maddox, Chief Executive Officer of the Company (the "Maddox Employment Agreement"). The Maddox Employment Agreement is effective as of December 16, 2019, and contains substantially the same terms as his previous employment agreement with the Company, except as described herein. Under the Maddox Employment Agreement, Mr. Maddox receives the same salary and bonus target compensation as his previous employment agreement. In addition, the Maddox Employment Agreement provides for a grant of performance-based restricted stock of the Company in a target amount of 100,000 shares (the “Performance Shares”). Vesting of the Performance Shares will be subject to the achievement of pre-established financial performance and strategic goals over the next three years, instead of vesting solely on the basis of continued employment. The Performance Shares will be granted pursuant to the Company’s 2014 Omnibus Incentive Plan. Mr. Maddox remains eligible to receive annual restricted stock grants as part of his annual compensation award. The Maddox Employment Agreement extends the termination date of the agreement from February 27, 2021 to December 16, 2022.</w:t>
      </w:r>
    </w:p>
    <w:p>
      <w:pPr>
        <w:spacing w:after="0" w:line="167"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The foregoing description does not purport to be complete and is qualified in its entirety by reference to the full text of the Maddox Employment Agreement, which will be filed as an exhibit to the Company’s Annual Report on Form 10-K for the year ended December 31, 2019.</w:t>
      </w:r>
    </w:p>
    <w:p>
      <w:pPr>
        <w:sectPr>
          <w:pgSz w:w="11900" w:h="16838" w:orient="portrait"/>
          <w:cols w:equalWidth="0" w:num="1">
            <w:col w:w="11360"/>
          </w:cols>
          <w:pgMar w:left="240" w:top="715" w:right="29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December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2019-12-17T15:24:23Z</dcterms:created>
  <dcterms:modified xsi:type="dcterms:W3CDTF">2019-12-17T15:24:23Z</dcterms:modified>
</cp:coreProperties>
</file>