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193040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220980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80" w:right="3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355" w:right="239" w:bottom="1440" w:gutter="0" w:footer="0" w:header="0"/>
        </w:sectPr>
      </w:pPr>
    </w:p>
    <w:p>
      <w:pPr>
        <w:spacing w:after="0" w:line="122"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2840" w:space="620"/>
            <w:col w:w="7960"/>
          </w:cols>
          <w:pgMar w:left="240" w:top="355"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234315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189230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5" w:lineRule="exact"/>
        <w:rPr>
          <w:sz w:val="24"/>
          <w:szCs w:val="24"/>
          <w:color w:val="auto"/>
        </w:rPr>
      </w:pPr>
    </w:p>
    <w:p>
      <w:pPr>
        <w:sectPr>
          <w:pgSz w:w="11900" w:h="16838" w:orient="portrait"/>
          <w:cols w:equalWidth="0" w:num="2">
            <w:col w:w="7600" w:space="720"/>
            <w:col w:w="3100"/>
          </w:cols>
          <w:pgMar w:left="240" w:top="355" w:right="239" w:bottom="1440" w:gutter="0" w:footer="0" w:header="0"/>
          <w:type w:val="continuous"/>
        </w:sect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500" w:space="720"/>
            <w:col w:w="3200"/>
          </w:cols>
          <w:pgMar w:left="240" w:top="355"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3131 Las Vegas Boulevard South - Las Vegas, Nevada 89109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205105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p>
      <w:pPr>
        <w:spacing w:after="0" w:line="200" w:lineRule="exact"/>
        <w:rPr>
          <w:sz w:val="24"/>
          <w:szCs w:val="24"/>
          <w:color w:val="auto"/>
        </w:rPr>
      </w:pPr>
    </w:p>
    <w:p>
      <w:pPr>
        <w:spacing w:after="0" w:line="290" w:lineRule="exact"/>
        <w:rPr>
          <w:sz w:val="24"/>
          <w:szCs w:val="24"/>
          <w:color w:val="auto"/>
        </w:rPr>
      </w:pPr>
    </w:p>
    <w:p>
      <w:pPr>
        <w:ind w:right="3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99" w:lineRule="exact"/>
        <w:rPr>
          <w:sz w:val="24"/>
          <w:szCs w:val="24"/>
          <w:color w:val="auto"/>
        </w:rPr>
      </w:pPr>
    </w:p>
    <w:p>
      <w:pPr>
        <w:ind w:left="460"/>
        <w:spacing w:after="0" w:line="207" w:lineRule="exact"/>
        <w:tabs>
          <w:tab w:leader="none" w:pos="2780" w:val="left"/>
          <w:tab w:leader="none" w:pos="47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580" w:val="left"/>
          <w:tab w:leader="none" w:pos="89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Class</w:t>
            </w:r>
          </w:p>
        </w:tc>
        <w:tc>
          <w:tcPr>
            <w:tcW w:w="440" w:type="dxa"/>
            <w:vAlign w:val="bottom"/>
          </w:tcPr>
          <w:p>
            <w:pPr>
              <w:spacing w:after="0"/>
              <w:rPr>
                <w:sz w:val="14"/>
                <w:szCs w:val="14"/>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 at October 31, 2007</w:t>
            </w:r>
          </w:p>
        </w:tc>
      </w:tr>
      <w:tr>
        <w:trPr>
          <w:trHeight w:val="221"/>
        </w:trPr>
        <w:tc>
          <w:tcPr>
            <w:tcW w:w="5620" w:type="dxa"/>
            <w:vAlign w:val="bottom"/>
          </w:tcPr>
          <w:p>
            <w:pPr>
              <w:jc w:val="center"/>
              <w:spacing w:after="0"/>
              <w:rPr>
                <w:sz w:val="20"/>
                <w:szCs w:val="20"/>
                <w:color w:val="auto"/>
              </w:rPr>
            </w:pPr>
            <w:r>
              <w:rPr>
                <w:rFonts w:ascii="Arial" w:cs="Arial" w:eastAsia="Arial" w:hAnsi="Arial"/>
                <w:sz w:val="18"/>
                <w:szCs w:val="18"/>
                <w:color w:val="auto"/>
                <w:w w:val="88"/>
              </w:rPr>
              <w:t>Common stock, $0.01 par value</w:t>
            </w:r>
          </w:p>
        </w:tc>
        <w:tc>
          <w:tcPr>
            <w:tcW w:w="5800" w:type="dxa"/>
            <w:vAlign w:val="bottom"/>
            <w:gridSpan w:val="2"/>
          </w:tcPr>
          <w:p>
            <w:pPr>
              <w:jc w:val="right"/>
              <w:ind w:right="2172"/>
              <w:spacing w:after="0"/>
              <w:rPr>
                <w:sz w:val="20"/>
                <w:szCs w:val="20"/>
                <w:color w:val="auto"/>
              </w:rPr>
            </w:pPr>
            <w:r>
              <w:rPr>
                <w:rFonts w:ascii="Arial" w:cs="Arial" w:eastAsia="Arial" w:hAnsi="Arial"/>
                <w:sz w:val="18"/>
                <w:szCs w:val="18"/>
                <w:color w:val="auto"/>
              </w:rPr>
              <w:t>114,319,715</w:t>
            </w:r>
          </w:p>
        </w:tc>
      </w:tr>
      <w:tr>
        <w:trPr>
          <w:trHeight w:val="215"/>
        </w:trPr>
        <w:tc>
          <w:tcPr>
            <w:tcW w:w="56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360" w:type="dxa"/>
            <w:vAlign w:val="bottom"/>
            <w:tcBorders>
              <w:bottom w:val="single" w:sz="8" w:color="auto"/>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760" w:type="dxa"/>
            <w:vAlign w:val="bottom"/>
            <w:gridSpan w:val="9"/>
          </w:tcPr>
          <w:p>
            <w:pPr>
              <w:spacing w:after="0"/>
              <w:rPr>
                <w:sz w:val="20"/>
                <w:szCs w:val="20"/>
                <w:color w:val="auto"/>
              </w:rPr>
            </w:pPr>
            <w:r>
              <w:rPr>
                <w:rFonts w:ascii="Arial" w:cs="Arial" w:eastAsia="Arial" w:hAnsi="Arial"/>
                <w:sz w:val="18"/>
                <w:szCs w:val="18"/>
                <w:b w:val="1"/>
                <w:bCs w:val="1"/>
                <w:color w:val="auto"/>
              </w:rPr>
              <w:t>Financial Information</w:t>
            </w:r>
          </w:p>
        </w:tc>
        <w:tc>
          <w:tcPr>
            <w:tcW w:w="640" w:type="dxa"/>
            <w:vAlign w:val="bottom"/>
          </w:tcPr>
          <w:p>
            <w:pPr>
              <w:spacing w:after="0"/>
              <w:rPr>
                <w:sz w:val="19"/>
                <w:szCs w:val="19"/>
                <w:color w:val="auto"/>
              </w:rPr>
            </w:pP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76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640" w:type="dxa"/>
            <w:vAlign w:val="bottom"/>
          </w:tcPr>
          <w:p>
            <w:pPr>
              <w:spacing w:after="0"/>
              <w:rPr>
                <w:sz w:val="24"/>
                <w:szCs w:val="24"/>
                <w:color w:val="auto"/>
              </w:rPr>
            </w:pPr>
          </w:p>
        </w:tc>
      </w:tr>
      <w:tr>
        <w:trPr>
          <w:trHeight w:val="286"/>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2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Sheets—September 30, 2007 (unaudited) and December 31, 2006</w:t>
              </w:r>
            </w:hyperlink>
          </w:p>
        </w:tc>
        <w:tc>
          <w:tcPr>
            <w:tcW w:w="230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6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(unaudited)—Three and Nine months ended September 30, 2007 and 2006</w:t>
              </w:r>
            </w:hyperlink>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(unaudited)—Nine months ended September 30, 2007 and 2006</w:t>
              </w:r>
            </w:hyperlink>
          </w:p>
        </w:tc>
        <w:tc>
          <w:tcPr>
            <w:tcW w:w="116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32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760" w:type="dxa"/>
            <w:vAlign w:val="bottom"/>
            <w:gridSpan w:val="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46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760" w:type="dxa"/>
            <w:vAlign w:val="bottom"/>
            <w:gridSpan w:val="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bottom w:val="single" w:sz="8" w:color="0000EE"/>
            </w:tcBorders>
            <w:gridSpan w:val="3"/>
          </w:tcPr>
          <w:p>
            <w:pPr>
              <w:spacing w:after="0"/>
              <w:rPr>
                <w:rFonts w:ascii="Arial" w:cs="Arial" w:eastAsia="Arial" w:hAnsi="Arial"/>
                <w:sz w:val="18"/>
                <w:szCs w:val="18"/>
                <w:b w:val="1"/>
                <w:bCs w:val="1"/>
                <w:color w:val="0000EE"/>
                <w:w w:val="92"/>
              </w:rPr>
            </w:pPr>
            <w:hyperlink w:anchor="page41">
              <w:r>
                <w:rPr>
                  <w:rFonts w:ascii="Arial" w:cs="Arial" w:eastAsia="Arial" w:hAnsi="Arial"/>
                  <w:sz w:val="18"/>
                  <w:szCs w:val="18"/>
                  <w:b w:val="1"/>
                  <w:bCs w:val="1"/>
                  <w:color w:val="0000EE"/>
                  <w:w w:val="92"/>
                </w:rPr>
                <w:t>Other Information</w:t>
              </w:r>
            </w:hyperlink>
          </w:p>
        </w:tc>
        <w:tc>
          <w:tcPr>
            <w:tcW w:w="3020" w:type="dxa"/>
            <w:vAlign w:val="bottom"/>
            <w:gridSpan w:val="2"/>
          </w:tcPr>
          <w:p>
            <w:pPr>
              <w:spacing w:after="0"/>
              <w:rPr>
                <w:sz w:val="17"/>
                <w:szCs w:val="17"/>
                <w:color w:val="auto"/>
              </w:rPr>
            </w:pPr>
          </w:p>
        </w:tc>
        <w:tc>
          <w:tcPr>
            <w:tcW w:w="5960" w:type="dxa"/>
            <w:vAlign w:val="bottom"/>
          </w:tcPr>
          <w:p>
            <w:pPr>
              <w:spacing w:after="0"/>
              <w:rPr>
                <w:sz w:val="17"/>
                <w:szCs w:val="17"/>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444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440" w:type="dxa"/>
            <w:vAlign w:val="bottom"/>
            <w:gridSpan w:val="5"/>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Unregistered Sales of Equity Securities and Use of Proceeds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2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020" w:type="dxa"/>
            <w:vAlign w:val="bottom"/>
            <w:gridSpan w:val="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83"/>
        </w:trPr>
        <w:tc>
          <w:tcPr>
            <w:tcW w:w="6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274" w:right="239" w:bottom="1440" w:gutter="0" w:footer="0" w:header="0"/>
        </w:sectPr>
      </w:pPr>
    </w:p>
    <w:bookmarkStart w:id="2" w:name="page3"/>
    <w:bookmarkEnd w:id="2"/>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(unaudited)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829,060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16,113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58,598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134,202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66,973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1,093,647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1,097,091</w:t>
            </w:r>
          </w:p>
        </w:tc>
        <w:tc>
          <w:tcPr>
            <w:tcW w:w="0" w:type="dxa"/>
            <w:vAlign w:val="bottom"/>
          </w:tcPr>
          <w:p>
            <w:pPr>
              <w:spacing w:after="0"/>
              <w:rPr>
                <w:sz w:val="1"/>
                <w:szCs w:val="1"/>
                <w:color w:val="auto"/>
              </w:rPr>
            </w:pPr>
          </w:p>
        </w:tc>
      </w:tr>
      <w:tr>
        <w:trPr>
          <w:trHeight w:val="322"/>
        </w:trPr>
        <w:tc>
          <w:tcPr>
            <w:tcW w:w="874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30,698</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178,788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3,721,278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3,157,622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Intangibles,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61,456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65,135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99,630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80,692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5,086,109</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4,660,180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Current portion of land concession obligation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5,771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172,876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39,730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87,164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84,477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15,380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155,125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Construction retention</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596,405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511,087</w:t>
            </w:r>
          </w:p>
        </w:tc>
        <w:tc>
          <w:tcPr>
            <w:tcW w:w="0" w:type="dxa"/>
            <w:vAlign w:val="bottom"/>
          </w:tcPr>
          <w:p>
            <w:pPr>
              <w:spacing w:after="0"/>
              <w:rPr>
                <w:sz w:val="1"/>
                <w:szCs w:val="1"/>
                <w:color w:val="auto"/>
              </w:rPr>
            </w:pPr>
          </w:p>
        </w:tc>
      </w:tr>
      <w:tr>
        <w:trPr>
          <w:trHeight w:val="322"/>
        </w:trPr>
        <w:tc>
          <w:tcPr>
            <w:tcW w:w="87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2,400,705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2,380,537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6,063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136,251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Construction retention</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3,179,552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3,014,595</w:t>
            </w:r>
          </w:p>
        </w:tc>
        <w:tc>
          <w:tcPr>
            <w:tcW w:w="0" w:type="dxa"/>
            <w:vAlign w:val="bottom"/>
          </w:tcPr>
          <w:p>
            <w:pPr>
              <w:spacing w:after="0"/>
              <w:rPr>
                <w:sz w:val="1"/>
                <w:szCs w:val="1"/>
                <w:color w:val="auto"/>
              </w:rPr>
            </w:pPr>
          </w:p>
        </w:tc>
      </w:tr>
      <w:tr>
        <w:trPr>
          <w:trHeight w:val="221"/>
        </w:trPr>
        <w:tc>
          <w:tcPr>
            <w:tcW w:w="87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14)</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Preferred stock, par value $0.01; authorized 40,000,000 shares; zero shares issued and outstanding</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Common stock, par value $0.01; authorized 400,000,000 shares; 111,895,536 and 101,887,031 shares issued and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110,006,215 and 101,887,031 outstanding</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Treasury stock, at cost (1,889,321 shares)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(179,277)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2,269,829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2,022,408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(187,097)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(377,747)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1,906,557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1,645,585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5,086,109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4,660,180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9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476,785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172,019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1,425,802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412,060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81,631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254,719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82,451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72,091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262,560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224,411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61,237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176,103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702,104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357,247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2,119,184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985,353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(48,718)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(39,155)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(142,940)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(116,666)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653,386</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318,092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1,976,244</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868,687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286,434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93,480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840,827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214,636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21,340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63,681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51,463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47,772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160,671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141,954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42,084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118,631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77,904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56,195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230,364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152,172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5,741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27,844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56,001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159,427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Contract termination fee</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25,096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51,386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567,518</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337,289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1,657,011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877,557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from unconsolidated affiliates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86,296</w:t>
            </w:r>
          </w:p>
        </w:tc>
        <w:tc>
          <w:tcPr>
            <w:tcW w:w="10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(18,709)</w:t>
            </w:r>
          </w:p>
        </w:tc>
        <w:tc>
          <w:tcPr>
            <w:tcW w:w="10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320,628</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6,777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11,837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29,285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(34,743)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(36,969)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(107,876)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(108,218)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(8,757)</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subconcession right,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899,409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899,409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(10,758)</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(10,758)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(32,173)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854,762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(81,096)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812,153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54,123</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836,053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239,532</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804,857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(9,383)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(120,397)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(46,837)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(120,706)</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44,740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715,656</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192,695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684,151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107,632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100,480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103,439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110,881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111,702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111,783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$ 192,695</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684,151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159,427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124,797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720" w:type="dxa"/>
            <w:vAlign w:val="bottom"/>
          </w:tcPr>
          <w:p>
            <w:pPr>
              <w:jc w:val="right"/>
              <w:spacing w:after="0"/>
              <w:rPr>
                <w:sz w:val="20"/>
                <w:szCs w:val="20"/>
                <w:color w:val="auto"/>
              </w:rPr>
            </w:pPr>
            <w:r>
              <w:rPr>
                <w:rFonts w:ascii="Arial" w:cs="Arial" w:eastAsia="Arial" w:hAnsi="Arial"/>
                <w:sz w:val="18"/>
                <w:szCs w:val="18"/>
                <w:color w:val="auto"/>
              </w:rPr>
              <w:t>14,533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10,758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720" w:type="dxa"/>
            <w:vAlign w:val="bottom"/>
          </w:tcPr>
          <w:p>
            <w:pPr>
              <w:jc w:val="right"/>
              <w:spacing w:after="0"/>
              <w:rPr>
                <w:sz w:val="20"/>
                <w:szCs w:val="20"/>
                <w:color w:val="auto"/>
              </w:rPr>
            </w:pPr>
            <w:r>
              <w:rPr>
                <w:rFonts w:ascii="Arial" w:cs="Arial" w:eastAsia="Arial" w:hAnsi="Arial"/>
                <w:sz w:val="18"/>
                <w:szCs w:val="18"/>
                <w:color w:val="auto"/>
              </w:rPr>
              <w:t>51,386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720" w:type="dxa"/>
            <w:vAlign w:val="bottom"/>
          </w:tcPr>
          <w:p>
            <w:pPr>
              <w:jc w:val="right"/>
              <w:spacing w:after="0"/>
              <w:rPr>
                <w:sz w:val="20"/>
                <w:szCs w:val="20"/>
                <w:color w:val="auto"/>
              </w:rPr>
            </w:pPr>
            <w:r>
              <w:rPr>
                <w:rFonts w:ascii="Arial" w:cs="Arial" w:eastAsia="Arial" w:hAnsi="Arial"/>
                <w:sz w:val="18"/>
                <w:szCs w:val="18"/>
                <w:color w:val="auto"/>
              </w:rPr>
              <w:t>2,348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(1,835)</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subconcession right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(899,409)</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(21,679)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(24,886)</w:t>
            </w: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(2,854)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(16,683)</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56,401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205,436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542,297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170,162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(704,101)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(456,741)</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190,575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Purchase of intangibles and other assets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(38,890)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(61,947)</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subconcession right, net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899,409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(550,721)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499,536</w:t>
            </w:r>
          </w:p>
        </w:tc>
        <w:tc>
          <w:tcPr>
            <w:tcW w:w="60" w:type="dxa"/>
            <w:vAlign w:val="bottom"/>
            <w:shd w:val="clear" w:color="auto" w:fill="CCEEFF"/>
          </w:tcPr>
          <w:p>
            <w:pPr>
              <w:spacing w:after="0"/>
              <w:rPr>
                <w:sz w:val="18"/>
                <w:szCs w:val="18"/>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720" w:type="dxa"/>
            <w:vAlign w:val="bottom"/>
          </w:tcPr>
          <w:p>
            <w:pPr>
              <w:jc w:val="right"/>
              <w:spacing w:after="0"/>
              <w:rPr>
                <w:sz w:val="20"/>
                <w:szCs w:val="20"/>
                <w:color w:val="auto"/>
              </w:rPr>
            </w:pPr>
            <w:r>
              <w:rPr>
                <w:rFonts w:ascii="Arial" w:cs="Arial" w:eastAsia="Arial" w:hAnsi="Arial"/>
                <w:sz w:val="18"/>
                <w:szCs w:val="18"/>
                <w:color w:val="auto"/>
              </w:rPr>
              <w:t>369,638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713,615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termination of interest rate swap</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Principal payments of long-term debt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(129,243)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(414,310)</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(179,277)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(7,404)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(9,000)</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deferred financing costs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(14,877)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(4,572)</w:t>
            </w: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46,406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298,292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exchange rate on cash</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cash and cash equivalents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967,990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789,407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434,289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$ 829,060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1,402,279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 Wynn Resorts’ predecessor, Valvino Lamore, LLC (“Valvino”), was formed on April 21, 2000 as a Nevada limited liability company to purchase the Desert Inn Resort and Casino for the site of the Company’s first casino resort in Las Vegas, Nevada, hereinafter referred to as “Wynn Las Vegas”.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June 2002, Valvino’s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currently owns and operates two casino hotel resort properties, Wynn Las Vegas, which opened on April 28, 2005 and Wynn Macau, which opened on September 6, 2006. In addition, the Company is constructing “Encore at Wynn Las Vegas” or “Encore”. Encore will be fully integrated with Wynn Las Vegas and is expected to open to the public in early 2009.</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Construction and development on an expansion of Wynn Macau which includes additional gaming space, a dramatic front feature attraction, a theater showroom and additional food, beverage and retail amenities is progressing as planned. In September 2007, Wynn Macau opened approximately 20,000 square feet of additional gaming space and one restaurant in this expansion. The remaining portion of the expansion is expected to open by the first quarter of 2008. In addition, construction has commenced on a further expansion of Wynn Macau, the “Wynn Diamond Suites”. Wynn Diamond Suites, which is expected to open in the first half of 2010, will add a fully-integrated resort hotel to Wynn Macau with approximately 400 luxury suites and six villas along with restaurants, additional retail space and additional VIP gaming space.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2007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2006.</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ind w:left="240" w:right="7940" w:hanging="232"/>
        <w:spacing w:after="0" w:line="391" w:lineRule="auto"/>
        <w:tabs>
          <w:tab w:leader="none" w:pos="187"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Summary of Significant Accounting Policies </w:t>
      </w:r>
      <w:r>
        <w:rPr>
          <w:rFonts w:ascii="Arial" w:cs="Arial" w:eastAsia="Arial" w:hAnsi="Arial"/>
          <w:sz w:val="16"/>
          <w:szCs w:val="16"/>
          <w:i w:val="1"/>
          <w:iCs w:val="1"/>
          <w:color w:val="auto"/>
        </w:rPr>
        <w:t>Accounts receivable and credit risk</w:t>
      </w:r>
    </w:p>
    <w:p>
      <w:pPr>
        <w:spacing w:after="0" w:line="1"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September 30, 2007 and December 31, 2006, approximately 63% and 59%,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certain commissions and points earned in customer loyalty programs, such as the players club loyalty program.</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88"/>
              </w:rPr>
              <w:t>Three months ended</w:t>
            </w:r>
          </w:p>
        </w:tc>
        <w:tc>
          <w:tcPr>
            <w:tcW w:w="340" w:type="dxa"/>
            <w:vAlign w:val="bottom"/>
          </w:tcPr>
          <w:p>
            <w:pPr>
              <w:spacing w:after="0"/>
              <w:rPr>
                <w:sz w:val="14"/>
                <w:szCs w:val="14"/>
                <w:color w:val="auto"/>
              </w:rPr>
            </w:pPr>
          </w:p>
        </w:tc>
        <w:tc>
          <w:tcPr>
            <w:tcW w:w="15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5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2007</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2006</w:t>
            </w:r>
          </w:p>
        </w:tc>
        <w:tc>
          <w:tcPr>
            <w:tcW w:w="3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$22,655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Food &amp; beverage</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16,778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13,918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50,132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4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20" w:type="dxa"/>
            <w:vAlign w:val="bottom"/>
          </w:tcPr>
          <w:p>
            <w:pPr>
              <w:spacing w:after="0"/>
              <w:rPr>
                <w:sz w:val="20"/>
                <w:szCs w:val="20"/>
                <w:color w:val="auto"/>
              </w:rPr>
            </w:pPr>
            <w:r>
              <w:rPr>
                <w:rFonts w:ascii="Arial" w:cs="Arial" w:eastAsia="Arial" w:hAnsi="Arial"/>
                <w:sz w:val="18"/>
                <w:szCs w:val="18"/>
                <w:color w:val="auto"/>
              </w:rPr>
              <w:t>Total</w:t>
            </w:r>
          </w:p>
        </w:tc>
        <w:tc>
          <w:tcPr>
            <w:tcW w:w="4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27,257</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23,153</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79,456</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69,185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160" w:type="dxa"/>
            <w:vAlign w:val="bottom"/>
            <w:vMerge w:val="restart"/>
          </w:tcPr>
          <w:p>
            <w:pPr>
              <w:jc w:val="right"/>
              <w:ind w:right="223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Advertising costs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September 30, 2007 and 2006, advertising costs totaled approximately $4.1 million and $4.2 million, respectively. For the nine months ended September 30, 2007 and 2006, advertising costs totaled approximately $17.7 million and $15.8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2006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income.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June 2006, the Financial Accounting Standards Board (“FASB”) issued Interpretation No. 48 (“FIN 48”) “Accounting for Uncertainty in Income Taxes”. This interpretation clarifies the accounting for uncertainty in income taxes recognized in a company’s financial statements in accordance with FASB Statement No. 109, “Accounting for Income Taxes”. The interpretation provides guidance on classification, interest and penalties, accounting in interim periods, disclosure, and translation. This interpretation is effective for fiscal years beginning after December 15, 2006. The adoption of this statement was effective January 1, 2007. The Company recorded a $2 million cumulative effect adjustment to accumulated deficit in the first quarter of 2007 as a result of the adoption of FIN 48. See Note 15 for additional information.</w:t>
      </w:r>
    </w:p>
    <w:p>
      <w:pPr>
        <w:spacing w:after="0" w:line="14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September 2006, the FASB issued Statement of Financial Accounting Standards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The Company has not yet determined the impact this statement will have on its consolidated financial statements after it is adopted on January 1, 2008.</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June 2006, the FASB ratified the consensus reached on EITF Issue No. 06-03, “How Taxes Collected from Customers and Remitted to Governmental Authorities Should Be Presented in the Income Statement (that is, Gross Versus Net Presentation)”. The EITF reached a consensus that the presentation of taxes on either a gross or net basis is an accounting policy decision that requires disclosure. EITF Issue No. 06-03 is effective for the first interim or annual reporting period beginning after December 15, 2006. The Company has historically and will continue to record taxes collected from customers on a net basis. Accordingly, the adoption of EITF Issue No. 06-03 did not have an effect on the Company’s results of operations or financial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which provides for the reporting of “basic,” or undiluted, earnings per share (“EPS”) and “diluted” EPS. Basic EPS is computed by dividing net income by the weighted average number of shares outstanding during the period. Diluted EPS reflects the addition of potentially dilutive securities, which for the Company include: stock options, nonvested stock, and the 6% Convertible Subordinated Debentures due 2015 (the “Debentures”) which were all converted into common stock in July 2007 (see Note 8).</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ind w:right="5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weighted average number of common and common equivalent shares used in the calculation of basic and diluted EPS consisted of the following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c>
          <w:tcPr>
            <w:tcW w:w="17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17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calculation of basic earnings per share)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107,632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100,480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103,439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99,688</w:t>
            </w:r>
          </w:p>
        </w:tc>
        <w:tc>
          <w:tcPr>
            <w:tcW w:w="20" w:type="dxa"/>
            <w:vAlign w:val="bottom"/>
          </w:tcPr>
          <w:p>
            <w:pPr>
              <w:spacing w:after="0"/>
              <w:rPr>
                <w:sz w:val="18"/>
                <w:szCs w:val="18"/>
                <w:color w:val="auto"/>
              </w:rPr>
            </w:pPr>
          </w:p>
        </w:tc>
      </w:tr>
      <w:tr>
        <w:trPr>
          <w:trHeight w:val="316"/>
        </w:trPr>
        <w:tc>
          <w:tcPr>
            <w:tcW w:w="7860" w:type="dxa"/>
            <w:vAlign w:val="bottom"/>
            <w:gridSpan w:val="2"/>
          </w:tcPr>
          <w:p>
            <w:pPr>
              <w:spacing w:after="0"/>
              <w:rPr>
                <w:sz w:val="20"/>
                <w:szCs w:val="20"/>
                <w:color w:val="auto"/>
              </w:rPr>
            </w:pPr>
            <w:r>
              <w:rPr>
                <w:rFonts w:ascii="Arial" w:cs="Arial" w:eastAsia="Arial" w:hAnsi="Arial"/>
                <w:sz w:val="18"/>
                <w:szCs w:val="18"/>
                <w:color w:val="auto"/>
                <w:w w:val="93"/>
              </w:rPr>
              <w:t>Potential dilution from the assumed exercise of stock options, non-vested stock, and the conversion of the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Debentures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3,249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11,222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8,344</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11,395</w:t>
            </w:r>
          </w:p>
        </w:tc>
      </w:tr>
      <w:tr>
        <w:trPr>
          <w:trHeight w:val="20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common and common equivalent shares outstanding (used in calculation of diluted</w:t>
            </w: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110,881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111,702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111,783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111,083</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calculation of diluted EPS for the three months and nine months ended September 30, 2007 includes an addition to net income of $448,000 and $5.1 million, respectively, to reflect the interest expense, net of related tax effects that would not have been incurred on the Debentures, if converted.</w:t>
      </w:r>
    </w:p>
    <w:p>
      <w:pPr>
        <w:spacing w:after="0" w:line="8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calculation of diluted EPS for the three and nine months ended September 30, 2006 includes an addition to net income to reflect the interest expense, net of related tax effects that would not have been incurred on the Debentures, if converted, of $2.3 million and $7.1 million,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Comprehensive income for the three months and nine months ended September 30, 2007 and September 30, 2006 consisted of the following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17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7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$44,740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$715,656</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$192,695</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2"/>
              </w:rPr>
              <w:t>$ 684,151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5,981</w:t>
            </w:r>
          </w:p>
        </w:tc>
        <w:tc>
          <w:tcPr>
            <w:tcW w:w="3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(983)</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2,077</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50,721</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714,673</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194,772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2"/>
              </w:rPr>
              <w:t>$ 682,939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2007 and December 31, 2006, accumulated other comprehensive income consisted of currency translation adjustments.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96"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Interest paid for the nine months ended September 30, 2007 and 2006 totaled approximately $107.8 million and $103 million, respectively. Interest capitalized for the nine months ended September 30, 2007 and 2006 totaled approximately $29.1 million and $23.7 million, respectively.</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Stock-based compensation related to employees dedicated to the construction of Encore and Wynn Macau that was capitalized as a part of construction in progress for the nine months ended September 30, 2007 and 2006 totaled approximately $605,000 and $1.2 million, respectively.</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the nine months ended September 30, 2007, approximately $224.1 million principal amount of the Debentures were converted into 9,744,680 shares of common stock of Wynn Resorts, Limited. Accordingly, long-term debt was reduced by approximately $224.1 million, equity was increased by approximately $218.9 million and deferred financing costs were reduced by approximately $5.2 million. During the nine months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ended September 30, 2006, approximately $25.8 million principal amount of the Debentures were converted into 1,123,428 shares of common stock of Wynn Resorts, Limited. Accordingly, long-term debt was reduced by approximately $25.8 million, equity was increased by approximately $25.5 million and deferred financing costs were reduced by approximately $357,000.</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During the nine months ended September 30, 2007 and 2006, capital expenditures excludes approximately a $52.7 million increase and a $48 million increase, respectively, in construction payables and retention.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Casino</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159,292</w:t>
            </w:r>
          </w:p>
        </w:tc>
        <w:tc>
          <w:tcPr>
            <w:tcW w:w="5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148,929</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Hotel</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22,724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17,292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9,538</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193,013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175,759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(58,811)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(35,527)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134,202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140,232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Property and Equipment, net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5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4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87"/>
              </w:rPr>
              <w:t>September 30,</w:t>
            </w:r>
          </w:p>
        </w:tc>
        <w:tc>
          <w:tcPr>
            <w:tcW w:w="960" w:type="dxa"/>
            <w:vAlign w:val="bottom"/>
            <w:gridSpan w:val="4"/>
          </w:tcPr>
          <w:p>
            <w:pPr>
              <w:ind w:left="4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615,819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603,290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w w:val="92"/>
              </w:rPr>
              <w:t>1,715,579</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1,553,447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Airplanes</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90,712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57,582</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4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842,924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788,375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67,311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67,187</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781,531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345,377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2"/>
              </w:rPr>
              <w:t>4,113,876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3,415,258</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(392,598)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(257,636)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2"/>
              </w:rPr>
              <w:t>3,721,278</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$ 3,157,622</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September 30, 2007 and December 31, 2006, construction in progress includes interest and other costs capitalized in conjunction with Encore, the expansion of Wynn Macau, and Wynn Diamond Suites.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280"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December 31,</w:t>
            </w:r>
          </w:p>
        </w:tc>
      </w:tr>
      <w:tr>
        <w:trPr>
          <w:trHeight w:val="175"/>
        </w:trPr>
        <w:tc>
          <w:tcPr>
            <w:tcW w:w="9120" w:type="dxa"/>
            <w:vAlign w:val="bottom"/>
          </w:tcPr>
          <w:p>
            <w:pPr>
              <w:spacing w:after="0"/>
              <w:rPr>
                <w:sz w:val="15"/>
                <w:szCs w:val="15"/>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r>
      <w:tr>
        <w:trPr>
          <w:trHeight w:val="210"/>
        </w:trPr>
        <w:tc>
          <w:tcPr>
            <w:tcW w:w="912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$ 1,300,000</w:t>
            </w: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$ 1,300,000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$1 billion Term Loan Facility, due June 21, 2010; interest at LIBOR plus 2.25%</w:t>
            </w:r>
          </w:p>
        </w:tc>
        <w:tc>
          <w:tcPr>
            <w:tcW w:w="860" w:type="dxa"/>
            <w:vAlign w:val="bottom"/>
          </w:tcPr>
          <w:p>
            <w:pPr>
              <w:jc w:val="right"/>
              <w:spacing w:after="0"/>
              <w:rPr>
                <w:sz w:val="20"/>
                <w:szCs w:val="20"/>
                <w:color w:val="auto"/>
              </w:rPr>
            </w:pPr>
            <w:r>
              <w:rPr>
                <w:rFonts w:ascii="Arial" w:cs="Arial" w:eastAsia="Arial" w:hAnsi="Arial"/>
                <w:sz w:val="18"/>
                <w:szCs w:val="18"/>
                <w:color w:val="auto"/>
              </w:rPr>
              <w:t>150,000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6% Convertible Subordinated Debentures, due July 15, 2015</w:t>
            </w:r>
          </w:p>
        </w:tc>
        <w:tc>
          <w:tcPr>
            <w:tcW w:w="1160" w:type="dxa"/>
            <w:vAlign w:val="bottom"/>
            <w:gridSpan w:val="2"/>
            <w:shd w:val="clear" w:color="auto" w:fill="CCEEFF"/>
          </w:tcPr>
          <w:p>
            <w:pPr>
              <w:jc w:val="center"/>
              <w:ind w:left="135"/>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224,128</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$900 million Revolving Credit Facility; due August 15, 2011; interest at LIBOR plus 1.625%</w:t>
            </w:r>
          </w:p>
        </w:tc>
        <w:tc>
          <w:tcPr>
            <w:tcW w:w="860" w:type="dxa"/>
            <w:vAlign w:val="bottom"/>
          </w:tcPr>
          <w:p>
            <w:pPr>
              <w:jc w:val="right"/>
              <w:spacing w:after="0"/>
              <w:rPr>
                <w:sz w:val="20"/>
                <w:szCs w:val="20"/>
                <w:color w:val="auto"/>
              </w:rPr>
            </w:pPr>
            <w:r>
              <w:rPr>
                <w:rFonts w:ascii="Arial" w:cs="Arial" w:eastAsia="Arial" w:hAnsi="Arial"/>
                <w:sz w:val="18"/>
                <w:szCs w:val="18"/>
                <w:color w:val="auto"/>
              </w:rPr>
              <w:t>91,476</w:t>
            </w:r>
          </w:p>
        </w:tc>
        <w:tc>
          <w:tcPr>
            <w:tcW w:w="3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88,892</w:t>
            </w:r>
          </w:p>
        </w:tc>
      </w:tr>
      <w:tr>
        <w:trPr>
          <w:trHeight w:val="20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w w:val="97"/>
              </w:rPr>
              <w:t>$225 million Term Loan Facility; $112.5 million due September 30, 2012 with remaining $112.5 million due August 15,</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 interest at LIBOR plus 1.875%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225,000</w:t>
            </w:r>
          </w:p>
        </w:tc>
      </w:tr>
      <w:tr>
        <w:trPr>
          <w:trHeight w:val="208"/>
        </w:trPr>
        <w:tc>
          <w:tcPr>
            <w:tcW w:w="9120" w:type="dxa"/>
            <w:vAlign w:val="bottom"/>
          </w:tcPr>
          <w:p>
            <w:pPr>
              <w:spacing w:after="0"/>
              <w:rPr>
                <w:sz w:val="20"/>
                <w:szCs w:val="20"/>
                <w:color w:val="auto"/>
              </w:rPr>
            </w:pPr>
            <w:r>
              <w:rPr>
                <w:rFonts w:ascii="Arial" w:cs="Arial" w:eastAsia="Arial" w:hAnsi="Arial"/>
                <w:sz w:val="18"/>
                <w:szCs w:val="18"/>
                <w:color w:val="auto"/>
                <w:w w:val="94"/>
              </w:rPr>
              <w:t>$550 million Macau Senior Term Loan Facility (as amended June 2007); due June 27, 2014; interest at LIBOR or HIBOR</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9120" w:type="dxa"/>
            <w:vAlign w:val="bottom"/>
          </w:tcPr>
          <w:p>
            <w:pPr>
              <w:ind w:left="220"/>
              <w:spacing w:after="0"/>
              <w:rPr>
                <w:sz w:val="20"/>
                <w:szCs w:val="20"/>
                <w:color w:val="auto"/>
              </w:rPr>
            </w:pPr>
            <w:r>
              <w:rPr>
                <w:rFonts w:ascii="Arial" w:cs="Arial" w:eastAsia="Arial" w:hAnsi="Arial"/>
                <w:sz w:val="18"/>
                <w:szCs w:val="18"/>
                <w:color w:val="auto"/>
              </w:rPr>
              <w:t>plus 1.75%</w:t>
            </w:r>
          </w:p>
        </w:tc>
        <w:tc>
          <w:tcPr>
            <w:tcW w:w="860" w:type="dxa"/>
            <w:vAlign w:val="bottom"/>
          </w:tcPr>
          <w:p>
            <w:pPr>
              <w:jc w:val="right"/>
              <w:spacing w:after="0"/>
              <w:rPr>
                <w:sz w:val="20"/>
                <w:szCs w:val="20"/>
                <w:color w:val="auto"/>
              </w:rPr>
            </w:pPr>
            <w:r>
              <w:rPr>
                <w:rFonts w:ascii="Arial" w:cs="Arial" w:eastAsia="Arial" w:hAnsi="Arial"/>
                <w:sz w:val="18"/>
                <w:szCs w:val="18"/>
                <w:color w:val="auto"/>
              </w:rPr>
              <w:t>552,237</w:t>
            </w:r>
          </w:p>
        </w:tc>
        <w:tc>
          <w:tcPr>
            <w:tcW w:w="30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496,729</w:t>
            </w: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$44.75 million Note Payable; due March 31, 2010; interest at LIBOR plus 2.375%</w:t>
            </w:r>
          </w:p>
        </w:tc>
        <w:tc>
          <w:tcPr>
            <w:tcW w:w="1160" w:type="dxa"/>
            <w:vAlign w:val="bottom"/>
            <w:gridSpan w:val="2"/>
            <w:shd w:val="clear" w:color="auto" w:fill="CCEEFF"/>
          </w:tcPr>
          <w:p>
            <w:pPr>
              <w:jc w:val="center"/>
              <w:ind w:left="135"/>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38,510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860" w:type="dxa"/>
            <w:vAlign w:val="bottom"/>
          </w:tcPr>
          <w:p>
            <w:pPr>
              <w:jc w:val="right"/>
              <w:spacing w:after="0"/>
              <w:rPr>
                <w:sz w:val="20"/>
                <w:szCs w:val="20"/>
                <w:color w:val="auto"/>
              </w:rPr>
            </w:pPr>
            <w:r>
              <w:rPr>
                <w:rFonts w:ascii="Arial" w:cs="Arial" w:eastAsia="Arial" w:hAnsi="Arial"/>
                <w:sz w:val="18"/>
                <w:szCs w:val="18"/>
                <w:color w:val="auto"/>
              </w:rPr>
              <w:t>41,300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$32.5 million Term Loan; due August 10, 2012; interest at LIBOR plus 1.15%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Note Payable—Aircraft; interest at 5.67%</w:t>
            </w:r>
          </w:p>
        </w:tc>
        <w:tc>
          <w:tcPr>
            <w:tcW w:w="860" w:type="dxa"/>
            <w:vAlign w:val="bottom"/>
          </w:tcPr>
          <w:p>
            <w:pPr>
              <w:jc w:val="right"/>
              <w:spacing w:after="0"/>
              <w:rPr>
                <w:sz w:val="20"/>
                <w:szCs w:val="20"/>
                <w:color w:val="auto"/>
              </w:rPr>
            </w:pPr>
            <w:r>
              <w:rPr>
                <w:rFonts w:ascii="Arial" w:cs="Arial" w:eastAsia="Arial" w:hAnsi="Arial"/>
                <w:sz w:val="18"/>
                <w:szCs w:val="18"/>
                <w:color w:val="auto"/>
              </w:rPr>
              <w:t>12,713</w:t>
            </w:r>
          </w:p>
        </w:tc>
        <w:tc>
          <w:tcPr>
            <w:tcW w:w="3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13,274</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r>
      <w:tr>
        <w:trPr>
          <w:trHeight w:val="221"/>
        </w:trPr>
        <w:tc>
          <w:tcPr>
            <w:tcW w:w="9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2,404,764</w:t>
            </w:r>
          </w:p>
        </w:tc>
        <w:tc>
          <w:tcPr>
            <w:tcW w:w="30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2,386,652</w:t>
            </w: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160" w:type="dxa"/>
            <w:vAlign w:val="bottom"/>
            <w:gridSpan w:val="2"/>
            <w:shd w:val="clear" w:color="auto" w:fill="CCEEFF"/>
          </w:tcPr>
          <w:p>
            <w:pPr>
              <w:jc w:val="center"/>
              <w:ind w:left="95"/>
              <w:spacing w:after="0"/>
              <w:rPr>
                <w:sz w:val="20"/>
                <w:szCs w:val="20"/>
                <w:color w:val="auto"/>
              </w:rPr>
            </w:pPr>
            <w:r>
              <w:rPr>
                <w:rFonts w:ascii="Arial" w:cs="Arial" w:eastAsia="Arial" w:hAnsi="Arial"/>
                <w:sz w:val="18"/>
                <w:szCs w:val="18"/>
                <w:color w:val="auto"/>
                <w:w w:val="87"/>
              </w:rPr>
              <w:t>(4,059)</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(6,115)</w:t>
            </w:r>
          </w:p>
        </w:tc>
      </w:tr>
      <w:tr>
        <w:trPr>
          <w:trHeight w:val="222"/>
        </w:trPr>
        <w:tc>
          <w:tcPr>
            <w:tcW w:w="91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$ 2,400,705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$ 2,380,537</w:t>
            </w:r>
          </w:p>
        </w:tc>
        <w:tc>
          <w:tcPr>
            <w:tcW w:w="8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 Billion Term Loan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June 21, 2007, the Company entered into a $1 billion term loan facility (“Term Loan”). Borrowings under the Term Loan are available in the form of a delayed-draw term loan facility available through December 31, 2007, with the option to increase the facility to $1.25 billion if certain conditions are met. The Term Loan will mature and be payable on June 21, 2010. The Company may use the Term Loan to fund (a) the Company’s equity repurchase program announced on June 7, 2007, (b) up to $150 million in swing line (overnight) borrowings and (c) up to $350 million for general corporate purposes.</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Loans under the Term Loan accrue interest, at the election of the Company, at either the London Interbank Offer Rate (“LIBOR”) or a Base Rate, plus a borrowing margin as described below. Interest on LIBOR loans are payable at the end of the applicable interest period in the case of interest periods of one, two or three months, and every three months in the case of interest periods of nine months or longer. Base Rate loans bear interest at (a) the greater of (i) the rate most recently announced by Deutsche Bank as its “prime rate,” or (ii) the Federal Funds Rate plus 1/2 of 1% per annum; plus (b) a borrowing margin as described below. Interest on Base Rate loans are payable quarterly in arrears. The borrowing margin is 2.25% for LIBOR loans and 1% for Base Rate loans, if Wynn Resorts, Limited and Wynn Macau’s combined net liquidity is equal to or greater than $400 million and 2.50% for LIBOR loans and 1.25% for Base Rate loans, if such net liquidity is less than $400 million. The Company pays 112.5 bps per annum of the actual daily amount by which the actual Term Loan commitment exceeds the outstanding amount of the Term Loan.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Redemption of 6% Convertible Subordinated Debentures due July 15, 2015</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June 15, 2007, the Company announced that it had called for redemption on July 20, 2007, all of the outstanding principal amount of its 6% Convertible Subordinated Debentures due 2015. Prior to redemption, in July 2007, all of the holders converted their Debentures into shares of the Company’s common stock at a conversion price of $23 per share (a conversion rate of approximately 43.4782 shares per $1,000 principal amount of Debentures). Cash was paid in lieu of fractional shares. As a result, in July 2007 $224.1 million principal amount of the debentures were converted into 9,744,680 shares of the Company’s common stock. Accordingly, in July 2007 long-term debt was reduced by $224.1 million, equity was increased by $218.9 million, and deferred financing costs were reduced by approximately $5.2 million.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90" w:lineRule="exact"/>
        <w:rPr>
          <w:sz w:val="20"/>
          <w:szCs w:val="20"/>
          <w:color w:val="auto"/>
        </w:rPr>
      </w:pPr>
    </w:p>
    <w:p>
      <w:pPr>
        <w:ind w:firstLine="456"/>
        <w:spacing w:after="0" w:line="271" w:lineRule="auto"/>
        <w:rPr>
          <w:sz w:val="20"/>
          <w:szCs w:val="20"/>
          <w:color w:val="auto"/>
        </w:rPr>
      </w:pPr>
      <w:r>
        <w:rPr>
          <w:rFonts w:ascii="Arial" w:cs="Arial" w:eastAsia="Arial" w:hAnsi="Arial"/>
          <w:sz w:val="16"/>
          <w:szCs w:val="16"/>
          <w:color w:val="auto"/>
        </w:rPr>
        <w:t>In April 2007, the Company amended the Wynn Las Vegas $900 million Revolving Credit Facility and its $225 million Term Loan Facility (together the “Wynn Las Vegas Credit Facilities,” or the “Credit Facilities”) to: (a) have the Final Completion as defined, be deemed satisfied for Wynn Las Vegas with the resulting release of (i) all amounts in excess of $30 million from the Completion Guaranty Deposit Account, ($24.6 million), and (ii) the balance of funds in the Project Liquidity Reserve Account ($32.8 million), (b) increase the permitted expenditures for Encore from $300 million to $500 million prior to the execution of a guaranteed maximum price construction contract, and (c) permit the issuance of up to $500 million of unsecured debt as and when permitted under the indenture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governing the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 (the “First Mortgage Notes”).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October 2007, the Company amended the Wynn Las Vegas Credit Facilities to (a) permit the issuance of up to $500 million of secured indebtedness,</w:t>
      </w:r>
    </w:p>
    <w:p>
      <w:pPr>
        <w:spacing w:after="0" w:line="38" w:lineRule="exact"/>
        <w:rPr>
          <w:sz w:val="20"/>
          <w:szCs w:val="20"/>
          <w:color w:val="auto"/>
        </w:rPr>
      </w:pPr>
    </w:p>
    <w:p>
      <w:pPr>
        <w:ind w:right="80" w:firstLine="8"/>
        <w:spacing w:after="0" w:line="254"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remove certain language related to the inter-company loan made by Wynn Las Vegas to Wynn Resorts (Macau) S.A. and (c) amend certain provisions governing Wynn Las Vegas’ insurance related obligations. Also in October 2007, pursuant to the Wynn Las Vegas Credit Facilities, Wynn Las Vegas entered into a pre-agreed upon form of Amended and Restated Master Disbursement Agreement with Deutsche Bank Trust Company Americas as Bank Agent and Disbursement Agent.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Credit Facilities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June 27, 2007, Wynn Macau amended its credit facilities dated September 14, 2005 and entered into related amendments and agreements with a syndicate of lenders. The amended agreements took effect on June 29, 2007 and expand availability under Wynn Macau’s existing senior bank facility from $764 million to $1.550 billion, including a $550 million equivalent in fully-funded senior term loan facilities, and a $1 billion senior revolving credit facility. Wynn Macau also has the ability to upsize the total facilities by an additional $50 million pursuant to the terms and provisions of the agreements. All of the senior credit facilities described above are collectively referred to herein as the “Senior Secured Credit Facilities”.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 loan facilities mature in June 2014, and the revolving credit facility matures in June 2012. The principal amount of the term loans is required to be repaid in quarterly installments, commencing in September 2011. Borrowings under the Senior Secured Credit Facilities bear interest at LIBOR or the Hong Kong Interbank Offer Rate (“HIBOR”) plus a margin of 1.75%.</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part of the amendment to the Macau Senior Secured Credit Facilities, Wynn Resorts, Limited’s remaining support obligations to Wynn Macau and the $30 million in contingent equity previously provided by the Company has been released.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$44.75 Million Note Payable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30, 2007, World Travel, LLC, a subsidiary of Wynn Las Vegas, refinanced the $44.75 million note payable. The new loan has a principal balance of $42 million and is due April 1, 2017. The loan is guaranteed by Wynn Las Vegas, LLC and secured by a first priority security interest in one of the Company’s aircraft. Principal and interest are due quarterly with a balloon payment of $28 million due at maturity. Interest is calculated at 90-day LIBOR plus 125 basis points. In connection with this transaction, the Company incurred a loss from extinguishment of debt of $157,000 related to the write-off of unamortized debt issue costs associated with the original loan.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$32.5 Million Term Loan for Aircraft</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May 10, 2007, World Travel G-IV, a subsidiary of Wynn Resorts, entered into a $32.5 million term loan credit facility to finance the purchase of an aircraft. The loan bears interest at LIBOR plus 1.15% and will mature on August 10, 2012. Principal and interest payments are made quarterly beginning July 1, 2007. Principal payments are approximately $542,000 with a balloon payment of $21.1 million due at maturity.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2007, the Company was in compliance with all covenants governing the Company’s debt facilities.</w:t>
      </w:r>
    </w:p>
    <w:p>
      <w:pPr>
        <w:spacing w:after="0" w:line="246" w:lineRule="exact"/>
        <w:rPr>
          <w:sz w:val="20"/>
          <w:szCs w:val="20"/>
          <w:color w:val="auto"/>
        </w:rPr>
      </w:pPr>
    </w:p>
    <w:p>
      <w:pPr>
        <w:jc w:val="center"/>
        <w:ind w:right="9200"/>
        <w:spacing w:after="0"/>
        <w:rPr>
          <w:sz w:val="20"/>
          <w:szCs w:val="20"/>
          <w:color w:val="auto"/>
        </w:rPr>
      </w:pPr>
      <w:r>
        <w:rPr>
          <w:rFonts w:ascii="Arial" w:cs="Arial" w:eastAsia="Arial" w:hAnsi="Arial"/>
          <w:sz w:val="15"/>
          <w:szCs w:val="15"/>
          <w:b w:val="1"/>
          <w:bCs w:val="1"/>
          <w:color w:val="auto"/>
        </w:rPr>
        <w:t>9. Related Party Transactions</w:t>
      </w:r>
    </w:p>
    <w:p>
      <w:pPr>
        <w:spacing w:after="0" w:line="131" w:lineRule="exact"/>
        <w:rPr>
          <w:sz w:val="20"/>
          <w:szCs w:val="20"/>
          <w:color w:val="auto"/>
        </w:rPr>
      </w:pPr>
    </w:p>
    <w:p>
      <w:pPr>
        <w:jc w:val="center"/>
        <w:ind w:right="9220"/>
        <w:spacing w:after="0"/>
        <w:rPr>
          <w:sz w:val="20"/>
          <w:szCs w:val="20"/>
          <w:color w:val="auto"/>
        </w:rPr>
      </w:pPr>
      <w:r>
        <w:rPr>
          <w:rFonts w:ascii="Arial" w:cs="Arial" w:eastAsia="Arial" w:hAnsi="Arial"/>
          <w:sz w:val="18"/>
          <w:szCs w:val="18"/>
          <w:i w:val="1"/>
          <w:iCs w:val="1"/>
          <w:color w:val="auto"/>
        </w:rPr>
        <w:t>Amounts Due to Officers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of Directors and Chief Executive Officer (“Mr. Wynn”), and certain other officers of the Company, including household employees, construction work and other personal services. Mr. Wynn and other officers have deposits with the Company to prepay any such items, which are replenished on an ongoing basis as needed. As of September 30, 2007 and December 31, 2006, Mr. Wynn and the other officers had a credit balance with the Company of approximately $326,000 and $315,000,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Substantially all services for, and maintenance of, the suite are included in the rental.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Through May 6, 2004, the Company operated an art gallery at the former Desert Inn displaying The Wynn Collection, a collection of fine art owned by Mr. and Mrs. Wynn. The art gallery in the Desert Inn was closed on May 6, 2004, and a new art gallery featuring The Wynn Collection was displayed from the opening of Wynn Las Vegas through February 2006.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Property charges and other for the three months ended September 30, 2007 and 2006 were $25.1 million and $5.7 million, respectively. Property charges and other for the nine months ended September 30, 2007 and 2006 were $51.4 million and $13.1 million, respectively. Property charges generally include costs related to the retirement of assets for remodels and asset abandonments. Property charges and other for the nine months ended September 30, 2007 include the following charges at Wynn Macau: (a) a $10.2 million charge for the abandonment of costs related to portions of the main kitchen, warehouse, and restaurants to enable the main casino to be connected with the expansion; (b) a $10 million charge related to the abandonment of a parking garage to make way for the Wynn Diamond Suites expansion; and (c) a $22.1 million charge related to significant casino and retail reconfigurations in the expansion. The remaining property charges were related to the renovations to portions of the Le Rêve Theatre and abandonment of a marquee sign at Wynn Las Vegas, and the remodeling of certain areas at Wynn Macau.</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Interest Rate Swaps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relating to two of its debt facilities. The Company accounts for its interest rate swaps in accordance with SFAS No. 133, “Accounting for Derivative Instruments and Hedging Activities”, and its related interpretations. These interest rate swaps essentially fix the interest rate at the percentages noted below, however, changes in the fair value of the interest rate swaps for each reporting period have been recorded in the increase (or decrease) in swap fair value as a component of other income (expense), because the interest rate swaps do not qualify for hedge accounting.</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table represents the historical asset (liability) fair values (reflected in deposits and other assets or in other long-term liabilities as appropriate) as of September 30, 2007 and December 31, 2006. 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Asset / (Liability) Fair Value at: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(amounts 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jc w:val="center"/>
              <w:ind w:right="252"/>
              <w:spacing w:after="0"/>
              <w:rPr>
                <w:sz w:val="20"/>
                <w:szCs w:val="20"/>
                <w:color w:val="auto"/>
              </w:rPr>
            </w:pPr>
            <w:r>
              <w:rPr>
                <w:rFonts w:ascii="Arial" w:cs="Arial" w:eastAsia="Arial" w:hAnsi="Arial"/>
                <w:sz w:val="14"/>
                <w:szCs w:val="14"/>
                <w:b w:val="1"/>
                <w:bCs w:val="1"/>
                <w:color w:val="auto"/>
                <w:w w:val="87"/>
              </w:rPr>
              <w:t>Wynn Las</w:t>
            </w: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060" w:type="dxa"/>
            <w:vAlign w:val="bottom"/>
          </w:tcPr>
          <w:p>
            <w:pPr>
              <w:jc w:val="center"/>
              <w:ind w:right="252"/>
              <w:spacing w:after="0" w:line="149" w:lineRule="exact"/>
              <w:rPr>
                <w:sz w:val="20"/>
                <w:szCs w:val="20"/>
                <w:color w:val="auto"/>
              </w:rPr>
            </w:pPr>
            <w:r>
              <w:rPr>
                <w:rFonts w:ascii="Arial" w:cs="Arial" w:eastAsia="Arial" w:hAnsi="Arial"/>
                <w:sz w:val="14"/>
                <w:szCs w:val="14"/>
                <w:b w:val="1"/>
                <w:bCs w:val="1"/>
                <w:color w:val="auto"/>
                <w:w w:val="82"/>
              </w:rPr>
              <w:t>Vegas</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Wynn Macau</w:t>
            </w:r>
          </w:p>
        </w:tc>
        <w:tc>
          <w:tcPr>
            <w:tcW w:w="1020" w:type="dxa"/>
            <w:vAlign w:val="bottom"/>
          </w:tcPr>
          <w:p>
            <w:pPr>
              <w:spacing w:after="0"/>
              <w:rPr>
                <w:sz w:val="12"/>
                <w:szCs w:val="12"/>
                <w:color w:val="auto"/>
              </w:rPr>
            </w:pPr>
          </w:p>
        </w:tc>
      </w:tr>
      <w:tr>
        <w:trPr>
          <w:trHeight w:val="149"/>
        </w:trPr>
        <w:tc>
          <w:tcPr>
            <w:tcW w:w="1060" w:type="dxa"/>
            <w:vAlign w:val="bottom"/>
          </w:tcPr>
          <w:p>
            <w:pPr>
              <w:jc w:val="center"/>
              <w:ind w:right="252"/>
              <w:spacing w:after="0" w:line="149" w:lineRule="exact"/>
              <w:rPr>
                <w:sz w:val="20"/>
                <w:szCs w:val="20"/>
                <w:color w:val="auto"/>
              </w:rPr>
            </w:pPr>
            <w:r>
              <w:rPr>
                <w:rFonts w:ascii="Arial" w:cs="Arial" w:eastAsia="Arial" w:hAnsi="Arial"/>
                <w:sz w:val="14"/>
                <w:szCs w:val="14"/>
                <w:b w:val="1"/>
                <w:bCs w:val="1"/>
                <w:color w:val="auto"/>
                <w:w w:val="87"/>
              </w:rPr>
              <w:t>Interest Rate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Interest Rate</w:t>
            </w:r>
          </w:p>
        </w:tc>
        <w:tc>
          <w:tcPr>
            <w:tcW w:w="1020" w:type="dxa"/>
            <w:vAlign w:val="bottom"/>
          </w:tcPr>
          <w:p>
            <w:pPr>
              <w:ind w:left="360"/>
              <w:spacing w:after="0" w:line="149" w:lineRule="exact"/>
              <w:rPr>
                <w:sz w:val="20"/>
                <w:szCs w:val="20"/>
                <w:color w:val="auto"/>
              </w:rPr>
            </w:pPr>
            <w:r>
              <w:rPr>
                <w:rFonts w:ascii="Arial" w:cs="Arial" w:eastAsia="Arial" w:hAnsi="Arial"/>
                <w:sz w:val="14"/>
                <w:szCs w:val="14"/>
                <w:b w:val="1"/>
                <w:bCs w:val="1"/>
                <w:color w:val="auto"/>
                <w:w w:val="88"/>
              </w:rPr>
              <w:t>All Interest</w:t>
            </w:r>
          </w:p>
        </w:tc>
      </w:tr>
      <w:tr>
        <w:trPr>
          <w:trHeight w:val="148"/>
        </w:trPr>
        <w:tc>
          <w:tcPr>
            <w:tcW w:w="1060" w:type="dxa"/>
            <w:vAlign w:val="bottom"/>
          </w:tcPr>
          <w:p>
            <w:pPr>
              <w:jc w:val="center"/>
              <w:ind w:right="232"/>
              <w:spacing w:after="0" w:line="148" w:lineRule="exact"/>
              <w:rPr>
                <w:sz w:val="20"/>
                <w:szCs w:val="20"/>
                <w:color w:val="auto"/>
              </w:rPr>
            </w:pPr>
            <w:r>
              <w:rPr>
                <w:rFonts w:ascii="Arial" w:cs="Arial" w:eastAsia="Arial" w:hAnsi="Arial"/>
                <w:sz w:val="14"/>
                <w:szCs w:val="14"/>
                <w:b w:val="1"/>
                <w:bCs w:val="1"/>
                <w:color w:val="auto"/>
                <w:w w:val="87"/>
              </w:rPr>
              <w:t>Swap</w:t>
            </w:r>
          </w:p>
        </w:tc>
        <w:tc>
          <w:tcPr>
            <w:tcW w:w="1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Swaps</w:t>
            </w:r>
          </w:p>
        </w:tc>
        <w:tc>
          <w:tcPr>
            <w:tcW w:w="1020" w:type="dxa"/>
            <w:vAlign w:val="bottom"/>
          </w:tcPr>
          <w:p>
            <w:pPr>
              <w:ind w:left="340"/>
              <w:spacing w:after="0" w:line="148" w:lineRule="exact"/>
              <w:rPr>
                <w:sz w:val="20"/>
                <w:szCs w:val="20"/>
                <w:color w:val="auto"/>
              </w:rPr>
            </w:pPr>
            <w:r>
              <w:rPr>
                <w:rFonts w:ascii="Arial" w:cs="Arial" w:eastAsia="Arial" w:hAnsi="Arial"/>
                <w:sz w:val="14"/>
                <w:szCs w:val="14"/>
                <w:b w:val="1"/>
                <w:bCs w:val="1"/>
                <w:color w:val="auto"/>
                <w:w w:val="83"/>
              </w:rPr>
              <w:t>Rate Swaps</w:t>
            </w:r>
          </w:p>
        </w:tc>
      </w:tr>
    </w:tbl>
    <w:p>
      <w:pPr>
        <w:spacing w:after="0" w:line="20" w:lineRule="exact"/>
        <w:rPr>
          <w:sz w:val="20"/>
          <w:szCs w:val="20"/>
          <w:color w:val="auto"/>
        </w:rPr>
      </w:pPr>
    </w:p>
    <w:p>
      <w:pPr>
        <w:sectPr>
          <w:pgSz w:w="11900" w:h="16838" w:orient="portrait"/>
          <w:cols w:equalWidth="0" w:num="2">
            <w:col w:w="7180" w:space="720"/>
            <w:col w:w="3520"/>
          </w:cols>
          <w:pgMar w:left="240" w:top="280"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52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03"/>
        </w:trPr>
        <w:tc>
          <w:tcPr>
            <w:tcW w:w="35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September 30, 2007</w:t>
            </w:r>
          </w:p>
        </w:tc>
        <w:tc>
          <w:tcPr>
            <w:tcW w:w="37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2,004</w:t>
            </w:r>
          </w:p>
        </w:tc>
        <w:tc>
          <w:tcPr>
            <w:tcW w:w="5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(1,030)</w:t>
            </w:r>
          </w:p>
        </w:tc>
        <w:tc>
          <w:tcPr>
            <w:tcW w:w="5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974</w:t>
            </w: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December 31, 2006</w:t>
            </w:r>
          </w:p>
        </w:tc>
        <w:tc>
          <w:tcPr>
            <w:tcW w:w="4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4,789</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(1,467)</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3,322</w:t>
            </w:r>
          </w:p>
        </w:tc>
      </w:tr>
      <w:tr>
        <w:trPr>
          <w:trHeight w:val="356"/>
        </w:trPr>
        <w:tc>
          <w:tcPr>
            <w:tcW w:w="3520" w:type="dxa"/>
            <w:vAlign w:val="bottom"/>
          </w:tcPr>
          <w:p>
            <w:pPr>
              <w:spacing w:after="0"/>
              <w:rPr>
                <w:sz w:val="24"/>
                <w:szCs w:val="24"/>
                <w:color w:val="auto"/>
              </w:rPr>
            </w:pPr>
          </w:p>
        </w:tc>
        <w:tc>
          <w:tcPr>
            <w:tcW w:w="3760" w:type="dxa"/>
            <w:vAlign w:val="bottom"/>
          </w:tcPr>
          <w:p>
            <w:pPr>
              <w:jc w:val="right"/>
              <w:ind w:right="1392"/>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type w:val="continuous"/>
        </w:sectPr>
      </w:pPr>
    </w:p>
    <w:bookmarkStart w:id="14" w:name="page15"/>
    <w:bookmarkEnd w:id="14"/>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Swap</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Company currently has one $200 million notional amount interest rate swap to essentially fix the interest rate on $200 million of the $225 million of Term Loan borrowings. Pursuant to the terms of this interest rate swap, the Company pays a fixed rate of 3.793% on the $200 million notional amount and receives payments based on LIBOR. This swap fixes the interest rate at approximately 5.7% on $200 million of the outstanding $225 million term loan. This swap terminates in December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entered into two interest rate swaps to hedge a portion of the underlying interest rate risk on future borrowings under Wynn Macau S.A.’s senior term loan facility. Under the first swap agreement, the Company pays a fixed interest rate of 4.84% on borrowings estimated to be incurred under the senior term loan facility up to a maximum of approximately $198.2 million, in exchange for receipts on the same amounts at a variable interest rate based on the applicable LIBOR at the time of payment. Under the second swap agreement, the Company pays a fixed interest rate of 4.77% on borrowings estimated to be incurred under the senior term loan facility up to a maximum of approximately HK$1.1 billion (approximately US$141.1 million), in exchange for receipts on the same amounts at a variable interest rate based on the applicable HIBOR at the time of payment. Both swap agreements terminate on November 28, 2008.</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These interest rate swaps are expected to be highly effective in fixing the interest rate on approximately 100% of the US dollar and approximately 35% of the Hong Kong dollar borrowings under the senior bank facility at approximately 6.59% and 6.52%,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adopted SFAS No. 123R, “Share Based Payment” effective January 1, 2006. The total compensation cost relating both to stock options and nonvested stock is allocated as follows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2007</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Rooms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Food &amp; beverage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3,475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3,217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Pre-opening</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1,468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expense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5,192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6,232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14,533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costs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5,389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6,360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15,138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15,224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 Repurchase Program</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On June 7, 2007, the Board of Directors of Wynn Resorts authorized an equity repurchase program of up to $1.2 billion which may include purchases of both its common stock and its Debentures. The repurchase program may include repurchases from time to time through open market purchases or negotiated transactions, depending upon market conditions. As of September 30, 2007, the Company had repurchased 1,889,321 shares of the Company’s common stock through open market purchases for a net cost of $179.3 million, at an average cost of $94.89 per share.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Encore Construction and Development. </w:t>
      </w:r>
      <w:r>
        <w:rPr>
          <w:rFonts w:ascii="Arial" w:cs="Arial" w:eastAsia="Arial" w:hAnsi="Arial"/>
          <w:sz w:val="16"/>
          <w:szCs w:val="16"/>
          <w:color w:val="auto"/>
        </w:rPr>
        <w:t>Encore’s current design includes a 2,034 all-suite hotel tower fully integrated with Wynn Las Vegas, as well as an</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72,000 square foot casino, additional convention and meeting space, as well as restaurants, a nightclub, swimming pools, a spa and salon and retail outlets. The Company commenced construction of Encore on April 28, 2006 and expects to open Encore to the public by early 2009.</w:t>
      </w:r>
    </w:p>
    <w:p>
      <w:pPr>
        <w:spacing w:after="0" w:line="10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project budget for Encore is approximately $2.2 billion, consisting of approximately $2.1 billion for Encore and approximately $100 million for an employee parking garage on the Koval property, an associated pedestrian bridge and costs incurred in connection with the theatre remodeling and production of “Monty Python’s Spamalot” at Wynn Las Vegas. The project is being funded from the Company’s existing Credit Facilities, operating cash flow from Wynn Las Vegas and proceeds from a $400 million addition to the Wynn Las Vegas First Mortgage Notes that was completed in November 2007 (See Note 17). To the extent additional funds are required, the Company will provide these amounts with additional debt and equity contributions by Wynn Resorts or additional indebtedness to be incurred by Wynn Las Vegas.</w:t>
      </w:r>
    </w:p>
    <w:p>
      <w:pPr>
        <w:spacing w:after="0" w:line="144"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On February 27, 2007, the Company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June 2007, the Company and Tutor executed the first amendment to the Contract which set the guaranteed maximum price for work under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w:t>
      </w:r>
    </w:p>
    <w:p>
      <w:pPr>
        <w:spacing w:after="0" w:line="2" w:lineRule="exact"/>
        <w:rPr>
          <w:sz w:val="20"/>
          <w:szCs w:val="20"/>
          <w:color w:val="auto"/>
        </w:rPr>
      </w:pPr>
    </w:p>
    <w:p>
      <w:pPr>
        <w:ind w:right="180" w:firstLine="8"/>
        <w:spacing w:after="0" w:line="255"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Trust and Tutor agreed that during the term of the Contract, Tutor will maintain (i) net worth of at least $100 million, and (ii) liquid assets of at least $50 million. Through September 30, 2007, the Company incurred approximately $775.8 million of project costs related to the development and construction of Encore and related capital improvements.</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Completion Guarantee and Liquidity Reserve. </w:t>
      </w:r>
      <w:r>
        <w:rPr>
          <w:rFonts w:ascii="Arial" w:cs="Arial" w:eastAsia="Arial" w:hAnsi="Arial"/>
          <w:sz w:val="18"/>
          <w:szCs w:val="18"/>
          <w:color w:val="auto"/>
        </w:rPr>
        <w:t>As part of the Wynn Las Vegas financing, the Company contributed $50 million of the net proceeds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public offering of Wynn Resorts’ common stock to Wynn Completion Guarantor, LLC, a special purpose subsidiary of Wynn Las Vegas, LLC formed in October 2002 and deposited those funds into a completion guarantee deposit account to secure completion of Wynn Las Vegas. As referenced in Note 8, in April 2007, all amounts in excess of $30 million were released as a result of the April 2007 amendment to the Credit Facilities. The remaining $30 million is retained as Encore’s completion guarantee.</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also deposited $30 million from the net proceeds of the initial public offering of the Company’s common stock into a liquidity reserve account to secure the completion and opening of Wynn Las Vegas. All funds in this account were released as a result of the April 2007 amendment to the Credit Facilities.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released funds from the completion guarantee and the liquidity reserve are expected to be applied to construction costs to be incurred in connection with Encore.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Construction and Development. </w:t>
      </w:r>
      <w:r>
        <w:rPr>
          <w:rFonts w:ascii="Arial" w:cs="Arial" w:eastAsia="Arial" w:hAnsi="Arial"/>
          <w:sz w:val="18"/>
          <w:szCs w:val="18"/>
          <w:color w:val="auto"/>
        </w:rPr>
        <w:t>The Company began construction on Wynn Macau in June 2004, under a guaranteed maximum price construction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Construction Contract”) between Wynn Macau, S.A. and Leighton Contractors (Asia) Limited, China State Construction Engineering (Hong Kong) Limited and China Construction Engineering (Macau) Company Limited, acting together as general contractor. In September 2005, the Construction Contract was amended and restated to include the expansion of Wynn Macau. Wynn Macau</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6" w:name="page17"/>
    <w:bookmarkEnd w:id="16"/>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opened to the public on September 6, 2006. Construction and development on an expansion of Wynn Macau which includes additional gaming space, a dramatic front feature attraction, a theater showroom and additional food, beverage and retail amenities is progressing as planned. In September 2007, Wynn Macau opened approximately 20,000 square feet of additional gaming space and one restaurant in this expansion. The remaining portion of the expansion is expected to open by the first quarter of 2008.</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Under the amended and restated Construction Contract, the general contractor is responsible for both the construction and design of Wynn Macau and the expansion (other than certain limited portions to be designed by an affiliate of Wynn Macau, S.A.) based on an existing scope of work and design specifications provided by Wynn Macau, S.A. The performance of the contractors is backed by a full completion guarantee given jointly and severally by Leighton Holdings Limited and China Overseas Holdings Limited, the parent companies of the general contractor.</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addition, the Company continues to develop the plans for a further expansion of Wynn Macau, the Wynn Diamond Suites, which was first announced in November 2006. This further expansion will add a fully-integrated resort hotel named “Wynn Diamond Suites” to Wynn Macau, with approximately 400 luxury suites and six villas along with restaurants, additional retail space and additional VIP gaming space. In July 2007, Wynn Resorts (Macau), S.A. issued a notice to proceed to the general contractor with respect to approximately $347.8 million of construction costs relating to the construction of Wynn Diamond Suites. While the complete project budget is still being finalized, the Company expects total costs to be in the range of $550 to $600 million. The Company expects Wynn Diamond Suites to open to the public in the first half of 2010.</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Through September 30, 2007, the Company had incurred approximately $1.1 billion of the approximate total $1.2 billion of budgeted project costs for Wynn Macau, including the expansion, and approximately $29.6 million related to Wynn Diamond Suites.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Land Concession Contract. </w:t>
      </w:r>
      <w:r>
        <w:rPr>
          <w:rFonts w:ascii="Arial" w:cs="Arial" w:eastAsia="Arial" w:hAnsi="Arial"/>
          <w:sz w:val="16"/>
          <w:szCs w:val="16"/>
          <w:color w:val="auto"/>
        </w:rPr>
        <w:t>In June 2004, Wynn Macau, S.A. entered into a land concession contract for the Wynn Macau project site. Under the land</w:t>
      </w:r>
      <w:r>
        <w:rPr>
          <w:rFonts w:ascii="Arial" w:cs="Arial" w:eastAsia="Arial" w:hAnsi="Arial"/>
          <w:sz w:val="16"/>
          <w:szCs w:val="16"/>
          <w:i w:val="1"/>
          <w:iCs w:val="1"/>
          <w:color w:val="auto"/>
        </w:rPr>
        <w:t xml:space="preserve"> </w:t>
      </w:r>
      <w:r>
        <w:rPr>
          <w:rFonts w:ascii="Arial" w:cs="Arial" w:eastAsia="Arial" w:hAnsi="Arial"/>
          <w:sz w:val="16"/>
          <w:szCs w:val="16"/>
          <w:color w:val="auto"/>
        </w:rPr>
        <w:t>concession contract, Wynn Macau, S.A. leases a parcel of approximately 16 acres from the Macau government for an initial term of 25 years, with a right to renew for additional periods. Wynn Macau, S.A. has made seven payments to the Macau government under the land concession contract and is required to make four additional semi-annual payments (including interest) for total payments of approximately $42.7 million. Wynn Macau, S.A. also paid approximately $17.9 million to an unrelated third party for its relinquishment of rights to a portion of the land. During the term of the land concession contract, Wynn Macau, S.A. is also required to make annual lease payments of up to $400,000.</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Cotai Development</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has submitted an application with the government of Macau for a concession of land in Cotai for future development. The Company recently reconfigured its site plans for 52 acres and is awaiting final approval. The Company is actively engaged in the design of its Cotai project.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September 30,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is subject to income taxes in the United States and other foreign jurisdictions where the Company operates. The Company accounts for income taxes in accordance with SFAS No. 109, “Accounting for Income Taxes” (“SFAS 109”). SFAS 109 requires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7" w:name="page18"/>
    <w:bookmarkEnd w:id="17"/>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January 1, 2007, the Company adopted the provisions of FIN 48. As a result of the implementation of FIN 48, the Company has recognized a total liability for unrecognized tax benefits of approximately $45.4 million, $2 million of which was accounted for as an increase to the January 1, 2007 balance of accumulated deficit as a cumulative effect adjustment. Approximately $2 million of such unrecognized tax benefit would, if recognized, impact the effective tax rate.</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nine months ended September 30, 2007, the total liability increased by approximately $2.2 million. If incurred, the Company would recognize penalties and interest related to unrecognized tax benefits in the provision for income taxes. During the three and nine months ended September 30, 2007 and the year ended December 31, 2006, the Company recognized no amounts for interest or penalties.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Company’s income tax returns are subject to examination by the Internal Revenue Service (“IRS”) and other tax authorities in the locations where it operates. As of September 30, 2007, the Company has filed domestic income tax returns for the years 2002 to 2006 and foreign income tax returns for 2002 to 2006. The Company’s 2002 to 2006 domestic income tax returns remain subject to examination by the IRS and the Company’s 2002 to 2006 Macau income tax returns remain subject to examination by the Macau Finance Bureau. The Company has received notice from the IRS that it will begin a review of the Company’s 2004 and 2005 federal tax returns.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There was no current domestic tax provision/benefit recorded for the three and nine months ended September 30, 2006 because of the Company’s domestic net operating loss carryforwards. There is no current domestic provision for the three and nine months ended September 30, 2007, because of the Company’s domestic net operating loss carryforwards. The Company has recorded a provision for income taxes as follows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Nine months Ended</w:t>
            </w:r>
          </w:p>
        </w:tc>
      </w:tr>
      <w:tr>
        <w:trPr>
          <w:trHeight w:val="161"/>
        </w:trPr>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9"/>
              </w:rPr>
              <w:t>2007</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2007</w:t>
            </w: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Current—Foreign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87,392</w:t>
            </w:r>
          </w:p>
        </w:tc>
        <w:tc>
          <w:tcPr>
            <w:tcW w:w="20" w:type="dxa"/>
            <w:vAlign w:val="bottom"/>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Deferred—Federal</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7,613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33,314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42,741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33,314</w:t>
            </w:r>
          </w:p>
        </w:tc>
        <w:tc>
          <w:tcPr>
            <w:tcW w:w="2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Deferred—Foreign</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1,670</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7760" w:type="dxa"/>
            <w:vAlign w:val="bottom"/>
          </w:tcPr>
          <w:p>
            <w:pPr>
              <w:ind w:left="440"/>
              <w:spacing w:after="0"/>
              <w:rPr>
                <w:sz w:val="20"/>
                <w:szCs w:val="20"/>
                <w:color w:val="auto"/>
              </w:rPr>
            </w:pPr>
            <w:r>
              <w:rPr>
                <w:rFonts w:ascii="Arial" w:cs="Arial" w:eastAsia="Arial" w:hAnsi="Arial"/>
                <w:sz w:val="18"/>
                <w:szCs w:val="18"/>
                <w:color w:val="auto"/>
              </w:rPr>
              <w:t>Provision for federal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9,383</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120,397</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46,837</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120,706</w:t>
            </w:r>
          </w:p>
        </w:tc>
      </w:tr>
      <w:tr>
        <w:trPr>
          <w:trHeight w:val="20"/>
        </w:trPr>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Company’s effective tax rate for the three and nine months ended September 30, 2007 of 17% and 20%, respectively, is lower than the U.S. Federal rate of 35% primarily due to the portion of Macau earnings that the Company considers permanently invested abroad, the lower foreign income tax rates applicable to its foreign income, and the tax holiday applicable to the earnings of Wynn Macau S.A. as described below.</w:t>
      </w:r>
    </w:p>
    <w:p>
      <w:pPr>
        <w:spacing w:after="0" w:line="10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the Company was exempted from the payment of approximately $18.6 million in such taxes for the nine months ended September 30, 2007. The Company’s non-gaming profits remain subject to the Macau Complementary Tax and its casino winnings remain subject to the Macau Special Gaming tax and other levies in accordance with its concession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 Segment Information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monitors its operations and evaluates earnings by reviewing the assets and operations of Wynn Las Vegas and Wynn Macau. Wynn Las Vegas opened on April 28, 2005. Wynn Macau opened on September 6, 2006. The Company’s total assets and its results of operations by segment are as follows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Wynn Las Vegas (including Encore)</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3,245,370</w:t>
            </w: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3,037,509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1,665,408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1,500,088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Corporate and other</w:t>
            </w:r>
          </w:p>
        </w:tc>
        <w:tc>
          <w:tcPr>
            <w:tcW w:w="3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175,331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122,583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consolidated assets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5,086,109</w:t>
            </w:r>
          </w:p>
        </w:tc>
        <w:tc>
          <w:tcPr>
            <w:tcW w:w="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4,660,180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9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line="209" w:lineRule="exact"/>
              <w:rPr>
                <w:sz w:val="20"/>
                <w:szCs w:val="20"/>
                <w:color w:val="auto"/>
              </w:rPr>
            </w:pPr>
            <w:r>
              <w:rPr>
                <w:rFonts w:ascii="Arial" w:cs="Arial" w:eastAsia="Arial" w:hAnsi="Arial"/>
                <w:sz w:val="18"/>
                <w:szCs w:val="18"/>
                <w:b w:val="1"/>
                <w:bCs w:val="1"/>
                <w:color w:val="auto"/>
              </w:rPr>
              <w:t>Net revenues</w:t>
            </w:r>
            <w:r>
              <w:rPr>
                <w:rFonts w:ascii="Arial" w:cs="Arial" w:eastAsia="Arial" w:hAnsi="Arial"/>
                <w:sz w:val="22"/>
                <w:szCs w:val="22"/>
                <w:b w:val="1"/>
                <w:bCs w:val="1"/>
                <w:color w:val="auto"/>
                <w:vertAlign w:val="superscript"/>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Wynn Las Vegas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305,722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273,062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971,510</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$ 823,657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Macau</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347,664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1,004,734</w:t>
            </w:r>
          </w:p>
        </w:tc>
        <w:tc>
          <w:tcPr>
            <w:tcW w:w="4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45,030</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18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653,386</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318,092</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1,976,244</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$ 868,687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line="211" w:lineRule="exact"/>
              <w:rPr>
                <w:sz w:val="20"/>
                <w:szCs w:val="20"/>
                <w:color w:val="auto"/>
              </w:rPr>
            </w:pPr>
            <w:r>
              <w:rPr>
                <w:rFonts w:ascii="Arial" w:cs="Arial" w:eastAsia="Arial" w:hAnsi="Arial"/>
                <w:sz w:val="18"/>
                <w:szCs w:val="18"/>
                <w:b w:val="1"/>
                <w:bCs w:val="1"/>
                <w:color w:val="auto"/>
              </w:rPr>
              <w:t>Adjusted Property EBITDA</w:t>
            </w:r>
            <w:r>
              <w:rPr>
                <w:rFonts w:ascii="Arial" w:cs="Arial" w:eastAsia="Arial" w:hAnsi="Arial"/>
                <w:sz w:val="22"/>
                <w:szCs w:val="22"/>
                <w:b w:val="1"/>
                <w:bCs w:val="1"/>
                <w:color w:val="auto"/>
                <w:vertAlign w:val="superscript"/>
              </w:rPr>
              <w:t>(1, 2)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Wynn Las Vegas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93,182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77,282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319,710</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$ 231,567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Macau</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92,834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264,502</w:t>
            </w:r>
          </w:p>
        </w:tc>
        <w:tc>
          <w:tcPr>
            <w:tcW w:w="4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18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186,016</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79,575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584,212</w:t>
            </w:r>
          </w:p>
        </w:tc>
        <w:tc>
          <w:tcPr>
            <w:tcW w:w="740" w:type="dxa"/>
            <w:vAlign w:val="bottom"/>
          </w:tcPr>
          <w:p>
            <w:pPr>
              <w:jc w:val="right"/>
              <w:spacing w:after="0"/>
              <w:rPr>
                <w:sz w:val="20"/>
                <w:szCs w:val="20"/>
                <w:color w:val="auto"/>
              </w:rPr>
            </w:pPr>
            <w:r>
              <w:rPr>
                <w:rFonts w:ascii="Arial" w:cs="Arial" w:eastAsia="Arial" w:hAnsi="Arial"/>
                <w:sz w:val="18"/>
                <w:szCs w:val="18"/>
                <w:color w:val="auto"/>
              </w:rPr>
              <w:t>233,860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4,180</w:t>
            </w:r>
          </w:p>
        </w:tc>
        <w:tc>
          <w:tcPr>
            <w:tcW w:w="740" w:type="dxa"/>
            <w:vAlign w:val="bottom"/>
          </w:tcPr>
          <w:p>
            <w:pPr>
              <w:jc w:val="right"/>
              <w:spacing w:after="0"/>
              <w:rPr>
                <w:sz w:val="20"/>
                <w:szCs w:val="20"/>
                <w:color w:val="auto"/>
              </w:rPr>
            </w:pPr>
            <w:r>
              <w:rPr>
                <w:rFonts w:ascii="Arial" w:cs="Arial" w:eastAsia="Arial" w:hAnsi="Arial"/>
                <w:sz w:val="18"/>
                <w:szCs w:val="18"/>
                <w:color w:val="auto"/>
              </w:rPr>
              <w:t>62,794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159,427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124,797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51,386</w:t>
            </w:r>
          </w:p>
        </w:tc>
        <w:tc>
          <w:tcPr>
            <w:tcW w:w="740" w:type="dxa"/>
            <w:vAlign w:val="bottom"/>
          </w:tcPr>
          <w:p>
            <w:pPr>
              <w:jc w:val="right"/>
              <w:spacing w:after="0"/>
              <w:rPr>
                <w:sz w:val="20"/>
                <w:szCs w:val="20"/>
                <w:color w:val="auto"/>
              </w:rPr>
            </w:pPr>
            <w:r>
              <w:rPr>
                <w:rFonts w:ascii="Arial" w:cs="Arial" w:eastAsia="Arial" w:hAnsi="Arial"/>
                <w:sz w:val="18"/>
                <w:szCs w:val="18"/>
                <w:color w:val="auto"/>
              </w:rPr>
              <w:t>13,064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termination fee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Corporate expenses and 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13,255</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48,591</w:t>
            </w:r>
          </w:p>
        </w:tc>
        <w:tc>
          <w:tcPr>
            <w:tcW w:w="4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99,720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98,284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263,584</w:t>
            </w:r>
          </w:p>
        </w:tc>
        <w:tc>
          <w:tcPr>
            <w:tcW w:w="4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241,156</w:t>
            </w:r>
          </w:p>
        </w:tc>
        <w:tc>
          <w:tcPr>
            <w:tcW w:w="60" w:type="dxa"/>
            <w:vAlign w:val="bottom"/>
            <w:shd w:val="clear" w:color="auto" w:fill="CCEEFF"/>
          </w:tcPr>
          <w:p>
            <w:pPr>
              <w:spacing w:after="0"/>
              <w:rPr>
                <w:sz w:val="18"/>
                <w:szCs w:val="18"/>
                <w:color w:val="auto"/>
              </w:rPr>
            </w:pPr>
          </w:p>
        </w:tc>
      </w:tr>
      <w:tr>
        <w:trPr>
          <w:trHeight w:val="230"/>
        </w:trPr>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86,296</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(18,709)</w:t>
            </w:r>
          </w:p>
        </w:tc>
        <w:tc>
          <w:tcPr>
            <w:tcW w:w="10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320,628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(7,296)</w:t>
            </w: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6,777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11,837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29,285</w:t>
            </w:r>
          </w:p>
        </w:tc>
        <w:tc>
          <w:tcPr>
            <w:tcW w:w="740" w:type="dxa"/>
            <w:vAlign w:val="bottom"/>
          </w:tcPr>
          <w:p>
            <w:pPr>
              <w:jc w:val="right"/>
              <w:spacing w:after="0"/>
              <w:rPr>
                <w:sz w:val="20"/>
                <w:szCs w:val="20"/>
                <w:color w:val="auto"/>
              </w:rPr>
            </w:pPr>
            <w:r>
              <w:rPr>
                <w:rFonts w:ascii="Arial" w:cs="Arial" w:eastAsia="Arial" w:hAnsi="Arial"/>
                <w:sz w:val="18"/>
                <w:szCs w:val="18"/>
                <w:color w:val="auto"/>
              </w:rPr>
              <w:t>29,885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(34,743)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(36,969)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(107,876)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(108,218)</w:t>
            </w: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(8,757)</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(2,348)</w:t>
            </w:r>
          </w:p>
        </w:tc>
        <w:tc>
          <w:tcPr>
            <w:tcW w:w="740" w:type="dxa"/>
            <w:vAlign w:val="bottom"/>
          </w:tcPr>
          <w:p>
            <w:pPr>
              <w:jc w:val="right"/>
              <w:spacing w:after="0"/>
              <w:rPr>
                <w:sz w:val="20"/>
                <w:szCs w:val="20"/>
                <w:color w:val="auto"/>
              </w:rPr>
            </w:pPr>
            <w:r>
              <w:rPr>
                <w:rFonts w:ascii="Arial" w:cs="Arial" w:eastAsia="Arial" w:hAnsi="Arial"/>
                <w:sz w:val="18"/>
                <w:szCs w:val="18"/>
                <w:color w:val="auto"/>
              </w:rPr>
              <w:t>1,835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subconcession right,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899,409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(10,758)</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(157)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(10,758)</w:t>
            </w: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(32,173)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854,762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(81,096)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812,153</w:t>
            </w:r>
          </w:p>
        </w:tc>
        <w:tc>
          <w:tcPr>
            <w:tcW w:w="60" w:type="dxa"/>
            <w:vAlign w:val="bottom"/>
            <w:shd w:val="clear" w:color="auto" w:fill="CCEEFF"/>
          </w:tcPr>
          <w:p>
            <w:pPr>
              <w:spacing w:after="0"/>
              <w:rPr>
                <w:sz w:val="18"/>
                <w:szCs w:val="18"/>
                <w:color w:val="auto"/>
              </w:rPr>
            </w:pPr>
          </w:p>
        </w:tc>
      </w:tr>
      <w:tr>
        <w:trPr>
          <w:trHeight w:val="221"/>
        </w:trPr>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54,123</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836,053</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239,532</w:t>
            </w:r>
          </w:p>
        </w:tc>
        <w:tc>
          <w:tcPr>
            <w:tcW w:w="4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804,857</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(9,383)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(120,397)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(46,837)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(120,706)</w:t>
            </w:r>
          </w:p>
        </w:tc>
      </w:tr>
      <w:tr>
        <w:trPr>
          <w:trHeight w:val="222"/>
        </w:trPr>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44,740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715,656</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192,695</w:t>
            </w:r>
          </w:p>
        </w:tc>
        <w:tc>
          <w:tcPr>
            <w:tcW w:w="4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$ 684,151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00" w:lineRule="exact"/>
        <w:rPr>
          <w:sz w:val="20"/>
          <w:szCs w:val="20"/>
          <w:color w:val="auto"/>
        </w:rPr>
      </w:pPr>
    </w:p>
    <w:p>
      <w:pPr>
        <w:ind w:left="460" w:right="18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Prior to its opening on September 6, 2006, Wynn Macau was in the development stage. Accordingly, Wynn Macau was open for 25 days for the three and nine months ended September 30, 2006.</w:t>
      </w:r>
    </w:p>
    <w:p>
      <w:pPr>
        <w:spacing w:after="0" w:line="37" w:lineRule="exact"/>
        <w:rPr>
          <w:rFonts w:ascii="Arial" w:cs="Arial" w:eastAsia="Arial" w:hAnsi="Arial"/>
          <w:sz w:val="18"/>
          <w:szCs w:val="18"/>
          <w:color w:val="auto"/>
        </w:rPr>
      </w:pPr>
    </w:p>
    <w:p>
      <w:pPr>
        <w:ind w:left="460" w:right="58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contract termination fee, and other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ind w:left="4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Property EBITDA should not be considered as an alternative to operating income (loss)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 comparative tools, together with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Stock Secondary Offering</w:t>
      </w:r>
    </w:p>
    <w:p>
      <w:pPr>
        <w:spacing w:after="0" w:line="90"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On October 3, 2007, the Company completed a secondary common stock offering of 4,312,500 shares with net proceeds of $154 per share or $664.1 million. The Company intends to use the proceeds for general corporate purposes and to enhance the Company’s financial flexibility for future projects and potential new developments.</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22"/>
          <w:szCs w:val="22"/>
          <w:i w:val="1"/>
          <w:iCs w:val="1"/>
          <w:color w:val="auto"/>
          <w:vertAlign w:val="superscript"/>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xml:space="preserve"> First Mortgage Notes</w:t>
      </w:r>
    </w:p>
    <w:p>
      <w:pPr>
        <w:spacing w:after="0" w:line="85" w:lineRule="exact"/>
        <w:rPr>
          <w:sz w:val="20"/>
          <w:szCs w:val="20"/>
          <w:color w:val="auto"/>
        </w:rPr>
      </w:pPr>
    </w:p>
    <w:p>
      <w:pPr>
        <w:ind w:right="20" w:firstLine="456"/>
        <w:spacing w:after="0" w:line="249" w:lineRule="auto"/>
        <w:rPr>
          <w:sz w:val="20"/>
          <w:szCs w:val="20"/>
          <w:color w:val="auto"/>
        </w:rPr>
      </w:pPr>
      <w:r>
        <w:rPr>
          <w:rFonts w:ascii="Arial" w:cs="Arial" w:eastAsia="Arial" w:hAnsi="Arial"/>
          <w:sz w:val="17"/>
          <w:szCs w:val="17"/>
          <w:color w:val="auto"/>
        </w:rPr>
        <w:t xml:space="preserve">On November 6, 2007, Wynn Las Vegas, LLC and Wynn Las Vegas Capital Corp. (the “Issuers”), each a direct or indirect wholly owned subsidiary of Wynn Resorts, Limited, issued, in a private offering, $400 million aggregate principal amount of their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xml:space="preserve">% First Mortgage Notes due 2014 at a price of 97.25% of the principal amount. The notes were issued under the same indenture as the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xml:space="preserve">% First Mortgage Notes previously issued by the Issuers. The notes rank pari passu with, and will vote on any matter submitted to noteholders with, the previously issued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First Mortgage Notes. The notes are senior secured obligations of the Issuers, are guaranteed by Wynn Las Vegas, LLC’s subsidiaries (subject to some exceptions), and are secured by a first priority lien on substantially all of the existing and future assets of the Issuers and guarantors.</w:t>
      </w:r>
    </w:p>
    <w:p>
      <w:pPr>
        <w:spacing w:after="0" w:line="18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notes have not been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 The issuers have agreed to make an offer to exchange the notes for registered, publicly traded notes that have substantially identical terms as the notes.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Diamond Suites Construction Contract</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November 8, 2007, Wynn Macau, S.A. executed a guaranteed maximum price contract for $347.8 million with Leighton Contractors (Asia) Limited, China State Construction Engineering (Hong Kong) Limited and China Construction Engineering (Macau) Company Limited, acting together as the general contractor, for the construction of the Wynn Diamond Suites.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77"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60"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900" w:right="3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the expansion of our Wynn Macau casino resort and Wynn Diamond Suites on time and within budget;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Macau’s developing gaming regulatory framework and travel-related visa restrictions);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limited number of properties for all of our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4" w:right="299" w:bottom="1440" w:gutter="0" w:footer="0" w:header="0"/>
        </w:sectPr>
      </w:pPr>
    </w:p>
    <w:bookmarkStart w:id="21" w:name="page22"/>
    <w:bookmarkEnd w:id="21"/>
    <w:p>
      <w:pPr>
        <w:ind w:left="900" w:right="1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impact that an outbreak of an infectious disease, such as avian flu, or the impact of a natural disaster, such as the tsunami which struck southeast Asia in December 2004, may have on the travel and leisure industry;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19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 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We are a developer, owner and operator of destination casino resorts. We currently own and operate Wynn Las Vegas, a destination casino resort in Las Vegas, Nevada, which opened on April 28, 2005, and Wynn Macau, a destination casino resort in the Macau Special Administrative Region of the People’s Republic of China (“Macau”), which opened on September 6, 2006. In addition, on April 28, 2006, we commenced construction of Encore at Wynn Las Vegas (“Encore”), a hotel casino resort which, when completed, will be fully integrated with Wynn Las Vegas. We are also currently expanding Wynn Macau.</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October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5"/>
              </w:rPr>
              <w:t>Hotel Rooms &amp;</w:t>
            </w:r>
          </w:p>
        </w:tc>
        <w:tc>
          <w:tcPr>
            <w:tcW w:w="800" w:type="dxa"/>
            <w:vAlign w:val="bottom"/>
          </w:tcPr>
          <w:p>
            <w:pPr>
              <w:spacing w:after="0"/>
              <w:rPr>
                <w:sz w:val="14"/>
                <w:szCs w:val="14"/>
                <w:color w:val="auto"/>
              </w:rPr>
            </w:pPr>
          </w:p>
        </w:tc>
        <w:tc>
          <w:tcPr>
            <w:tcW w:w="20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6"/>
              </w:rPr>
              <w:t>Approximate Casino</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86"/>
              </w:rPr>
              <w:t>Number of Table</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4960" w:type="dxa"/>
            <w:vAlign w:val="bottom"/>
          </w:tcPr>
          <w:p>
            <w:pPr>
              <w:spacing w:after="0"/>
              <w:rPr>
                <w:sz w:val="15"/>
                <w:szCs w:val="15"/>
                <w:color w:val="auto"/>
              </w:rPr>
            </w:pP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Suites</w:t>
            </w:r>
          </w:p>
        </w:tc>
        <w:tc>
          <w:tcPr>
            <w:tcW w:w="800" w:type="dxa"/>
            <w:vAlign w:val="bottom"/>
          </w:tcPr>
          <w:p>
            <w:pPr>
              <w:spacing w:after="0"/>
              <w:rPr>
                <w:sz w:val="15"/>
                <w:szCs w:val="15"/>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Square Footage</w:t>
            </w:r>
          </w:p>
        </w:tc>
        <w:tc>
          <w:tcPr>
            <w:tcW w:w="820" w:type="dxa"/>
            <w:vAlign w:val="bottom"/>
          </w:tcPr>
          <w:p>
            <w:pPr>
              <w:spacing w:after="0"/>
              <w:rPr>
                <w:sz w:val="15"/>
                <w:szCs w:val="15"/>
                <w:color w:val="auto"/>
              </w:rPr>
            </w:pPr>
          </w:p>
        </w:tc>
        <w:tc>
          <w:tcPr>
            <w:tcW w:w="9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Games</w:t>
            </w:r>
          </w:p>
        </w:tc>
        <w:tc>
          <w:tcPr>
            <w:tcW w:w="8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Number of Slots</w:t>
            </w:r>
          </w:p>
        </w:tc>
        <w:tc>
          <w:tcPr>
            <w:tcW w:w="20" w:type="dxa"/>
            <w:vAlign w:val="bottom"/>
          </w:tcPr>
          <w:p>
            <w:pPr>
              <w:spacing w:after="0"/>
              <w:rPr>
                <w:sz w:val="15"/>
                <w:szCs w:val="15"/>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111,000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20" w:type="dxa"/>
            <w:vAlign w:val="bottom"/>
          </w:tcPr>
          <w:p>
            <w:pPr>
              <w:spacing w:after="0"/>
              <w:rPr>
                <w:sz w:val="18"/>
                <w:szCs w:val="18"/>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Wynn Macau</w:t>
            </w: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130,000</w:t>
            </w:r>
          </w:p>
        </w:tc>
        <w:tc>
          <w:tcPr>
            <w:tcW w:w="8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671</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90" w:lineRule="exact"/>
        <w:rPr>
          <w:sz w:val="20"/>
          <w:szCs w:val="20"/>
          <w:color w:val="auto"/>
        </w:rPr>
      </w:pPr>
    </w:p>
    <w:p>
      <w:pPr>
        <w:ind w:left="900" w:right="2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 (In 2006, the Tower Suites at Wynn Las Vegas became the only casino resort in the world to receive both the Mobil Five Star and AAA Five Diamond distinctions);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22 food and beverage outlets featuring signature chefs, including the AAA Five Diamond and Mobil Five Star award-winning restaurant, Alex;</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Brioni, Chanel, Dior, Cartier, Graff, Louis Vuitton, Manolo Blahnik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showrooms, two nightclubs and lounges.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ind w:right="1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March 2007, we remodeled the Le Rêve Theatre to enhance the customer experience. The theatre went from 2,087 to 1,606 seats providing additional room for guests and a more intimate experience. The remodel effort lasted approximately 30 days from March 6, 2007 through April 4, 2007, during which time there were no performances of Le Rêve. Also, in March 2007, we commenced performances of “Monty Python’s Spamalot” in our Grail Theatre.</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and approximately 18 additional acres across Sands Avenue, a portion of which is utilized for employee parking.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constructing Encore on approximately 20 acres on the Las Vegas Strip, immediately adjacent to Wynn Las Vegas. Encore’s current plans include a 2,034 all-suite hotel tower fully integrated with Wynn Las Vegas, an approximately 72,000 square foot casino, additional convention and meeting space, as well as restaurants, a nightclub, swimming pools, a spa and salon and retail outlets. We continue to refine the final design of Encore. Encore is expected to open in early 2009. Our project budget is approximately $2.2 billion, consisting of approximately $2.1 billion for Encore and approximately $100 million for an employee parking garage on our Koval property, an associated pedestrian bridge and costs incurred in connection with the theatre remodeling and production of “Monty Python’s Spamalot” at Wynn Las Vegas, which opened March 2007.</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opened Wynn Macau on September 6, 2006. Wynn Macau is located on 11 acres of a total site area of 16 acres of land and currently features:</w:t>
      </w:r>
    </w:p>
    <w:p>
      <w:pPr>
        <w:spacing w:after="0" w:line="113"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approximately 130,000 square foot casino offering 24-hour gaming and a full range of games, including private gaming salons;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Casual and fine dining in five restaurants;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26,000 square feet of high-end, brand-name retail shopping, including stores and boutiques featuring Bulgari, Chanel, Rolex, Dior, Fendi, Giorgio Armani, Louis Vuitton, Piaget, Prada, Tiffany,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Construction and development on the expansion of Wynn Macau which includes additional gaming space, a dramatic front feature attraction, a theater showroom and additional food, beverage and retail amenities is progressing as planned. In September 2007, Wynn Macau opened approximately 20,000 square feet of additional gaming space and one restaurant in this expansion. The remaining portion of the expansion is expected to open by the first quarter of 2008. In addition, construction has commenced on a further expansion of Wynn Macau, the “Wynn Diamond Suites”. Wynn Diamond Suites will add a fully-integrated resort hotel to Wynn Macau with approximately 400 luxury suites and six villas along with restaurants, additional retail space and additional VIP gaming space.</w:t>
      </w:r>
    </w:p>
    <w:p>
      <w:pPr>
        <w:spacing w:after="0" w:line="10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July 2007, Wynn Macau S.A. issued a notice to proceed and on November 8, 2007, executed a guaranteed maximum price contract for $347.8 million with Leighton Contractors (Asia) Limited, China State Construction Engineering (Hong Kong) Limited and China Construction Engineering (Macau) Company Limited, acting together as the general contractor, for the construction of the Wynn Diamond Suites. While the complete project budget is still being finalized, we expect the costs to be in the range of $550 to $600 million. We expect Wynn Diamond Suites to open to the public in the first half of 2010.</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under a 20-year casino concession agreement granted by the Macau government in June 2002.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3" w:name="page24"/>
    <w:bookmarkEnd w:id="23"/>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Cotai Development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submitted an application to the Macau government for a concession of land in Cotai. We recently reconfigured our site plan for 52 acres and are awaiting final approval. We are actively engaged in the design of our Cotai project.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September 6, 2006, we opened Wynn Macau and began generating operating cash flows from that project. Between April 28, 2005 and September 6, 2006, we relied solely upon the operations of Wynn Las Vegas for our operating cash flow. Prior to the opening of Wynn Las Vegas on April 28, 2005, we were a development stage company.</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reliance for our operating cash flow from only two properties exposes us to certain risks that our competitors, whose operations are more diversified, may be better able to control. In addition to the concentration of operations in two properties, many of our customers are high-end gaming customers who wager on credit, thus exposing us to increased credit risk. High-end gaming also increases the potential for variability in our results.</w:t>
      </w:r>
    </w:p>
    <w:p>
      <w:pPr>
        <w:spacing w:after="0" w:line="10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three and nine months ended September 30, 2007 include the operations of both Wynn Las Vegas and Wynn Macau. In contrast, the three and nine months ended September 30, 2006 include a full period for Wynn Las Vegas and 25 days of operations for Wynn Macau. The table below presents our net revenues for the three and nine months ended September 30, 2007 and 2006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4"/>
          </w:tcPr>
          <w:p>
            <w:pPr>
              <w:jc w:val="right"/>
              <w:ind w:right="217"/>
              <w:spacing w:after="0"/>
              <w:rPr>
                <w:sz w:val="20"/>
                <w:szCs w:val="20"/>
                <w:color w:val="auto"/>
              </w:rPr>
            </w:pPr>
            <w:r>
              <w:rPr>
                <w:rFonts w:ascii="Arial" w:cs="Arial" w:eastAsia="Arial" w:hAnsi="Arial"/>
                <w:sz w:val="14"/>
                <w:szCs w:val="14"/>
                <w:b w:val="1"/>
                <w:bCs w:val="1"/>
                <w:color w:val="auto"/>
                <w:w w:val="96"/>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right"/>
              <w:ind w:right="337"/>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7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r>
      <w:tr>
        <w:trPr>
          <w:trHeight w:val="142"/>
        </w:trPr>
        <w:tc>
          <w:tcPr>
            <w:tcW w:w="7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2"/>
              <w:spacing w:after="0" w:line="143"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3"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2"/>
              <w:spacing w:after="0" w:line="143"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7"/>
              <w:spacing w:after="0" w:line="143" w:lineRule="exact"/>
              <w:rPr>
                <w:sz w:val="20"/>
                <w:szCs w:val="20"/>
                <w:color w:val="auto"/>
              </w:rPr>
            </w:pPr>
            <w:r>
              <w:rPr>
                <w:rFonts w:ascii="Arial" w:cs="Arial" w:eastAsia="Arial" w:hAnsi="Arial"/>
                <w:sz w:val="14"/>
                <w:szCs w:val="14"/>
                <w:b w:val="1"/>
                <w:bCs w:val="1"/>
                <w:color w:val="auto"/>
                <w:w w:val="89"/>
              </w:rPr>
              <w:t>2006</w:t>
            </w:r>
          </w:p>
        </w:tc>
      </w:tr>
      <w:tr>
        <w:trPr>
          <w:trHeight w:val="210"/>
        </w:trPr>
        <w:tc>
          <w:tcPr>
            <w:tcW w:w="7400" w:type="dxa"/>
            <w:vAlign w:val="bottom"/>
            <w:shd w:val="clear" w:color="auto" w:fill="CCEEFF"/>
          </w:tcPr>
          <w:p>
            <w:pPr>
              <w:jc w:val="right"/>
              <w:ind w:right="6332"/>
              <w:spacing w:after="0"/>
              <w:rPr>
                <w:sz w:val="20"/>
                <w:szCs w:val="20"/>
                <w:color w:val="auto"/>
              </w:rPr>
            </w:pPr>
            <w:r>
              <w:rPr>
                <w:rFonts w:ascii="Arial" w:cs="Arial" w:eastAsia="Arial" w:hAnsi="Arial"/>
                <w:sz w:val="18"/>
                <w:szCs w:val="18"/>
                <w:b w:val="1"/>
                <w:bCs w:val="1"/>
                <w:color w:val="auto"/>
                <w:w w:val="84"/>
              </w:rPr>
              <w:t>Net revenues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7400" w:type="dxa"/>
            <w:vAlign w:val="bottom"/>
          </w:tcPr>
          <w:p>
            <w:pPr>
              <w:jc w:val="right"/>
              <w:ind w:right="5692"/>
              <w:spacing w:after="0"/>
              <w:rPr>
                <w:sz w:val="20"/>
                <w:szCs w:val="20"/>
                <w:color w:val="auto"/>
              </w:rPr>
            </w:pPr>
            <w:r>
              <w:rPr>
                <w:rFonts w:ascii="Arial" w:cs="Arial" w:eastAsia="Arial" w:hAnsi="Arial"/>
                <w:sz w:val="18"/>
                <w:szCs w:val="18"/>
                <w:color w:val="auto"/>
              </w:rPr>
              <w:t>Wynn Las Vegas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305,722</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273,062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971,510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823,657</w:t>
            </w:r>
          </w:p>
        </w:tc>
      </w:tr>
      <w:tr>
        <w:trPr>
          <w:trHeight w:val="216"/>
        </w:trPr>
        <w:tc>
          <w:tcPr>
            <w:tcW w:w="7400" w:type="dxa"/>
            <w:vAlign w:val="bottom"/>
            <w:shd w:val="clear" w:color="auto" w:fill="CCEEFF"/>
          </w:tcPr>
          <w:p>
            <w:pPr>
              <w:jc w:val="right"/>
              <w:ind w:right="5932"/>
              <w:spacing w:after="0"/>
              <w:rPr>
                <w:sz w:val="20"/>
                <w:szCs w:val="20"/>
                <w:color w:val="auto"/>
              </w:rPr>
            </w:pPr>
            <w:r>
              <w:rPr>
                <w:rFonts w:ascii="Arial" w:cs="Arial" w:eastAsia="Arial" w:hAnsi="Arial"/>
                <w:sz w:val="18"/>
                <w:szCs w:val="18"/>
                <w:color w:val="auto"/>
              </w:rPr>
              <w:t>Wynn Macau</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347,664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1,004,734</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45,030</w:t>
            </w:r>
          </w:p>
        </w:tc>
      </w:tr>
      <w:tr>
        <w:trPr>
          <w:trHeight w:val="222"/>
        </w:trPr>
        <w:tc>
          <w:tcPr>
            <w:tcW w:w="7400" w:type="dxa"/>
            <w:vAlign w:val="bottom"/>
          </w:tcPr>
          <w:p>
            <w:pPr>
              <w:jc w:val="right"/>
              <w:ind w:right="5932"/>
              <w:spacing w:after="0"/>
              <w:rPr>
                <w:sz w:val="20"/>
                <w:szCs w:val="20"/>
                <w:color w:val="auto"/>
              </w:rPr>
            </w:pPr>
            <w:r>
              <w:rPr>
                <w:rFonts w:ascii="Arial" w:cs="Arial" w:eastAsia="Arial" w:hAnsi="Arial"/>
                <w:sz w:val="18"/>
                <w:szCs w:val="18"/>
                <w:b w:val="1"/>
                <w:bCs w:val="1"/>
                <w:color w:val="auto"/>
                <w:w w:val="85"/>
              </w:rPr>
              <w:t>Total net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653,386</w:t>
            </w:r>
          </w:p>
        </w:tc>
        <w:tc>
          <w:tcPr>
            <w:tcW w:w="2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318,092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1,976,244</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868,687</w:t>
            </w:r>
          </w:p>
        </w:tc>
      </w:tr>
      <w:tr>
        <w:trPr>
          <w:trHeight w:val="20"/>
        </w:trPr>
        <w:tc>
          <w:tcPr>
            <w:tcW w:w="7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Casinos generally record table games win as a percentage of either drop or turnover and slot win as a percentage of handle. In our casino operations at Wynn Las Vegas, table games win is recorded as a percentage of drop. However, in our casino operations at Wynn Macau, we separate table play into two distinct segments. Our Macau VIP casino segment records table games win as a percentage of turnover, whereas our general casino records win as a percentage of drop.</w:t>
      </w:r>
    </w:p>
    <w:p>
      <w:pPr>
        <w:spacing w:after="0" w:line="8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Statement of Operations is presented. Below are definitions of the statistics discussed:</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Turnover is the sum of all losing wagers within our Wynn Macau VIP program.</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Wynn Las Vegas or Wynn Macau and is recorded as casino revenue.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results for the three months ended September 30, 2007 compared to the three months ended September 30, 2006.</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Net revenues for the three months ended September 30, 2007 are comprised of $476.8 million in casino revenues (73% of total net revenues) and $176.6 million of net non-casino revenues (27% of total net revenues). Net revenues for the third quarter of 2006 were comprised of $172 million in casino revenues (54.1% of total net revenues) and $146.1 million of net non-casino revenues (45.9% of total net revenues). The quality of our resorts’ non-casino amenities, combined with providing guests an unparalleled total resort experience, has driven a premium in the two properties’ ADR as well as increased the length of casino play.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2007 of approximately $476.8 million represents approximately a $304.8 million (or 177%) increase from casino revenues of $172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September 30, 2006. The three months ended September 30, 2007 includes a full quarter of Wynn Macau’s operations; the primary driver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increase. At Wynn Las Vegas, we experienced a 3.8% increase in drop for the three months ended September 30, 2007 and the average table games win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percentage (before discounts) of 26.4% was above the expected range of 21% to 24%. Table games win percentage was 22.3%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2006. Slot handle at Wynn Las Vegas decreased 4.7% during the three months ended September 30, 2007 as compared to 2006, and the slot win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percentage was within the expected range of 4.5% to 5.5%. Wynn Macau’s win percentage for the VIP casino segment of 3% was at the top end of the expected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range of 2.7% to 3%. The average table games win percentage at the general casino at Wynn Macau of 20.3% was above the expected range of 17% to 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Wynn Macau’s slot win percentage was within the expected range of 4.5% to 5.5%.</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three months ended September 30, 2007, room revenues were approximately $81.6 million, which represents a $14.8 million (or 22.1%) increase over the $66.8 million generated in the three months ended September 30, 2006. Wynn Macau generated $11.1 million of this increase in room revenue during the three months ended September 30, 2007.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table below for key operating measures related to room revenue.</w:t>
      </w:r>
    </w:p>
    <w:p>
      <w:pPr>
        <w:spacing w:after="0" w:line="207"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September 30,</w:t>
      </w:r>
    </w:p>
    <w:tbl>
      <w:tblPr>
        <w:tblLayout w:type="fixed"/>
        <w:tblInd w:w="460" w:type="dxa"/>
        <w:tblCellMar>
          <w:top w:w="0" w:type="dxa"/>
          <w:left w:w="0" w:type="dxa"/>
          <w:bottom w:w="0" w:type="dxa"/>
          <w:right w:w="0" w:type="dxa"/>
        </w:tblCellMar>
      </w:tblPr>
      <w:tr>
        <w:trPr>
          <w:trHeight w:val="143"/>
        </w:trPr>
        <w:tc>
          <w:tcPr>
            <w:tcW w:w="48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3" w:lineRule="exact"/>
              <w:rPr>
                <w:sz w:val="20"/>
                <w:szCs w:val="20"/>
                <w:color w:val="auto"/>
              </w:rPr>
            </w:pPr>
            <w:r>
              <w:rPr>
                <w:rFonts w:ascii="Arial" w:cs="Arial" w:eastAsia="Arial" w:hAnsi="Arial"/>
                <w:sz w:val="14"/>
                <w:szCs w:val="14"/>
                <w:b w:val="1"/>
                <w:bCs w:val="1"/>
                <w:color w:val="auto"/>
                <w:w w:val="96"/>
              </w:rPr>
              <w:t>2007</w:t>
            </w:r>
          </w:p>
        </w:tc>
        <w:tc>
          <w:tcPr>
            <w:tcW w:w="5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43" w:lineRule="exact"/>
              <w:rPr>
                <w:sz w:val="20"/>
                <w:szCs w:val="20"/>
                <w:color w:val="auto"/>
              </w:rPr>
            </w:pPr>
            <w:r>
              <w:rPr>
                <w:rFonts w:ascii="Arial" w:cs="Arial" w:eastAsia="Arial" w:hAnsi="Arial"/>
                <w:sz w:val="14"/>
                <w:szCs w:val="14"/>
                <w:b w:val="1"/>
                <w:bCs w:val="1"/>
                <w:color w:val="auto"/>
                <w:w w:val="96"/>
              </w:rPr>
              <w:t>2006</w:t>
            </w:r>
          </w:p>
        </w:tc>
        <w:tc>
          <w:tcPr>
            <w:tcW w:w="140" w:type="dxa"/>
            <w:vAlign w:val="bottom"/>
          </w:tcPr>
          <w:p>
            <w:pPr>
              <w:spacing w:after="0"/>
              <w:rPr>
                <w:sz w:val="12"/>
                <w:szCs w:val="12"/>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Daily Rate</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3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282</w:t>
            </w:r>
          </w:p>
        </w:tc>
        <w:tc>
          <w:tcPr>
            <w:tcW w:w="5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Occupancy</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Las Vegas</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Wynn Macau</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91.9%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75.9%</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REVPAR</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3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272</w:t>
            </w:r>
          </w:p>
        </w:tc>
        <w:tc>
          <w:tcPr>
            <w:tcW w:w="5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Other non-casino revenues for the three months ended September 30, 2007, included food and beverage revenues of approximately $82.5 million, retail revenues of approximately $30.9 million, entertainment revenues of approximately $17 million, and other revenues from outlets such as the spa and salon, of approximately $13.3 million. Other non-gaming revenues for the three months ended September 30, 2006 included food and beverage revenues of approximately $72.1 million, retail revenues of approximately $20.2 million, entertainment revenues of approximately $14.1 million, and other revenues from outlets, including the spa and salon, of approximately $12 million. The additional revenue earned at Wynn Macau during 2007 was the primary factor contributing to the increase in the food and beverage, retail and other revenues.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5" w:name="page26"/>
    <w:bookmarkEnd w:id="25"/>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Departmental, administrative and other expenses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During the three months ended September 30, 2007, departmental expenses included casino expenses of $286.4 million, rooms expenses of $21.3 million, food and beverage expenses of $51.5 million, and entertainment, retail and other expenses of $42.1 million. Also included are general and administrative expenses of approximately $77.9 million and approximately $5.7 million charged as a provision for doubtful accounts receivable. During the three months ended September 30, 2006, departmental expenses included casino expenses of $93.5 million, room expenses of $18.3 million, food and beverage expenses of $47.8 million, and entertainment, retail and other expenses of $31.7 million. Also included are general and administrative expenses of approximately $56.2 million and approximately $4.9 million charged as a provision for doubtful accounts receivable. The increase in expenses is due primarily to the inclusion of the operations of Wynn Macau, including the 39 percent gross win tax on casino revenue, and increases in Wynn Las Vegas expenses commensurate with the increase in revenues.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Pre-opening costs for the three months ended September 30, 2007 of $1.5 million decreased by $35.4 million when compared to the three months ended September 30, 2006, primarily due to the opening of Wynn Macau. Pre-opening costs incurred during the three months ended September 30, 2007 relate to Encore. As Encore progresses, pre-opening costs will increase as opening approaches.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Depreciation and amortization for the three months ended September 30, 2007 of $56 million increased by $13.5 million when compared to the three months ended September 30, 2006, primarily due to depreciation expense associated with Wynn Macau.</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construction of Wynn Las Vegas and Wynn Macau, costs incurred in the construction of the buildings, improvements to land and the purchases of assets for use in operations were capitalized. Once these properties opened, their assets were placed into service and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4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Wynn Las Vegas.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Property charges and other for the three months ended September 30, 2007 of $25.1 million increased by approximately $19.4 million when compared to the three months ended September 30, 2006. This increase was primarily driven by a $22.1 million abandonment related to significant casino and retail reconfigurations that occurred in the expansion at Wynn Macau. In response to our evaluation of our properties and the reactions of our guests, we will continue to make enhancements to both Wynn Las Vegas and Wynn Macau.</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Interest and other income decreased by approximately $5.1 to $6.8 million for the three months ended September 30, 2007 compared to the three months ended September 30, 2006. This decrease is partially due to reduced average restricted cash balances during the three months ended September 30, 2007 compared to the prior year’s quarter as a result of spending related to our construction activities. In addition, we recorded an expense related to foreign currency remeasurements during the current quarter.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26" w:name="page27"/>
    <w:bookmarkEnd w:id="26"/>
    <w:p>
      <w:pPr>
        <w:ind w:right="1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expense, net of capitalized interest of $13 million was $34.7 million for the three months ended September 30, 2007 compared to $37 million, net of capitalized interest of $8.7 million, for the three months ended September 30, 2006. Total interest cost increased as a result of our new $1 billion Term Loan, partially offset by the conversion of the Debentures in July 2007. However, net interest expense decreased due to higher amounts of capitalized interest related to the construction of Encore and the expansion of Wynn Macau.</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 The fair value of our interest rate swaps are recorded as either assets or liabilities. Changes in the fair value of our interest rate swaps are recorded as an increase (or decrease) in swap fair value in each period. We recorded an expense of approximately $4.2 million for the three months ended September 30, 2007 resulting from the decrease in the fair value of our interest rate swaps from June 30, 2007 to September 30, 2007. During the three months ended September 30, 2006 we recorded an expense of $8.8 million resulting from the decrease in the fair value of interest rate swaps between June 30, 2006 and September 30, 2006. For further information on our interest rate swaps, see Item 3—“Quantitative and Qualitative Disclosures about Market Risk”.</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effective tax rate of 17% for the three months ended September 30, 2007, is lower than the U.S. Federal rate of 35% primarily due to the portion of Macau earnings that we consider permanently invested abroad, the lower foreign income tax rates applicable to our foreign income, and the tax holiday applicable to the earnings of Wynn Macau S.A., as described below.</w:t>
      </w:r>
    </w:p>
    <w:p>
      <w:pPr>
        <w:spacing w:after="0" w:line="14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Effective September 6, 2006, Wynn Macau, S.A. received a 5-year exemption from Macau’s 12% Complementary Tax on casino gaming profits. Accordingly, we were exempted from the payment of approximately $6.1 million in such taxes. Our non-gaming profits remain subject to the Macau Complementary Tax and our casino winnings remain subject to the Macau Special Gaming Tax and other levies in accordance with its concession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2007 compared to the nine months ended September 30, 2006.</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Net revenues for the nine months ended September 30, 2007 are comprised of $1,425.8 million in casino revenues (72.1% of total net revenues) and $550.4 million of net non-casino revenues (27.9% of total net revenues). Net revenues for the nine months ended September 30, 2006 were comprised of $412.1 million in casino revenues (47.4% of total net revenues) and $456.6 million of net non-casino revenues (52.6% of total net revenues). The quality of our resorts’ non-casino amenities, combined with providing guests an unparalleled total resort experience, has driven a premium in our properties’ ADR as well as increased the length of casino play.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Casino revenues for the nine months ended September 30, 2007 of approximately $1,425.8 million represents approximately a $1,013.7 million (or 246%)</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increase from casino revenues of $412.1 million for the nine months ended September 30, 2006. The nine months ended September 30, 2007 includes a full nine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of Wynn Macau’s operations; a significant driver of this increase. At Wynn Las Vegas, we experienced a 12.3% increase in drop for the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ended September 30, 2007 and the average table games win percentage (before discounts) of 26% was above the expected range of 21% to 24%. Table games win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percentage was 20.6% for the nine months ended September 30, 2006. Slot handle at Wynn Las Vegas increased 1.2% during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2007 as compared to 2006, and the slot win percentage was within the expected range of 4.5% to 5.5%. Wynn Macau’s win percentage for the VIP</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casino segment of 3.2% was above the expected range of 2.7% to 3%. The average table games win percentage at the general casino at Wynn Macau of 19% was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within the expected range of 17% to 19%. Wynn Macau’s slot win percentage was within the expected range of 4.5% to 5.5%.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7" w:name="page28"/>
    <w:bookmarkEnd w:id="27"/>
    <w:p>
      <w:pPr>
        <w:jc w:val="both"/>
        <w:ind w:right="1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nine months ended September 30, 2007, room revenues were approximately $254.7 million, which represents a $50.5 million (or 24.7%) increase over the $204.2 million generated in the nine months ended September 30, 2006. Wynn Macau generated $36.8 million of this increase in room revenue during the nine months ended September 30, 2007. See the table below for key operating measures related to room revenue.</w:t>
      </w:r>
    </w:p>
    <w:p>
      <w:pPr>
        <w:spacing w:after="0" w:line="143"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September 30,</w:t>
      </w:r>
    </w:p>
    <w:tbl>
      <w:tblPr>
        <w:tblLayout w:type="fixed"/>
        <w:tblInd w:w="920" w:type="dxa"/>
        <w:tblCellMar>
          <w:top w:w="0" w:type="dxa"/>
          <w:left w:w="0" w:type="dxa"/>
          <w:bottom w:w="0" w:type="dxa"/>
          <w:right w:w="0" w:type="dxa"/>
        </w:tblCellMar>
      </w:tblPr>
      <w:tr>
        <w:trPr>
          <w:trHeight w:val="143"/>
        </w:trPr>
        <w:tc>
          <w:tcPr>
            <w:tcW w:w="74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3" w:lineRule="exact"/>
              <w:rPr>
                <w:sz w:val="20"/>
                <w:szCs w:val="20"/>
                <w:color w:val="auto"/>
              </w:rPr>
            </w:pPr>
            <w:r>
              <w:rPr>
                <w:rFonts w:ascii="Arial" w:cs="Arial" w:eastAsia="Arial" w:hAnsi="Arial"/>
                <w:sz w:val="14"/>
                <w:szCs w:val="14"/>
                <w:b w:val="1"/>
                <w:bCs w:val="1"/>
                <w:color w:val="auto"/>
                <w:w w:val="89"/>
              </w:rPr>
              <w:t>2007</w:t>
            </w: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3" w:lineRule="exact"/>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2"/>
                <w:szCs w:val="12"/>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Daily Rate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301</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18"/>
                <w:szCs w:val="18"/>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Occupancy</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Las Vegas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Wynn Macau</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87.7%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75.9%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REVPAR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291</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8"/>
                <w:szCs w:val="18"/>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non-casino revenues for the nine months ended September 30, 2007 included food and beverage revenues of approximately $262.6 million, retail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revenues of approximately $87.4 million, entertainment revenues of approximately $46.7 million, and other revenues from outlets such as the spa and salon,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$42 million. Other non-gaming revenues for the nine months ended September 30, 2006 included food and beverage revenues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$224.4 million, retail revenues of approximately $56.6 million, entertainment revenues of approximately $51.6 million, and other revenues from outlets,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spa and salon, of approximately $36.4 million. The additional revenue earned at Wynn Macau during 2007 was the primary contributor to the increase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food and beverage, retail and other revenues. Entertainment revenues decreased slightly due to the closure of the Le Réve theater during March for renovations.</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the nine months ended September 30, 2007, departmental expenses included casino expenses of $840.8 million, rooms expenses of $63.7 million, food and beverage expenses of $160.7 million, and entertainment, retail and other expenses of $118.6 million. Also included are general and administrative expenses of approximately $230.4 million and approximately $27.8 million charged as a provision for doubtful accounts receivable. During the nine months ended September 30, 2006, departmental expenses included casino expenses of $214.6 million, room expenses of $53.4 million, food and beverage expenses of $142 million, and entertainment, retail and other expenses of $98.3 million. Also included are general and administrative expenses of approximately $152.2 million and approximately $11.5 million charged as a provision for doubtful accounts receivable. The increase in expenses is due primarily to the inclusion of the operations of Wynn Macau, including the 39 percent gross win tax on casino revenue, and increases in Wynn Las Vegas expenses commensurate with the increase in revenues.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Pre-opening costs for the nine months ended September 30, 2007 of $4.2 million decreased by $58.6 million when compared to the nine months ended September 30, 2006, primarily due to the opening of Wynn Macau. Pre-opening costs incurred during the nine months ended September 30, 2007 related to advertising costs associated with the opening of “Monty Python’s Spamalot” at Wynn Las Vegas as well as costs related to Encore and the expansion of Wynn Macau. We expect that pre-opening costs will continue as construction and development of Encore progresses.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8" w:name="page29"/>
    <w:bookmarkEnd w:id="28"/>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Depreciation and amortization</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Depreciation and amortization for the nine months ended September 30, 2007 of $159.4 million increased by $34.6 million when compared to the nine months ended September 30, 2006, primarily due to depreciation expense associated with Wynn Macau.</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construction of Wynn Las Vegas and Wynn Macau, costs incurred in the construction of the buildings, improvements to land and the purchases of assets for use in operations were capitalized. Once these properties opened, their assets were placed into service and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Wynn Las Vegas.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In February 2006, we agreed with the producers of Avenue Q to end Avenue Q’s exclusive Las Vegas run at Wynn Las Vegas’ Broadway Theatre at the end of May 2006. To terminate the contract, we paid a termination fee of $5 million. This fee was recorded in the first quarter of 2006 in accordance with the liability recognition provisions of SFAS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Property charges and other for the nine months ended September 30, 2007 of $51.4 million increased by approximately $38.3 million when compared to the nine months ended September 30, 2006. This increase is primarily due to the following abandonment charges taken at Wynn Macau: (a) a $10.2 million charge for the abandonment of costs related to portions of the main kitchen, warehouse, and restaurants to enable the main casino to be connected with the expansion; (b) a $10 million charge related to the abandonment of a parking garage to make way for the Wynn Diamond Suites expansion; and (c) a $22.1 million charge related to significant casino and retail reconfigurations in the expansion. The remaining property charges were related to renovations to portions of the Le Rêve Theatre and the abandonment of a marquee sign at Wynn Las Vegas, and the remodeling of certain areas at Wynn Macau.</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response to our evaluation of our properties and the reactions of our guests, we continue to make enhancements to both Wynn Las Vegas and Wynn Macau.</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Interest and other income decreased by $600,000 to $29.3 million for the nine months ended September 30, 2007 compared to the nine months ended September 30, 2006.</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Interest expense, net of capitalized interest of $29.1 million, for the nine months ended September 30, 2007 was $107.9 million compared to $108.2 million, net of capitalized interest of $23.7 million, for the nine months ended September 30, 2006. Total interest cost increased $5.1 million due to our new $1 billion Term Loan and additional borrowings under existing facilities, offset by the conversion of the Debentures in July 2007. However, net interest expense decreased due to higher amounts of capitalized interest due to our construction activities.</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interest rate swaps are accounted for in accordance with SFAS No. 133, “Accounting for Derivative Instruments and Hedging Activities”, as amended. The fair value of our interest rate swaps are recorded as either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9" w:name="page30"/>
    <w:bookmarkEnd w:id="29"/>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assets or liabilities. Changes in the fair value of our interest rate swaps are recorded as an increase (or decrease) in swap fair value in each period. We recorded an expense of approximately $2.3 million for the nine months ended September 30, 2007 resulting from the decrease in the fair value of our interest rate swaps from December 31, 2006 to September 30, 2007. During the nine months ended September 30, 2006 we recorded a gain of $1.8 million resulting from the increase in the fair value of interest rate swaps between December 31, 2005 and September 30, 2006. For further information on our interest rate swaps, see Item 3 —“Quantitative and Qualitative Disclosures about Market Risk”.</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Our effective tax rate of 20% is lower than the U.S. Federal rate of 35% primarily due to the portion of Macau earnings that we consider permanently invested abroad, the lower tax rates applicable to our foreign income, and the tax holiday applicable to the earnings of Wynn Macau S.A. as described below.</w:t>
      </w:r>
    </w:p>
    <w:p>
      <w:pPr>
        <w:spacing w:after="0" w:line="62" w:lineRule="exact"/>
        <w:rPr>
          <w:sz w:val="20"/>
          <w:szCs w:val="20"/>
          <w:color w:val="auto"/>
        </w:rPr>
      </w:pPr>
    </w:p>
    <w:p>
      <w:pPr>
        <w:ind w:right="360" w:firstLine="456"/>
        <w:spacing w:after="0" w:line="335" w:lineRule="auto"/>
        <w:rPr>
          <w:sz w:val="20"/>
          <w:szCs w:val="20"/>
          <w:color w:val="auto"/>
        </w:rPr>
      </w:pPr>
      <w:r>
        <w:rPr>
          <w:rFonts w:ascii="Arial" w:cs="Arial" w:eastAsia="Arial" w:hAnsi="Arial"/>
          <w:sz w:val="15"/>
          <w:szCs w:val="15"/>
          <w:color w:val="auto"/>
        </w:rPr>
        <w:t>Effective September 6, 2006, Wynn Macau, S.A. received a 5-year exemption from Macau’s 12% Complementary Tax on casino gaming profits. Accordingly, we were exempted from the payment of approximately $18.6 million in such taxes. Our non-gaming profits remain subject to the Macau Complementary Tax and our casino winnings remain subject to the Macau Special Gaming tax and other levies in accordance with its concession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operating cash flows are primarily affected by our operating income generated by Wynn Las Vegas and Wynn Macau, interest paid, and non-cash charges included in operating income. Net cash provided from operations for the nine months ended September 30, 2007 was $542.3 million compared to $170.2 million provided by operations for the nine months ended September 30, 2006. This increase is due to the operations of Wynn Macau and improved results of Wynn Las Vegas, especially in the casino department.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require a certain amount of cash on hand for operations. Our cash balances at September 30, 2007 included approximately $515 million remaining from the $900 million cash received from the sale of our subconcession on September 11, 2006. At September 30, 2007, we had approximately $829.1 million of cash and cash equivalents available for new development activities, general corporate purposes, enhancements to Wynn Las Vegas and Wynn Macau, and to support the development and construction of Encore and the expansion of Wynn Macau. Of this amount, approximately $53.1 million is held by Wynn Resorts, Limited, which is not a guarantor of the debt of its subsidiaries, including Wynn Las Vegas, LLC and Wynn Macau, S.A.</w:t>
      </w:r>
    </w:p>
    <w:p>
      <w:pPr>
        <w:spacing w:after="0" w:line="1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At September 30, 2007, we had approximately $46.8 million in cash and investments from the proceeds of our debt and equity financings, which is restricted for the following:</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Construction, development and pre-opening expenses of Encore;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$30 million restricted for the Encore completion guarantee.</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Cash equivalents include investments in overnight money market funds. Restricted investments are kept in money market funds or relatively short-term, government-backed, marketable debt securities as required by agreements governing our debt facilities.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April 28, 2006, we commenced construction on Encore. We expect to open Encore to the public in early 2009. Design and construction is progressing as expected at Encore. Current construction activities in the various project sections include the following:</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high-rise concrete pours have been completed through the 61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floor deck;</w:t>
      </w:r>
    </w:p>
    <w:p>
      <w:pPr>
        <w:spacing w:after="0" w:line="44"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drywall, mechanical, electrical and plumbing rough-in is completed up to the 29</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and framing is completed up to the 31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floor;</w:t>
      </w:r>
    </w:p>
    <w:p>
      <w:pPr>
        <w:spacing w:after="0" w:line="42" w:lineRule="exact"/>
        <w:rPr>
          <w:rFonts w:ascii="Arial" w:cs="Arial" w:eastAsia="Arial" w:hAnsi="Arial"/>
          <w:sz w:val="17"/>
          <w:szCs w:val="17"/>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Exterior glass installation is complete up to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low-rise casino concrete pours and the structural steel in the meeting rooms are complete.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structural steel for the lowrise is complete;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Concrete pours are complete for both the employee parking garage and the guest self park garage.</w:t>
      </w:r>
    </w:p>
    <w:p>
      <w:pPr>
        <w:spacing w:after="0" w:line="171"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Our project budget is approximately $2.2 billion, consisting of approximately $2.1 billion for Encore and approximately $100 million for an employee parking garage on our Koval property, an associated pedestrian bridge and costs incurred in connection with the theatre remodeling and production of “Monty Python’s Spamalot” at Wynn Las Vegas. The project is being funded from our existing Credit Facilities, operating cash flow from Wynn Las Vegas and proceeds from the $400 million addition to the Wynn Las Vegas First Mortgage Notes completed in November 2007. To the extent additional funds are required, we will provide these amounts with additional debt and equity contributions by Wynn Resorts or additional indebtedness to be incurred by Wynn Las Vegas.</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June 2007, we executed the first amendment to the Contract which set the guaranteed maximum price for work under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 As of September 30, 2007, we incurred approximately $775.8 million of project costs related to the development and construction of Encore and related capital improvements.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will be paid with funds from the following sources and in the following order of priority:</w:t>
      </w:r>
    </w:p>
    <w:p>
      <w:pPr>
        <w:spacing w:after="0" w:line="90" w:lineRule="exact"/>
        <w:rPr>
          <w:sz w:val="20"/>
          <w:szCs w:val="20"/>
          <w:color w:val="auto"/>
        </w:rPr>
      </w:pPr>
    </w:p>
    <w:p>
      <w:pPr>
        <w:ind w:left="900" w:right="1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First, by using agreed amounts of excess cash flow from the operations of Wynn Las Vegas and proceeds from the $400 million addition to the First Mortgage Notes completed in November 2007;</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Second, by using the proceeds of borrowings under the Wynn Las Vegas Credit Facilities;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 by using the funds from the completion guarantee deposit account.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In response to our evaluation of Wynn Las Vegas and the reactions of our guests, we continue to make certain enhancements and refinements to the property. As a result, we have incurred and will continue to incur capital expenditures relating to these enhancements and refinements. Under the terms of the Wynn Las Vegas Credit Facilities, we are permitted to make up to $172.2 million of capital expenditures in 2007, of which we have expended approximately $40.5 million through September 30, 2007. The spending limit may be increased to the extent funds are contributed to Wynn Las Vegas by Wynn Resorts, Limited.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31" w:name="page32"/>
    <w:bookmarkEnd w:id="31"/>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Macau</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Wynn Macau was completed and the casino resort opened on September 6, 2006. Construction and development on the expansion of Wynn Macau is progressing as planned. This expansion includes additional gaming space, a dramatic front feature attraction, a theater showroom and additional food, beverage and retail amenities. In September 2007, we opened approximately 20,000 square feet of additional gaming space and one restaurant at Wynn Macau in this expansion. The remaining portion of the expansion is expected to open by the first quarter of 2008. After the completion of the expansion, Wynn Macau is expected to have a total of approximately 380 table games and 1,200 slot machines.</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July 2007, Wynn Macau S.A. issued a notice to proceed and on November 8, 2007, executed a guaranteed maximum price contract for $347.8 million with Leighton Contractors (Asia) Limited, China State Construction Engineering (Hong Kong) Limited and China Construction Engineering (Macau) Company Limited, acting together as the general contractor, for the construction of the Wynn Diamond Suites. While the complete project budget is still being finalized, we expect total cost to be in the range of $550 to $600 million. We expect Wynn Diamond Suites to open to the public in the first half of 2010.</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September 30, 2007, the Company has incurred approximately $1.1 billion of the total Wynn Macau project budget of approximately $1.2 billion, including the expansion, and approximately $29.6 million related to Wynn Diamond Suites.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Limited</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June 7, 2007, our Board of Directors authorized an equity repurchase program of up to $1.2 billion which may include purchases of both our common stock and our 6% Convertible Debentures due 2015. The repurchase program may include repurchases from time to time through open market purchases or negotiated transactions, depending upon market conditions. As of September 30, 2007, we had repurchased 1,889,321 shares of our common stock through open market purchases for a net cost of $179.3 million, at an average price of $94.89 per share.</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June 15, 2007, we announced that we had called for redemption on July 20, 2007, all of the outstanding principal amount of our 6% Convertible Subordinated Debentures due 2015 (the “Debentures”). Prior to redemption, in July 2007 all of the holders converted their Debentures into shares of our common stock at a conversion price of $23 per share (a conversion rate of approximately 43.4782 shares per $1,000 principal amount of Debentures). Cash was paid in lieu of fractional shares. As a result, in July 2007, $224.1 million principal amount of the Debentures were converted into 9,744,680 shares of our common stock. Accordingly in July 2007 long-term debt was reduced by $224.1 million, equity was increased by $218.9 million, and deferred financing costs were reduced by approximately $5.2 million.</w:t>
      </w:r>
    </w:p>
    <w:p>
      <w:pPr>
        <w:spacing w:after="0" w:line="144"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On June 21, 2007, we entered into a $1 billion term loan facility (the “Term Loan”). Borrowings under the Term Loan are available in the form of a delayed-draw term loan facility available through December 31, 2007, with the option to increase the facility to $1.25 billion if certain conditions are met. The Term Loan will mature and be payable on June 21, 2010. We may use the Term Loan to fund (a) our equity repurchase program announced on June 7, 2007, (b) up to $150 million in swing line (overnight) borrowings, and (c) up to $350 million for general corporate purposes.</w:t>
      </w:r>
    </w:p>
    <w:p>
      <w:pPr>
        <w:spacing w:after="0" w:line="113"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Loans under the Term Loan accrue interest at our election of LIBOR or a Base Rate, plus a borrowing margin as described below. Interest on LIBOR loans are payable at the end of the applicable interest period in the case of interest periods of one, two or three months, and every three months in the case of interest periods of nine months or longer. Base Rate loans bear interest at (a) the greater of (i) the rate most recently announced by Deutsche Bank as its “prime rate,” or</w:t>
      </w:r>
    </w:p>
    <w:p>
      <w:pPr>
        <w:spacing w:after="0" w:line="1" w:lineRule="exact"/>
        <w:rPr>
          <w:sz w:val="20"/>
          <w:szCs w:val="20"/>
          <w:color w:val="auto"/>
        </w:rPr>
      </w:pPr>
    </w:p>
    <w:p>
      <w:pPr>
        <w:ind w:right="480" w:firstLine="8"/>
        <w:spacing w:after="0" w:line="323" w:lineRule="auto"/>
        <w:tabs>
          <w:tab w:leader="none" w:pos="258"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Funds Rate plus 1/2 of 1% per annum; plus (b) a borrowing margin as described below. Interest on Base Rate loans are payable quarterly in arrears. The borrowing margin is 2.25% for LIBOR loans and 1% for Base Rate loans, if the Company’s net liquidity is equal to or greater than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32" w:name="page33"/>
    <w:bookmarkEnd w:id="32"/>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$400 million and 2.50% for LIBOR loans and 1.25% for Base Rate loans, if the Company’s net liquidity is less than $400 million. For borrowings under the Term Loan, we expect to elect interest at LIBOR plus a margin of 2.25% on the outstanding balance. We pay 112.5 bps per annum of the actual daily amount by which the actual Term Loan commitment exceeds the outstanding amount of the Term Loan.</w:t>
      </w:r>
    </w:p>
    <w:p>
      <w:pPr>
        <w:spacing w:after="0" w:line="14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On October 3, 2007, we completed a secondary common stock offering of 4,312,500 shares with net proceeds of $154 per share or $664,125,000. We intend to use the proceeds for general corporate purposes and to enhance our financial flexibility for future projects and potential new developments.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September 30, 2007, our Wynn Las Vegas Credit Facilities consist of a $900 million revolving credit facility (the “Revolver”) and $225 million term loan facility (the “Wynn Las Vegas Term Loan”). For borrowings under the Wynn Las Vegas Term Loan we have elected, and expect to continue to elect, Eurodollar loans which bear interest at the 1-month LIBOR and include a margin of 1.875% on that outstanding balance. We have a $200 million notional amount interest rate swap to essentially fix the interest on $200 million of the Wynn Las Vegas Term Loan at the rate of 5.7% per annum. (For further information, see Item 3. “Quantitative and Qualitative Discussions about Market Risk”.)</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of September 30, 2007, there was $91.5 million outstanding under the Revolver. We also had $16.7 million of outstanding letters of credit that reduced our availability under the Revolver. Consequently, $791.8 million remains available under the Revolver for future borrowings for the construction of Encore or for other uses as necessary. For borrowings under the Revolver, we have elected, and expect to continue to elect, Eurodollar loans, which bear interest at the 1-month LIBOR and currently include a margin of 1.625% on the outstanding balance. After opening Encore, the margin will fluctuate between a range of 1% to 1.75%, depending on our leverage ratio. In addition to interest, we also pay quarterly in arrears, an annual rate of 0.375% on the daily average of unborrowed availability under the Revolver. After the opening of Encore, the annual fee that we will be required to pay for unborrowed availability under the Revolver will be based on our leverage ratio and will range from an annual rate of 0.25% to 0.50%.</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$900 million Revolver will terminate and be payable in full on August 15, 2011. The Term Loan will mature in two installments: $112.5 million will be payable on September 30, 2012 and the remaining $112.5 million will be payable on August 15, 2013.</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April 2007, we amended the Wynn Las Vegas Credit Facilities to: (a) have the Final Completion as defined, be deemed satisfied for Wynn Las Vegas with the resulting release of (i) all amounts in excess of $30 million from the Completion Guaranty Deposit Account, ($24.6 million), and (ii) the balance of funds in the Project Liquidity Reserve Account ($32.8 million), (b) increase the permitted expenditures for Encore from $300 million to $500 million prior to the execution of a guaranteed maximum price construction contract, and (c) permit the issuance of up to $500 million of unsecured debt as and when permitted under the indenture governing the First Mortgage Notes.</w:t>
      </w:r>
    </w:p>
    <w:p>
      <w:pPr>
        <w:spacing w:after="0" w:line="14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October 2007, we amended the Wynn Las Vegas Credit Facilities to (a) permit the issuance of up to $500 million of secured indebtedness, (b) remove certain language related to the inter-company loan made by Wynn Las Vegas to Wynn Resorts (Macau) S.A. and (c) amend certain provisions governing Wynn Las Vegas’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3" w:name="page34"/>
    <w:bookmarkEnd w:id="33"/>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insurance related obligations. Also in October, 2007, pursuant to the Wynn Las Vegas Credit Facilities, Wynn Las Vegas entered into a pre-agreed upon form of Amended and Restated Master Disbursement Agreement with Deutsche Bank Trust Company Americas as Bank Agent and Disbursement Agent.</w:t>
      </w:r>
    </w:p>
    <w:p>
      <w:pPr>
        <w:spacing w:after="0" w:line="8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 xml:space="preserve">On November 6, 2007, Wynn Las Vegas, LLC and Wynn Las Vegas Capital Corp. (the “issuers”), each a direct or indirect wholly owned subsidiary of Wynn Resorts, Limited, issued, in a private offering, $400 million aggregate principal amount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due 2014 at a price of 97.25% of the principal amount. The notes were issued under the same indenture as the previously issued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The notes rank pari passu with, and will vote on any matter submitted to noteholders with, the previously issued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The notes are senior secured obligations of the issuers, are guaranteed by Wynn Las Vegas, LLC’s subsidiaries (subject to some exceptions), and are secured by a first priority lien on substantially all of the existing and future assets of the issuers and guarantors.</w:t>
      </w:r>
    </w:p>
    <w:p>
      <w:pPr>
        <w:spacing w:after="0" w:line="1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notes have not been registered under the Securities Act of 1933 or under any state securities laws. Therefore, we may not offer or sell the notes within the United States to, or for the account or benefit of, any United States person unless the offer or sale would qualify for a registration exemption from the Securities Act and applicable state securities laws. We have agreed to make an offer to exchange the notes for registered, publicly traded notes that have substantially identical terms as the notes.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$32.5 Million Term Loan for Aircraft</w:t>
      </w:r>
    </w:p>
    <w:p>
      <w:pPr>
        <w:spacing w:after="0" w:line="9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On May 10, 2007, World Travel G-IV, a subsidiary of Wynn Resorts, entered into a $32.5 million term loan credit facility to finance the purchase of an aircraft. The loan will bear interest at LIBOR plus 1.15% and will mature on August 10, 2012. Principal and interest payments are made quarterly beginning July 1, 2007. Principal payments are approximately $542,000 with a balloon payment of $21.1 million due at maturity.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June 27, 2007, Wynn Resorts (Macau) S.A., amended its credit facilities, dated September 14, 2005 (“Amended Common Terms Agreement”), and entered into other related amendments and agreements with a syndicate of lenders. The Amended Common Terms Agreement and related agreements took effect on June 29, 2007 and expand availability under Wynn Macau, S.A.’s existing senior bank facility from $764 million to $1.550 billion, including a $550 million equivalent fully funded senior term loan facility, and a $1 billion senior revolving credit facility. Wynn Macau, S.A. also has the ability to upsize the total facilities by an additional $50 million pursuant to the terms and provisions of the Amended Common Terms Agreement. All of the senior credit facilities described above are collectively referred to herein as the “Senior Secured Credit Facilities”.</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term loan facilities mature in June 2014, and the revolving credit facility matures in June 2012. The principal amount of the term loans is required to be repaid in quarterly installments, commencing in September 2011. Borrowings under the Senior Secured Credit Facilities bear interest at LIBOR or HIBOR plus a margin of 1.75%.</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Borrowings under the Senior Secured Credit Facilities will be used to complete the expansion of Wynn Macau and fund pre-opening expenses for the</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expansion, to finance the development of the Wynn Diamond Suites, make investments in other projects in and around Macau and for general corporate purposes.</w:t>
      </w:r>
    </w:p>
    <w:p>
      <w:pPr>
        <w:spacing w:after="0" w:line="19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part of the amendment to the Senior Secured Credit Facilities, Wynn Resorts Limited’s remaining support obligations to Wynn Macau and $30 million in contingent equity previously provided by the Company have been released.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4" w:name="page35"/>
    <w:bookmarkEnd w:id="34"/>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Collateral for the Wynn Macau senior bank facility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$44.75 Million Note Payable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30, 2007, World Travel, LLC, a subsidiary of Wynn Las Vegas, refinanced the $44.75 million note payable. The new loan has a principal balance of $42 million and is due April 1, 2017. The loan is guaranteed by Wynn Las Vegas, LLC and secured by a first priority security interest in one of the Company’s aircrafts. Principal and interest are due quarterly with a balloon payment of $28 million due at maturity. Interest is calculated at the 90-day LIBOR plus 125 basis points. In connection with this transaction, we incurred a loss from extinguishment of debt of $157,000 related to the write-off of unamortized debt issue costs associated with the original loan.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 and Off Balance Sheet Arrangements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There have been no material changes outside the ordinary course of business during the nine months ended September 30, 2007 to our contractual obligations or off balance sheet arrangements as disclosed in our Annual Report on Form 10-K for the year ended December 31, 2006, except as follows. As of September 30, 2007, we had borrowed $150 million under a $1 billion term loan facility entered into on June 21, 2007. The term loan will mature and be payable on June 21, 2010. Additionally, our obligations over the next 1 to 3 years under construction contracts and commitments increased by approximately $1.6 billion upon our execution of a first amendment to the Contract with our contractor for the construction of Encore totaling $1.3 billion and in July 2007, Wynn Resorts (Macau), S.A. issued a notice to proceed to the general contractor with respect to approximately $347.8 million of construction costs relating to the construction of Wynn Diamond Suites.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Wynn Resorts is a holding company and, as a result, our ability to pay dividends is dependent on our ability to obtain funds and partially on our subsidiaries’ ability to provide funds to us. Restrictions imposed by our subsidiaries’ debt instruments significantly restrict certain key subsidiaries holding a majority of our assets, including Wynn Las Vegas, LLC and Wynn Macau, S.A., from making dividends or distributions to us.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other Credit Facilities of Wynn Las Vegas, LLC and Wynn Macau, S.A. contain similar restrictions; although the Wynn Macau, S.A. loan agreements permit distribution of the net proceeds of the subconcession sale.</w:t>
      </w:r>
    </w:p>
    <w:p>
      <w:pPr>
        <w:spacing w:after="0" w:line="14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completion of Encore or the second phase of Wynn Macau is delayed, then our debt service obligations accruing prior to the actual opening will increase correspondingly. Wynn Las Vegas will fund its operations and capital requirements from operating cash flow and remaining availability under Wynn Las Vegas, LLC’s Credit Facilities. We cannot assure you, however, that Wynn Las Vegas will generate sufficient cash flow from operations or that future borrowings available to us under the Wynn Las Vegas Credit Facilities will be sufficient to enable us to service and repay Wynn Las Vegas, LLC’s indebtedness and to fund its other liquidity needs. Similarly, we expect that Wynn Macau will fund Wynn Macau, S.A.’s debt service obligations with operating cash flow and remaining availability under its Senior Secured Credit Facility. However, we cannot assure you that operating cash flows and available borrowings will be sufficient to do so. We may refinance all or a portion of our indebtedness on or before maturity. We cannot assure you that we will be able to refinance any of the indebtedness on acceptable terms or at all.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5" w:name="page36"/>
    <w:bookmarkEnd w:id="35"/>
    <w:p>
      <w:pPr>
        <w:ind w:right="1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 We may decide to conduct any such development through Wynn Resorts or through subsidiaries separate from the Las Vegas or Macau-related entities.</w:t>
      </w:r>
    </w:p>
    <w:p>
      <w:pPr>
        <w:spacing w:after="0" w:line="11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will increase our leverage ratio.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2006. There has been no material change to these policies for the nine months ended September 30, 2007, other than as related to the allowance for estimated doubtful accounts receivable and income taxes as noted below.</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 substantial portion of our outstanding receivables relates to casino credit play. Credit play, through the issuance of markers, represents a significant portion of the table games volume at Wynn Las Vegas. However, the issuance of credit at Wynn Macau is less significant when compared to Wynn Las Vegas. We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Wynn Las Vegas are generally legally enforceable instruments in the United States, and United States assets of foreign customers may be used to satisfy judgments entered in the United States.</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particularly burdensome. We closely consider the likelihood and difficulty of enforceability, among other factors, when issuing credit to customers who are not residents of the United States. In addition to our internal credit and collection departments, located in both Las Vegas and Macau, we have a network of legal, accounting and collection professionals to assist us in our determinations regarding enforceability and our overall collection efforts.</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As of September 30, 2007 and December 31, 2006, approximately 63% and 59% of our casino accounts receivable were owed by customers from foreign countries, primarily in Asia. The collectibility of markers given by foreign customers is affected by a number of factors including changes in currency exchange rates and economic conditions in the customers’ home countries.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presents key statistics related to our casino accounts receivable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159,292</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148,929</w:t>
            </w:r>
          </w:p>
        </w:tc>
        <w:tc>
          <w:tcPr>
            <w:tcW w:w="14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58,118</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35,183</w:t>
            </w:r>
          </w:p>
        </w:tc>
        <w:tc>
          <w:tcPr>
            <w:tcW w:w="14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18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23.6%</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13.9%</w:t>
            </w:r>
          </w:p>
        </w:tc>
      </w:tr>
    </w:tbl>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increase in the allowance for doubtful accounts as a percentage of casino accounts receivable is due to a normal increase in casino accounts receivable outstanding over 180 days. While collection efforts remain active, it is our current policy to fully reserve all accounts over one year old. Our reserve methodology is applied similarly to credit extended at both Wynn Las Vegas and Wynn Macau. As of September 30, 2007 and December 31, 2006, approximately 27% and 10% respectively, of our outstanding casino account receivable balance originated at Wynn Macau.</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expense may fluctuate.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subject to income taxes in the United States and other foreign jurisdictions where the Company operates. We account for income taxes in accordance with SFAS No. 109, “Accounting for Income Taxes”. SFAS No. 109 requires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SFAS No. 109 requires recognition of a future tax benefit to the extent that realization of such benefit is more likely than not. Otherwise, a valuation allowance is applied. During our development stage, we accumulated significant net operating losses, which generated significant deferred tax assets. Because of the Company’s limited operating history, we had previously fully reserved these net deferred tax assets. On September 11, 2006, we recorded a gain of $899.4 million on the sale of the subconcession right. Accordingly we determined that a substantial portion of these net deferred tax assets have become more likely than not realizable as defined by SFAS No. 109.</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income tax returns are subject to examination by the Internal Revenue Service (“IRS”) and other tax authorities in the locations where it operates. The Company assesses potentially unfavorable outcomes of such examinations based on the criteria of FASB Interpretation No. 48 (“FIN 48”) “Accounting for Uncertainty in Income Taxes” which the Company adopted on January 1, 2007. The Interpretation prescribes a minimum recognition threshold a tax position is required to meet before being recognized in the financial statements. As a result, the Company’s income tax recognition policy related to uncertain income tax positions is no longer covered by SFAS No. 5.</w:t>
      </w:r>
    </w:p>
    <w:p>
      <w:pPr>
        <w:spacing w:after="0" w:line="11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FIN 48 applies to all tax positions related to income taxes subject to SFAS No. 109. FIN 48 utilizes a two-step approach for evaluating tax positions. Recognition (Step I) occurs when the Company concludes that a tax position, based on its technical merits, is more likely than not to be sustained upon examination.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0" w:right="279" w:bottom="1440" w:gutter="0" w:footer="0" w:header="0"/>
        </w:sectPr>
      </w:pPr>
    </w:p>
    <w:bookmarkStart w:id="37" w:name="page38"/>
    <w:bookmarkEnd w:id="37"/>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Measurement (Step II) is only addressed if the position is deemed to be more likely than not to be sustained. Under Step II, the tax benefit is measured as the largest amount of benefit that is more likely than not to be realized upon settlement. FIN 48’s use of the term “more likely than not” is consistent with how that term is used in SFAS No. 109 (i.e. likelihood of occurrence is greater than 50%).</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tax positions failing to qualify for initial recognition is to be recognized in the first subsequent interim period that they meet the “more likely than not” standard. If it is subsequently determined that a previously recognized tax position no longer meets the “more likely than not” standard, it is required that the tax position is derecognized. FIN 48 specifically prohibits the use of a valuation allowance as a substitute for derecognition of tax positions. As applicable, the Company will recognize accrued penalties and interest related to unrecognized tax benefits in the provision for income taxes. During the nine months ended September 30, 2007 and the year ended December 31, 2006, the Company recognized no amounts for interest or penalties.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We have not yet determined the impact this statement will have on our consolidated financial statements after it is adopted on January 1, 2008.</w:t>
      </w:r>
    </w:p>
    <w:p>
      <w:pPr>
        <w:spacing w:after="0" w:line="21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account for these swaps under SFAS No. 133 and its related interpretations.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September 30, 2007, we have one interest rate swap arrangement to hedge the underlying interest rate risk on a total of $200 million of borrowings under the current Wynn Las Vegas, LLC term loan facility, which bears interest at LIBOR plus 1.875%. Under this interest rate swap arrangement, we receive payments at a variable rate of LIBOR and pay a fixed rate of 3.793% on the $200 million notional amount which expires on December 31, 2008. Although this interest rate swap is highly effective economically in fixing the interest rate on this borrowing under the new term loan facility at approximately 5.7%, changes in fair value of our interest rate swaps for each reporting period are, and will continue to be, recorded as an increase/(decrease) in swap fair value as the swap does not qualify for hedge accounting.</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80" w:right="279" w:bottom="1440" w:gutter="0" w:footer="0" w:header="0"/>
        </w:sectPr>
      </w:pPr>
    </w:p>
    <w:bookmarkStart w:id="38" w:name="page39"/>
    <w:bookmarkEnd w:id="38"/>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Macau</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As of September 30, 2007, we have two interest rate swaps to hedge a portion of the underlying interest rate risk on borrowings under Wynn Macau S.A.’s senior term loan facility. Under the first swap agreement, we pay a fixed interest rate of 4.84% on borrowings estimated to be incurred under the senior term loan facility up to a maximum of approximately $198.2 million, in exchange for receipts on the same amounts at a variable interest rate based on the applicable LIBOR at the time of payment. Under the second swap agreement, we pay a fixed interest rate of 4.77% on borrowings estimated to be incurred under the senior term loan facility up to a maximum of approximately HK$1.1 billion (approximately US$141.1 million), in exchange for receipts on the same amounts at a variable interest rate based on the applicable HIBOR at the time of payment. The term of both swap agreements is from November 28, 2005 through November 28, 2008.</w:t>
      </w:r>
    </w:p>
    <w:p>
      <w:pPr>
        <w:spacing w:after="0" w:line="14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These interest rate swaps are expected to be highly effective in fixing the interest rate on approximately 100% of the US dollar and approximately 35% of the Hong Kong dollar borrowings under the senior bank facility at approximately 6.59% and 6.52%, respectively. However, changes in the fair values of these interest rate swaps for each reporting period recorded are, and will continue to be, recognized as an increase/(decrease) in swap fair value as the swaps do not qualify for hedge accounting.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presents the historical asset or (liability) fair values of our interest rate swap arrangements (reflected in deposits and other assets or in other long-term liabilities as appropriate) as of September 30, 2007 and December 31, 2006 (all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Wynn Las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Vegas</w:t>
            </w:r>
          </w:p>
        </w:tc>
        <w:tc>
          <w:tcPr>
            <w:tcW w:w="3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Wynn Macau</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 (Liability) Fair Value at:</w:t>
            </w:r>
          </w:p>
        </w:tc>
        <w:tc>
          <w:tcPr>
            <w:tcW w:w="62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Interest Rate</w:t>
            </w:r>
          </w:p>
        </w:tc>
        <w:tc>
          <w:tcPr>
            <w:tcW w:w="3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Interest Rate</w:t>
            </w:r>
          </w:p>
        </w:tc>
        <w:tc>
          <w:tcPr>
            <w:tcW w:w="32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All Interest</w:t>
            </w:r>
          </w:p>
        </w:tc>
        <w:tc>
          <w:tcPr>
            <w:tcW w:w="0" w:type="dxa"/>
            <w:vAlign w:val="bottom"/>
          </w:tcPr>
          <w:p>
            <w:pPr>
              <w:spacing w:after="0"/>
              <w:rPr>
                <w:sz w:val="1"/>
                <w:szCs w:val="1"/>
                <w:color w:val="auto"/>
              </w:rPr>
            </w:pPr>
          </w:p>
        </w:tc>
      </w:tr>
      <w:tr>
        <w:trPr>
          <w:trHeight w:val="148"/>
        </w:trPr>
        <w:tc>
          <w:tcPr>
            <w:tcW w:w="72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7"/>
              </w:rPr>
              <w:t>Swap</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90"/>
              </w:rPr>
              <w:t>Swaps</w:t>
            </w:r>
          </w:p>
        </w:tc>
        <w:tc>
          <w:tcPr>
            <w:tcW w:w="320" w:type="dxa"/>
            <w:vAlign w:val="bottom"/>
          </w:tcPr>
          <w:p>
            <w:pPr>
              <w:spacing w:after="0"/>
              <w:rPr>
                <w:sz w:val="12"/>
                <w:szCs w:val="12"/>
                <w:color w:val="auto"/>
              </w:rPr>
            </w:pPr>
          </w:p>
        </w:tc>
        <w:tc>
          <w:tcPr>
            <w:tcW w:w="7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86"/>
              </w:rPr>
              <w:t>Rate Swaps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2,004</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(1,030)</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December 31, 2006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4,789</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(1,467)</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fair value approximates the amount we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2007, approximately 75% of our long-term debt was based on fixed rates, including the notional amounts related to interest rate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swaps. Based on our borrowings as of September 30, 2007, an assumed 1% change in variable rates would cause our annual interest cost to change by $6 million.</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39" w:name="page40"/>
    <w:bookmarkEnd w:id="39"/>
    <w:p>
      <w:pPr>
        <w:ind w:right="10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80" w:firstLine="464"/>
        <w:spacing w:after="0" w:line="286" w:lineRule="auto"/>
        <w:tabs>
          <w:tab w:leader="none" w:pos="695"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the other information set forth in this Form 10-Q, you should carefully consider the factors discussed in Part I, “Item 1A. Risk Factors” in our Annual Report on Form 10-K for the year ended December 31, 2006, and the developments disclosed in our filings with the SEC since the date of the Form 10-K that relate to the risks described in our Form 10-K. The matters described in Part I, “Item 1A. Risk Factors” of our Form 10-K address a number of risks and uncertainties which could materially affect our our business, financial condition, operating results and/or future prospects. Additional risks and uncertainties not currently known to us or that we currently deem to be immaterial also may materially adversely affect our business, financial condition, operating results and/or future prospects.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Debentures Conversions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Debentures were convertible at each holder’s option into shares of the Company’s common stock at a conversion price of $23.00 per share (equivalent to 43.4782 shares per $1,000 principal amount). During the third quarter of 2007, we issued shares of common stock upon conversion of all of the outstanding Debentures, as set forth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Amount</w:t>
            </w:r>
          </w:p>
        </w:tc>
        <w:tc>
          <w:tcPr>
            <w:tcW w:w="720" w:type="dxa"/>
            <w:vAlign w:val="bottom"/>
          </w:tcPr>
          <w:p>
            <w:pPr>
              <w:spacing w:after="0"/>
              <w:rPr>
                <w:sz w:val="14"/>
                <w:szCs w:val="14"/>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6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Debentures</w:t>
            </w:r>
          </w:p>
        </w:tc>
        <w:tc>
          <w:tcPr>
            <w:tcW w:w="720" w:type="dxa"/>
            <w:vAlign w:val="bottom"/>
          </w:tcPr>
          <w:p>
            <w:pPr>
              <w:spacing w:after="0"/>
              <w:rPr>
                <w:sz w:val="12"/>
                <w:szCs w:val="12"/>
                <w:color w:val="auto"/>
              </w:rPr>
            </w:pP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Shares Issued</w:t>
            </w:r>
          </w:p>
        </w:tc>
        <w:tc>
          <w:tcPr>
            <w:tcW w:w="0" w:type="dxa"/>
            <w:vAlign w:val="bottom"/>
          </w:tcPr>
          <w:p>
            <w:pPr>
              <w:spacing w:after="0"/>
              <w:rPr>
                <w:sz w:val="1"/>
                <w:szCs w:val="1"/>
                <w:color w:val="auto"/>
              </w:rPr>
            </w:pPr>
          </w:p>
        </w:tc>
      </w:tr>
      <w:tr>
        <w:trPr>
          <w:trHeight w:val="148"/>
        </w:trPr>
        <w:tc>
          <w:tcPr>
            <w:tcW w:w="692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Converted</w:t>
            </w:r>
          </w:p>
        </w:tc>
        <w:tc>
          <w:tcPr>
            <w:tcW w:w="720" w:type="dxa"/>
            <w:vAlign w:val="bottom"/>
          </w:tcPr>
          <w:p>
            <w:pPr>
              <w:spacing w:after="0"/>
              <w:rPr>
                <w:sz w:val="12"/>
                <w:szCs w:val="12"/>
                <w:color w:val="auto"/>
              </w:rPr>
            </w:pPr>
          </w:p>
        </w:tc>
        <w:tc>
          <w:tcPr>
            <w:tcW w:w="108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7"/>
              </w:rPr>
              <w:t>Upon Conversion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July 2007</w:t>
            </w:r>
          </w:p>
        </w:tc>
        <w:tc>
          <w:tcPr>
            <w:tcW w:w="180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92"/>
              </w:rPr>
              <w:t>$ 224,128,000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9,744,680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shares of common stock were issued in reliance upon the exemption from registration provided in Section 3(a)(9) of the Securities Act of 1933, as amended. No commission or other remuneration was paid or given directly or indirectly for soliciting these transactions.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regularly declared or paid cash dividends on shares of our common stock.</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Resorts, Limited is a holding company and, as a result, our ability to pay dividends is dependent on our ability to obtain funds and partially our subsidiaries’ ability to provide funds to us. Restrictions imposed by Wynn Resorts, Limited subsidiaries’ debt instruments significantly restrict certain key subsidiaries holding a majority of our assets, including Wynn Las Vegas, LLC and Wynn Macau, S.A. from making dividends or distributions to Wynn Resorts, Limited.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cannot be made unless certain financial and non-financial criteria have been satisfied. In addition, the terms of the other loan agreements of Wynn Las Vegas, LLC and Wynn Macau, S.A. contain similar restrictions; provided that the Wynn Macau, S.A. loan documents permit distribution of the net proceeds from the sale of the subconcession right in September 2006.</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41" w:name="page42"/>
    <w:bookmarkEnd w:id="41"/>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 billion Equity Repurchase Program</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June 7, 2007, the Board of Directors of Wynn Resorts, Limited authorized an equity repurchase program of up to $1.2 billion which may include purchases of both its common stock and its 6% Convertible Debentures due 2015. The repurchase program may include repurchases from time to time through open market purchases or negotiated transactions, depending upon market conditions. As of September 30, 2007, the Company had repurchased 1,889,321 shares of its common stock through open market purchases for net costs of $179.3 million, at an average price of $94.89 per share.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w:t>
            </w:r>
          </w:p>
        </w:tc>
        <w:tc>
          <w:tcPr>
            <w:tcW w:w="560" w:type="dxa"/>
            <w:vAlign w:val="bottom"/>
          </w:tcPr>
          <w:p>
            <w:pPr>
              <w:spacing w:after="0"/>
              <w:rPr>
                <w:sz w:val="14"/>
                <w:szCs w:val="14"/>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Maximum Dollar</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20" w:type="dxa"/>
            <w:vAlign w:val="bottom"/>
          </w:tcPr>
          <w:p>
            <w:pPr>
              <w:jc w:val="right"/>
              <w:ind w:right="86"/>
              <w:spacing w:after="0" w:line="149" w:lineRule="exact"/>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560" w:type="dxa"/>
            <w:vAlign w:val="bottom"/>
          </w:tcPr>
          <w:p>
            <w:pPr>
              <w:spacing w:after="0"/>
              <w:rPr>
                <w:sz w:val="12"/>
                <w:szCs w:val="12"/>
                <w:color w:val="auto"/>
              </w:rPr>
            </w:pPr>
          </w:p>
        </w:tc>
        <w:tc>
          <w:tcPr>
            <w:tcW w:w="1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w:t>
            </w:r>
          </w:p>
        </w:tc>
        <w:tc>
          <w:tcPr>
            <w:tcW w:w="580" w:type="dxa"/>
            <w:vAlign w:val="bottom"/>
          </w:tcPr>
          <w:p>
            <w:pPr>
              <w:spacing w:after="0"/>
              <w:rPr>
                <w:sz w:val="12"/>
                <w:szCs w:val="12"/>
                <w:color w:val="auto"/>
              </w:rPr>
            </w:pPr>
          </w:p>
        </w:tc>
        <w:tc>
          <w:tcPr>
            <w:tcW w:w="11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a</w:t>
            </w:r>
          </w:p>
        </w:tc>
        <w:tc>
          <w:tcPr>
            <w:tcW w:w="560" w:type="dxa"/>
            <w:vAlign w:val="bottom"/>
          </w:tcPr>
          <w:p>
            <w:pPr>
              <w:spacing w:after="0"/>
              <w:rPr>
                <w:sz w:val="12"/>
                <w:szCs w:val="12"/>
                <w:color w:val="auto"/>
              </w:rPr>
            </w:pPr>
          </w:p>
        </w:tc>
        <w:tc>
          <w:tcPr>
            <w:tcW w:w="1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20" w:type="dxa"/>
            <w:vAlign w:val="bottom"/>
          </w:tcPr>
          <w:p>
            <w:pPr>
              <w:jc w:val="right"/>
              <w:ind w:right="46"/>
              <w:spacing w:after="0" w:line="149" w:lineRule="exact"/>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Publicly</w:t>
            </w:r>
          </w:p>
        </w:tc>
        <w:tc>
          <w:tcPr>
            <w:tcW w:w="560" w:type="dxa"/>
            <w:vAlign w:val="bottom"/>
          </w:tcPr>
          <w:p>
            <w:pPr>
              <w:spacing w:after="0"/>
              <w:rPr>
                <w:sz w:val="12"/>
                <w:szCs w:val="12"/>
                <w:color w:val="auto"/>
              </w:rPr>
            </w:pPr>
          </w:p>
        </w:tc>
        <w:tc>
          <w:tcPr>
            <w:tcW w:w="1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161"/>
        </w:trPr>
        <w:tc>
          <w:tcPr>
            <w:tcW w:w="3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Purchased</w:t>
            </w:r>
          </w:p>
        </w:tc>
        <w:tc>
          <w:tcPr>
            <w:tcW w:w="580" w:type="dxa"/>
            <w:vAlign w:val="bottom"/>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per Share</w:t>
            </w:r>
          </w:p>
        </w:tc>
        <w:tc>
          <w:tcPr>
            <w:tcW w:w="5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Announced Plan</w:t>
            </w:r>
          </w:p>
        </w:tc>
        <w:tc>
          <w:tcPr>
            <w:tcW w:w="5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the Plan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July 2007</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578,487</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96.60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578,487</w:t>
            </w:r>
          </w:p>
        </w:tc>
        <w:tc>
          <w:tcPr>
            <w:tcW w:w="172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9"/>
              </w:rPr>
              <w:t>$ 1,020,722,922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August 2007</w:t>
            </w:r>
          </w:p>
        </w:tc>
        <w:tc>
          <w:tcPr>
            <w:tcW w:w="2880" w:type="dxa"/>
            <w:vAlign w:val="bottom"/>
          </w:tcPr>
          <w:p>
            <w:pPr>
              <w:spacing w:after="0"/>
              <w:rPr>
                <w:sz w:val="18"/>
                <w:szCs w:val="18"/>
                <w:color w:val="auto"/>
              </w:rPr>
            </w:pPr>
          </w:p>
        </w:tc>
        <w:tc>
          <w:tcPr>
            <w:tcW w:w="62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September 2007</w:t>
            </w:r>
          </w:p>
        </w:tc>
        <w:tc>
          <w:tcPr>
            <w:tcW w:w="28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0" w:type="dxa"/>
            <w:vAlign w:val="bottom"/>
          </w:tcPr>
          <w:p>
            <w:pPr>
              <w:spacing w:after="0"/>
              <w:rPr>
                <w:sz w:val="20"/>
                <w:szCs w:val="20"/>
                <w:color w:val="auto"/>
              </w:rPr>
            </w:pPr>
            <w:r>
              <w:rPr>
                <w:rFonts w:ascii="Arial" w:cs="Arial" w:eastAsia="Arial" w:hAnsi="Arial"/>
                <w:sz w:val="18"/>
                <w:szCs w:val="18"/>
                <w:color w:val="auto"/>
              </w:rPr>
              <w:t>Total</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578,487</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96.60</w:t>
            </w:r>
          </w:p>
        </w:tc>
        <w:tc>
          <w:tcPr>
            <w:tcW w:w="1040" w:type="dxa"/>
            <w:vAlign w:val="bottom"/>
          </w:tcPr>
          <w:p>
            <w:pPr>
              <w:jc w:val="right"/>
              <w:spacing w:after="0"/>
              <w:rPr>
                <w:sz w:val="20"/>
                <w:szCs w:val="20"/>
                <w:color w:val="auto"/>
              </w:rPr>
            </w:pPr>
            <w:r>
              <w:rPr>
                <w:rFonts w:ascii="Arial" w:cs="Arial" w:eastAsia="Arial" w:hAnsi="Arial"/>
                <w:sz w:val="18"/>
                <w:szCs w:val="18"/>
                <w:color w:val="auto"/>
              </w:rPr>
              <w:t>578,487</w:t>
            </w:r>
          </w:p>
        </w:tc>
        <w:tc>
          <w:tcPr>
            <w:tcW w:w="174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$ 1,020,722,922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880" w:type="dxa"/>
            <w:vAlign w:val="bottom"/>
            <w:vMerge w:val="restart"/>
          </w:tcPr>
          <w:p>
            <w:pPr>
              <w:jc w:val="right"/>
              <w:ind w:right="392"/>
              <w:spacing w:after="0"/>
              <w:rPr>
                <w:sz w:val="20"/>
                <w:szCs w:val="20"/>
                <w:color w:val="auto"/>
              </w:rPr>
            </w:pPr>
            <w:r>
              <w:rPr>
                <w:rFonts w:ascii="Arial" w:cs="Arial" w:eastAsia="Arial" w:hAnsi="Arial"/>
                <w:sz w:val="18"/>
                <w:szCs w:val="18"/>
                <w:color w:val="auto"/>
              </w:rPr>
              <w:t>42</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62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Arial" w:cs="Arial" w:eastAsia="Arial" w:hAnsi="Arial"/>
                <w:sz w:val="18"/>
                <w:szCs w:val="18"/>
                <w:color w:val="auto"/>
              </w:rPr>
              <w:t>(a)</w:t>
            </w:r>
          </w:p>
        </w:tc>
        <w:tc>
          <w:tcPr>
            <w:tcW w:w="10120" w:type="dxa"/>
            <w:vAlign w:val="bottom"/>
            <w:gridSpan w:val="2"/>
          </w:tcPr>
          <w:p>
            <w:pPr>
              <w:ind w:left="180"/>
              <w:spacing w:after="0"/>
              <w:rPr>
                <w:sz w:val="20"/>
                <w:szCs w:val="20"/>
                <w:color w:val="auto"/>
              </w:rPr>
            </w:pPr>
            <w:r>
              <w:rPr>
                <w:rFonts w:ascii="Arial" w:cs="Arial" w:eastAsia="Arial" w:hAnsi="Arial"/>
                <w:sz w:val="18"/>
                <w:szCs w:val="18"/>
                <w:color w:val="auto"/>
              </w:rPr>
              <w:t>Exhibits</w:t>
            </w:r>
          </w:p>
        </w:tc>
      </w:tr>
      <w:tr>
        <w:trPr>
          <w:trHeight w:val="5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80" w:type="dxa"/>
            <w:vAlign w:val="bottom"/>
          </w:tcPr>
          <w:p>
            <w:pPr>
              <w:ind w:left="350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77"/>
        </w:trPr>
        <w:tc>
          <w:tcPr>
            <w:tcW w:w="2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120" w:type="dxa"/>
            <w:vAlign w:val="bottom"/>
            <w:gridSpan w:val="2"/>
          </w:tcPr>
          <w:p>
            <w:pPr>
              <w:ind w:left="240"/>
              <w:spacing w:after="0"/>
              <w:rPr>
                <w:sz w:val="20"/>
                <w:szCs w:val="20"/>
                <w:color w:val="auto"/>
              </w:rPr>
            </w:pPr>
            <w:r>
              <w:rPr>
                <w:rFonts w:ascii="Arial" w:cs="Arial" w:eastAsia="Arial" w:hAnsi="Arial"/>
                <w:sz w:val="18"/>
                <w:szCs w:val="18"/>
                <w:color w:val="auto"/>
              </w:rPr>
              <w:t>Second Amended and Restated Articles of Incorporation of the Registrant</w:t>
            </w:r>
            <w:r>
              <w:rPr>
                <w:rFonts w:ascii="Arial" w:cs="Arial" w:eastAsia="Arial" w:hAnsi="Arial"/>
                <w:sz w:val="22"/>
                <w:szCs w:val="22"/>
                <w:color w:val="auto"/>
                <w:vertAlign w:val="superscript"/>
              </w:rPr>
              <w:t>(1)</w:t>
            </w:r>
            <w:r>
              <w:rPr>
                <w:rFonts w:ascii="Arial" w:cs="Arial" w:eastAsia="Arial" w:hAnsi="Arial"/>
                <w:sz w:val="18"/>
                <w:szCs w:val="18"/>
                <w:color w:val="auto"/>
              </w:rPr>
              <w:t>.</w:t>
            </w:r>
          </w:p>
        </w:tc>
      </w:tr>
      <w:tr>
        <w:trPr>
          <w:trHeight w:val="324"/>
        </w:trPr>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24"/>
                <w:szCs w:val="24"/>
                <w:color w:val="auto"/>
              </w:rPr>
            </w:pPr>
          </w:p>
        </w:tc>
        <w:tc>
          <w:tcPr>
            <w:tcW w:w="10120" w:type="dxa"/>
            <w:vAlign w:val="bottom"/>
            <w:gridSpan w:val="2"/>
          </w:tcPr>
          <w:p>
            <w:pPr>
              <w:ind w:left="240"/>
              <w:spacing w:after="0"/>
              <w:rPr>
                <w:sz w:val="20"/>
                <w:szCs w:val="20"/>
                <w:color w:val="auto"/>
              </w:rPr>
            </w:pPr>
            <w:r>
              <w:rPr>
                <w:rFonts w:ascii="Arial" w:cs="Arial" w:eastAsia="Arial" w:hAnsi="Arial"/>
                <w:sz w:val="18"/>
                <w:szCs w:val="18"/>
                <w:color w:val="auto"/>
              </w:rPr>
              <w:t>Fourth Amended and Restated Bylaws of the Registrant, as amended.</w:t>
            </w:r>
            <w:r>
              <w:rPr>
                <w:rFonts w:ascii="Arial" w:cs="Arial" w:eastAsia="Arial" w:hAnsi="Arial"/>
                <w:sz w:val="22"/>
                <w:szCs w:val="22"/>
                <w:color w:val="auto"/>
                <w:vertAlign w:val="superscript"/>
              </w:rPr>
              <w:t>(2)</w:t>
            </w:r>
          </w:p>
        </w:tc>
      </w:tr>
      <w:tr>
        <w:trPr>
          <w:trHeight w:val="324"/>
        </w:trPr>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4"/>
                <w:szCs w:val="24"/>
                <w:color w:val="auto"/>
              </w:rPr>
            </w:pPr>
          </w:p>
        </w:tc>
        <w:tc>
          <w:tcPr>
            <w:tcW w:w="10120" w:type="dxa"/>
            <w:vAlign w:val="bottom"/>
            <w:gridSpan w:val="2"/>
          </w:tcPr>
          <w:p>
            <w:pPr>
              <w:ind w:left="240"/>
              <w:spacing w:after="0"/>
              <w:rPr>
                <w:sz w:val="20"/>
                <w:szCs w:val="20"/>
                <w:color w:val="auto"/>
              </w:rPr>
            </w:pPr>
            <w:r>
              <w:rPr>
                <w:rFonts w:ascii="Arial" w:cs="Arial" w:eastAsia="Arial" w:hAnsi="Arial"/>
                <w:sz w:val="18"/>
                <w:szCs w:val="18"/>
                <w:color w:val="auto"/>
                <w:w w:val="97"/>
              </w:rPr>
              <w:t>Equity Underwriting Agreement dated September 28, 2007 among Wynn Resorts, Limited and Deutsche Bank Securities, Inc.</w:t>
            </w:r>
            <w:r>
              <w:rPr>
                <w:rFonts w:ascii="Arial" w:cs="Arial" w:eastAsia="Arial" w:hAnsi="Arial"/>
                <w:sz w:val="22"/>
                <w:szCs w:val="22"/>
                <w:color w:val="auto"/>
                <w:w w:val="97"/>
                <w:vertAlign w:val="superscript"/>
              </w:rPr>
              <w:t>(3)</w:t>
            </w:r>
          </w:p>
        </w:tc>
      </w:tr>
      <w:tr>
        <w:trPr>
          <w:trHeight w:val="248"/>
        </w:trPr>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21"/>
                <w:szCs w:val="21"/>
                <w:color w:val="auto"/>
              </w:rPr>
            </w:pPr>
          </w:p>
        </w:tc>
        <w:tc>
          <w:tcPr>
            <w:tcW w:w="10120" w:type="dxa"/>
            <w:vAlign w:val="bottom"/>
            <w:gridSpan w:val="2"/>
          </w:tcPr>
          <w:p>
            <w:pPr>
              <w:ind w:left="240"/>
              <w:spacing w:after="0"/>
              <w:rPr>
                <w:sz w:val="20"/>
                <w:szCs w:val="20"/>
                <w:color w:val="auto"/>
              </w:rPr>
            </w:pPr>
            <w:r>
              <w:rPr>
                <w:rFonts w:ascii="Arial" w:cs="Arial" w:eastAsia="Arial" w:hAnsi="Arial"/>
                <w:sz w:val="18"/>
                <w:szCs w:val="18"/>
                <w:color w:val="auto"/>
              </w:rPr>
              <w:t>Certification of Chief Executive Officer of Periodic Report Pursuant to Rule 13a—14(a) and Rule 15d—14(a).</w:t>
            </w:r>
          </w:p>
        </w:tc>
      </w:tr>
      <w:tr>
        <w:trPr>
          <w:trHeight w:val="324"/>
        </w:trPr>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24"/>
                <w:szCs w:val="24"/>
                <w:color w:val="auto"/>
              </w:rPr>
            </w:pPr>
          </w:p>
        </w:tc>
        <w:tc>
          <w:tcPr>
            <w:tcW w:w="10120" w:type="dxa"/>
            <w:vAlign w:val="bottom"/>
            <w:gridSpan w:val="2"/>
          </w:tcPr>
          <w:p>
            <w:pPr>
              <w:ind w:left="240"/>
              <w:spacing w:after="0"/>
              <w:rPr>
                <w:sz w:val="20"/>
                <w:szCs w:val="20"/>
                <w:color w:val="auto"/>
              </w:rPr>
            </w:pPr>
            <w:r>
              <w:rPr>
                <w:rFonts w:ascii="Arial" w:cs="Arial" w:eastAsia="Arial" w:hAnsi="Arial"/>
                <w:sz w:val="18"/>
                <w:szCs w:val="18"/>
                <w:color w:val="auto"/>
              </w:rPr>
              <w:t>Certification of Chief Financial Officer of Periodic Report Pursuant to Rule 13a—14(a) and Rule 15d—14(a).</w:t>
            </w:r>
          </w:p>
        </w:tc>
      </w:tr>
      <w:tr>
        <w:trPr>
          <w:trHeight w:val="324"/>
        </w:trPr>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24"/>
                <w:szCs w:val="24"/>
                <w:color w:val="auto"/>
              </w:rPr>
            </w:pPr>
          </w:p>
        </w:tc>
        <w:tc>
          <w:tcPr>
            <w:tcW w:w="10120" w:type="dxa"/>
            <w:vAlign w:val="bottom"/>
            <w:gridSpan w:val="2"/>
          </w:tcPr>
          <w:p>
            <w:pPr>
              <w:ind w:left="24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08"/>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460" w:right="52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August 10, 2007 and incorporated herein by reference.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October 3, 2007 and incorporated herein by reference.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43" w:name="page44"/>
    <w:bookmarkEnd w:id="4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2007</w:t>
      </w:r>
    </w:p>
    <w:p>
      <w:pPr>
        <w:spacing w:after="0" w:line="9" w:lineRule="exact"/>
        <w:rPr>
          <w:sz w:val="20"/>
          <w:szCs w:val="20"/>
          <w:color w:val="auto"/>
        </w:rPr>
      </w:pPr>
    </w:p>
    <w:p>
      <w:pPr>
        <w:ind w:left="5580"/>
        <w:spacing w:after="0"/>
        <w:tabs>
          <w:tab w:leader="none" w:pos="7800" w:val="left"/>
          <w:tab w:leader="none" w:pos="8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6985</wp:posOffset>
            </wp:positionV>
            <wp:extent cx="34734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John Strzemp</w:t>
      </w:r>
    </w:p>
    <w:p>
      <w:pPr>
        <w:jc w:val="center"/>
        <w:ind w:left="594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40"/>
          </w:cols>
          <w:pgMar w:left="240" w:top="274" w:right="111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480" w:val="left"/>
          <w:tab w:leader="none" w:pos="7640" w:val="left"/>
          <w:tab w:leader="none" w:pos="8000" w:val="left"/>
        </w:tabs>
        <w:rPr>
          <w:sz w:val="20"/>
          <w:szCs w:val="20"/>
          <w:color w:val="auto"/>
        </w:rPr>
      </w:pPr>
      <w:r>
        <w:rPr>
          <w:rFonts w:ascii="Arial" w:cs="Arial" w:eastAsia="Arial" w:hAnsi="Arial"/>
          <w:sz w:val="18"/>
          <w:szCs w:val="18"/>
          <w:color w:val="auto"/>
        </w:rPr>
        <w:t>Date: November 9,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Stephen A. Wynn</w:t>
      </w:r>
    </w:p>
    <w:p>
      <w:pPr>
        <w:jc w:val="center"/>
        <w:ind w:left="5960"/>
        <w:spacing w:after="0" w:line="223" w:lineRule="auto"/>
        <w:rPr>
          <w:sz w:val="20"/>
          <w:szCs w:val="20"/>
          <w:color w:val="auto"/>
        </w:rPr>
      </w:pPr>
      <w:r>
        <w:rPr>
          <w:rFonts w:ascii="Arial" w:cs="Arial" w:eastAsia="Arial" w:hAnsi="Arial"/>
          <w:sz w:val="14"/>
          <w:szCs w:val="14"/>
          <w:b w:val="1"/>
          <w:bCs w:val="1"/>
          <w:color w:val="auto"/>
        </w:rPr>
        <w:t>Chairman of the Board and Chief Executive Officer</w:t>
      </w:r>
    </w:p>
    <w:p>
      <w:pPr>
        <w:jc w:val="center"/>
        <w:ind w:left="59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Strzemp,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480" w:val="left"/>
          <w:tab w:leader="none" w:pos="7940" w:val="left"/>
        </w:tabs>
        <w:rPr>
          <w:sz w:val="20"/>
          <w:szCs w:val="20"/>
          <w:color w:val="auto"/>
        </w:rPr>
      </w:pPr>
      <w:r>
        <w:rPr>
          <w:rFonts w:ascii="Arial" w:cs="Arial" w:eastAsia="Arial" w:hAnsi="Arial"/>
          <w:sz w:val="18"/>
          <w:szCs w:val="18"/>
          <w:color w:val="auto"/>
        </w:rPr>
        <w:t>Date: November 9,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John Strzemp</w:t>
      </w:r>
    </w:p>
    <w:p>
      <w:pPr>
        <w:jc w:val="center"/>
        <w:ind w:left="59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59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September 30, 2007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32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00" w:type="dxa"/>
            <w:vAlign w:val="bottom"/>
            <w:tcBorders>
              <w:bottom w:val="single" w:sz="8" w:color="auto"/>
            </w:tcBorders>
          </w:tcPr>
          <w:p>
            <w:pPr>
              <w:jc w:val="center"/>
              <w:ind w:right="1184"/>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r>
      <w:tr>
        <w:trPr>
          <w:trHeight w:val="145"/>
        </w:trPr>
        <w:tc>
          <w:tcPr>
            <w:tcW w:w="56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1320" w:type="dxa"/>
            <w:vAlign w:val="bottom"/>
          </w:tcPr>
          <w:p>
            <w:pPr>
              <w:spacing w:after="0"/>
              <w:rPr>
                <w:sz w:val="12"/>
                <w:szCs w:val="12"/>
                <w:color w:val="auto"/>
              </w:rPr>
            </w:pPr>
          </w:p>
        </w:tc>
        <w:tc>
          <w:tcPr>
            <w:tcW w:w="2700" w:type="dxa"/>
            <w:vAlign w:val="bottom"/>
          </w:tcPr>
          <w:p>
            <w:pPr>
              <w:jc w:val="center"/>
              <w:ind w:right="1244"/>
              <w:spacing w:after="0" w:line="145" w:lineRule="exact"/>
              <w:rPr>
                <w:sz w:val="20"/>
                <w:szCs w:val="20"/>
                <w:color w:val="auto"/>
              </w:rPr>
            </w:pPr>
            <w:r>
              <w:rPr>
                <w:rFonts w:ascii="Arial" w:cs="Arial" w:eastAsia="Arial" w:hAnsi="Arial"/>
                <w:sz w:val="14"/>
                <w:szCs w:val="14"/>
                <w:b w:val="1"/>
                <w:bCs w:val="1"/>
                <w:color w:val="auto"/>
                <w:w w:val="88"/>
              </w:rPr>
              <w:t>Stephen A. Wynn</w:t>
            </w:r>
          </w:p>
        </w:tc>
      </w:tr>
      <w:tr>
        <w:trPr>
          <w:trHeight w:val="149"/>
        </w:trPr>
        <w:tc>
          <w:tcPr>
            <w:tcW w:w="560" w:type="dxa"/>
            <w:vAlign w:val="bottom"/>
          </w:tcPr>
          <w:p>
            <w:pPr>
              <w:spacing w:after="0" w:line="149" w:lineRule="exact"/>
              <w:rPr>
                <w:sz w:val="20"/>
                <w:szCs w:val="20"/>
                <w:color w:val="auto"/>
              </w:rPr>
            </w:pPr>
            <w:r>
              <w:rPr>
                <w:rFonts w:ascii="Arial" w:cs="Arial" w:eastAsia="Arial" w:hAnsi="Arial"/>
                <w:sz w:val="14"/>
                <w:szCs w:val="14"/>
                <w:b w:val="1"/>
                <w:bCs w:val="1"/>
                <w:color w:val="auto"/>
              </w:rPr>
              <w:t>Title:</w:t>
            </w:r>
          </w:p>
        </w:tc>
        <w:tc>
          <w:tcPr>
            <w:tcW w:w="4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Chairman and Chief Executive Officer</w:t>
            </w:r>
          </w:p>
        </w:tc>
      </w:tr>
      <w:tr>
        <w:trPr>
          <w:trHeight w:val="174"/>
        </w:trPr>
        <w:tc>
          <w:tcPr>
            <w:tcW w:w="560" w:type="dxa"/>
            <w:vAlign w:val="bottom"/>
          </w:tcPr>
          <w:p>
            <w:pPr>
              <w:spacing w:after="0"/>
              <w:rPr>
                <w:sz w:val="15"/>
                <w:szCs w:val="15"/>
                <w:color w:val="auto"/>
              </w:rPr>
            </w:pPr>
          </w:p>
        </w:tc>
        <w:tc>
          <w:tcPr>
            <w:tcW w:w="4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(Principal Executive Officer)</w:t>
            </w:r>
          </w:p>
        </w:tc>
      </w:tr>
      <w:tr>
        <w:trPr>
          <w:trHeight w:val="41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320" w:type="dxa"/>
            <w:vAlign w:val="bottom"/>
          </w:tcPr>
          <w:p>
            <w:pPr>
              <w:jc w:val="right"/>
              <w:spacing w:after="0"/>
              <w:rPr>
                <w:sz w:val="20"/>
                <w:szCs w:val="20"/>
                <w:color w:val="auto"/>
              </w:rPr>
            </w:pPr>
            <w:r>
              <w:rPr>
                <w:rFonts w:ascii="Arial" w:cs="Arial" w:eastAsia="Arial" w:hAnsi="Arial"/>
                <w:sz w:val="18"/>
                <w:szCs w:val="18"/>
                <w:color w:val="auto"/>
                <w:w w:val="87"/>
              </w:rPr>
              <w:t>November 9, 2007</w:t>
            </w:r>
          </w:p>
        </w:tc>
        <w:tc>
          <w:tcPr>
            <w:tcW w:w="2700" w:type="dxa"/>
            <w:vAlign w:val="bottom"/>
          </w:tcPr>
          <w:p>
            <w:pPr>
              <w:spacing w:after="0"/>
              <w:rPr>
                <w:sz w:val="24"/>
                <w:szCs w:val="24"/>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00" w:type="dxa"/>
            <w:vAlign w:val="bottom"/>
            <w:tcBorders>
              <w:bottom w:val="single" w:sz="8" w:color="auto"/>
            </w:tcBorders>
          </w:tcPr>
          <w:p>
            <w:pPr>
              <w:jc w:val="center"/>
              <w:ind w:right="1184"/>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w:t>
            </w:r>
            <w:r>
              <w:rPr>
                <w:rFonts w:ascii="Arial" w:cs="Arial" w:eastAsia="Arial" w:hAnsi="Arial"/>
                <w:sz w:val="18"/>
                <w:szCs w:val="18"/>
                <w:color w:val="auto"/>
                <w:w w:val="97"/>
              </w:rPr>
              <w:t xml:space="preserve"> S</w:t>
            </w:r>
            <w:r>
              <w:rPr>
                <w:rFonts w:ascii="Arial" w:cs="Arial" w:eastAsia="Arial" w:hAnsi="Arial"/>
                <w:sz w:val="14"/>
                <w:szCs w:val="14"/>
                <w:color w:val="auto"/>
                <w:w w:val="97"/>
              </w:rPr>
              <w:t>TRZEMP</w:t>
            </w:r>
          </w:p>
        </w:tc>
      </w:tr>
      <w:tr>
        <w:trPr>
          <w:trHeight w:val="145"/>
        </w:trPr>
        <w:tc>
          <w:tcPr>
            <w:tcW w:w="56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1320" w:type="dxa"/>
            <w:vAlign w:val="bottom"/>
          </w:tcPr>
          <w:p>
            <w:pPr>
              <w:spacing w:after="0"/>
              <w:rPr>
                <w:sz w:val="12"/>
                <w:szCs w:val="12"/>
                <w:color w:val="auto"/>
              </w:rPr>
            </w:pPr>
          </w:p>
        </w:tc>
        <w:tc>
          <w:tcPr>
            <w:tcW w:w="2700" w:type="dxa"/>
            <w:vAlign w:val="bottom"/>
          </w:tcPr>
          <w:p>
            <w:pPr>
              <w:jc w:val="center"/>
              <w:ind w:right="1244"/>
              <w:spacing w:after="0" w:line="145" w:lineRule="exact"/>
              <w:rPr>
                <w:sz w:val="20"/>
                <w:szCs w:val="20"/>
                <w:color w:val="auto"/>
              </w:rPr>
            </w:pPr>
            <w:r>
              <w:rPr>
                <w:rFonts w:ascii="Arial" w:cs="Arial" w:eastAsia="Arial" w:hAnsi="Arial"/>
                <w:sz w:val="14"/>
                <w:szCs w:val="14"/>
                <w:b w:val="1"/>
                <w:bCs w:val="1"/>
                <w:color w:val="auto"/>
                <w:w w:val="88"/>
              </w:rPr>
              <w:t>John Strzemp</w:t>
            </w:r>
          </w:p>
        </w:tc>
      </w:tr>
      <w:tr>
        <w:trPr>
          <w:trHeight w:val="149"/>
        </w:trPr>
        <w:tc>
          <w:tcPr>
            <w:tcW w:w="560" w:type="dxa"/>
            <w:vAlign w:val="bottom"/>
          </w:tcPr>
          <w:p>
            <w:pPr>
              <w:spacing w:after="0" w:line="149" w:lineRule="exact"/>
              <w:rPr>
                <w:sz w:val="20"/>
                <w:szCs w:val="20"/>
                <w:color w:val="auto"/>
              </w:rPr>
            </w:pPr>
            <w:r>
              <w:rPr>
                <w:rFonts w:ascii="Arial" w:cs="Arial" w:eastAsia="Arial" w:hAnsi="Arial"/>
                <w:sz w:val="14"/>
                <w:szCs w:val="14"/>
                <w:b w:val="1"/>
                <w:bCs w:val="1"/>
                <w:color w:val="auto"/>
              </w:rPr>
              <w:t>Title:</w:t>
            </w:r>
          </w:p>
        </w:tc>
        <w:tc>
          <w:tcPr>
            <w:tcW w:w="4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Executive Vice President and</w:t>
            </w:r>
          </w:p>
        </w:tc>
      </w:tr>
      <w:tr>
        <w:trPr>
          <w:trHeight w:val="162"/>
        </w:trPr>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00" w:type="dxa"/>
            <w:vAlign w:val="bottom"/>
          </w:tcPr>
          <w:p>
            <w:pPr>
              <w:jc w:val="center"/>
              <w:ind w:right="1244"/>
              <w:spacing w:after="0"/>
              <w:rPr>
                <w:sz w:val="20"/>
                <w:szCs w:val="20"/>
                <w:color w:val="auto"/>
              </w:rPr>
            </w:pPr>
            <w:r>
              <w:rPr>
                <w:rFonts w:ascii="Arial" w:cs="Arial" w:eastAsia="Arial" w:hAnsi="Arial"/>
                <w:sz w:val="14"/>
                <w:szCs w:val="14"/>
                <w:b w:val="1"/>
                <w:bCs w:val="1"/>
                <w:color w:val="auto"/>
                <w:w w:val="90"/>
              </w:rPr>
              <w:t>Chief Financial Officer</w:t>
            </w:r>
          </w:p>
        </w:tc>
      </w:tr>
      <w:tr>
        <w:trPr>
          <w:trHeight w:val="174"/>
        </w:trPr>
        <w:tc>
          <w:tcPr>
            <w:tcW w:w="560" w:type="dxa"/>
            <w:vAlign w:val="bottom"/>
          </w:tcPr>
          <w:p>
            <w:pPr>
              <w:spacing w:after="0"/>
              <w:rPr>
                <w:sz w:val="15"/>
                <w:szCs w:val="15"/>
                <w:color w:val="auto"/>
              </w:rPr>
            </w:pPr>
          </w:p>
        </w:tc>
        <w:tc>
          <w:tcPr>
            <w:tcW w:w="4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(Principal Financial Officer)</w:t>
            </w:r>
          </w:p>
        </w:tc>
      </w:tr>
      <w:tr>
        <w:trPr>
          <w:trHeight w:val="41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320" w:type="dxa"/>
            <w:vAlign w:val="bottom"/>
          </w:tcPr>
          <w:p>
            <w:pPr>
              <w:jc w:val="right"/>
              <w:spacing w:after="0"/>
              <w:rPr>
                <w:sz w:val="20"/>
                <w:szCs w:val="20"/>
                <w:color w:val="auto"/>
              </w:rPr>
            </w:pPr>
            <w:r>
              <w:rPr>
                <w:rFonts w:ascii="Arial" w:cs="Arial" w:eastAsia="Arial" w:hAnsi="Arial"/>
                <w:sz w:val="18"/>
                <w:szCs w:val="18"/>
                <w:color w:val="auto"/>
                <w:w w:val="87"/>
              </w:rPr>
              <w:t>November 9, 2007</w:t>
            </w:r>
          </w:p>
        </w:tc>
        <w:tc>
          <w:tcPr>
            <w:tcW w:w="27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lowerLetter"/>
      <w:start w:val="2"/>
    </w:lvl>
  </w:abstractNum>
  <w:abstractNum w:abstractNumId="4">
    <w:nsid w:val="3352255A"/>
    <w:multiLevelType w:val="hybridMultilevel"/>
    <w:lvl w:ilvl="0">
      <w:lvlJc w:val="left"/>
      <w:lvlText w:val="(%1)"/>
      <w:numFmt w:val="lowerLetter"/>
      <w:start w:val="25"/>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Roman"/>
      <w:start w:val="2"/>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2019-12-15T06:39:47Z</dcterms:created>
  <dcterms:modified xsi:type="dcterms:W3CDTF">2019-12-15T06:39:47Z</dcterms:modified>
</cp:coreProperties>
</file>