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-224155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720"/>
        <w:spacing w:after="0"/>
        <w:tabs>
          <w:tab w:leader="none" w:pos="35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-7620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000-50028</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229" w:right="259" w:bottom="558"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81" w:lineRule="exact"/>
        <w:rPr>
          <w:sz w:val="24"/>
          <w:szCs w:val="24"/>
          <w:color w:val="auto"/>
        </w:rPr>
      </w:pPr>
    </w:p>
    <w:p>
      <w:pPr>
        <w:sectPr>
          <w:pgSz w:w="11900" w:h="16838" w:orient="portrait"/>
          <w:cols w:equalWidth="0" w:num="2">
            <w:col w:w="7520" w:space="720"/>
            <w:col w:w="3160"/>
          </w:cols>
          <w:pgMar w:left="240" w:top="229" w:right="259" w:bottom="558"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20"/>
        <w:spacing w:after="0"/>
        <w:rPr>
          <w:sz w:val="20"/>
          <w:szCs w:val="20"/>
          <w:color w:val="auto"/>
        </w:rPr>
      </w:pPr>
      <w:r>
        <w:rPr>
          <w:rFonts w:ascii="Arial" w:cs="Arial" w:eastAsia="Arial" w:hAnsi="Arial"/>
          <w:sz w:val="13"/>
          <w:szCs w:val="13"/>
          <w:b w:val="1"/>
          <w:bCs w:val="1"/>
          <w:color w:val="auto"/>
        </w:rPr>
        <w:t>Identification Number)</w:t>
      </w:r>
    </w:p>
    <w:p>
      <w:pPr>
        <w:spacing w:after="0" w:line="68" w:lineRule="exact"/>
        <w:rPr>
          <w:sz w:val="24"/>
          <w:szCs w:val="24"/>
          <w:color w:val="auto"/>
        </w:rPr>
      </w:pPr>
    </w:p>
    <w:p>
      <w:pPr>
        <w:sectPr>
          <w:pgSz w:w="11900" w:h="16838" w:orient="portrait"/>
          <w:cols w:equalWidth="0" w:num="2">
            <w:col w:w="7240" w:space="720"/>
            <w:col w:w="3440"/>
          </w:cols>
          <w:pgMar w:left="240" w:top="229" w:right="259" w:bottom="558"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00"/>
          </w:cols>
          <w:pgMar w:left="240" w:top="229" w:right="259" w:bottom="558" w:gutter="0" w:footer="0" w:header="0"/>
          <w:type w:val="continuous"/>
        </w:sectPr>
      </w:pPr>
    </w:p>
    <w:p>
      <w:pPr>
        <w:spacing w:after="0" w:line="257" w:lineRule="exact"/>
        <w:rPr>
          <w:sz w:val="24"/>
          <w:szCs w:val="24"/>
          <w:color w:val="auto"/>
        </w:rPr>
      </w:pPr>
    </w:p>
    <w:p>
      <w:pPr>
        <w:ind w:left="22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540" w:space="720"/>
            <w:col w:w="4140"/>
          </w:cols>
          <w:pgMar w:left="240" w:top="229" w:right="259" w:bottom="558" w:gutter="0" w:footer="0" w:header="0"/>
          <w:type w:val="continuous"/>
        </w:sectPr>
      </w:pPr>
    </w:p>
    <w:p>
      <w:pPr>
        <w:ind w:left="3520" w:right="1600" w:hanging="1938"/>
        <w:spacing w:after="0" w:line="337"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Nasdaq Global Select Market Securities registered pursuant to Section 12(g) of the Act: None</w:t>
      </w:r>
    </w:p>
    <w:p>
      <w:pPr>
        <w:sectPr>
          <w:pgSz w:w="11900" w:h="16838" w:orient="portrait"/>
          <w:cols w:equalWidth="0" w:num="1">
            <w:col w:w="11400"/>
          </w:cols>
          <w:pgMar w:left="240" w:top="229" w:right="259" w:bottom="558" w:gutter="0" w:footer="0" w:header="0"/>
          <w:type w:val="continuous"/>
        </w:sectPr>
      </w:pPr>
    </w:p>
    <w:p>
      <w:pPr>
        <w:spacing w:after="0" w:line="20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9440" w:space="160"/>
            <w:col w:w="260" w:space="100"/>
            <w:col w:w="160" w:space="180"/>
            <w:col w:w="220" w:space="80"/>
            <w:col w:w="800"/>
          </w:cols>
          <w:pgMar w:left="240" w:top="229" w:right="259" w:bottom="558" w:gutter="0" w:footer="0" w:header="0"/>
          <w:type w:val="continuous"/>
        </w:sectPr>
      </w:pPr>
    </w:p>
    <w:p>
      <w:pPr>
        <w:spacing w:after="0" w:line="20"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5">
            <w:col w:w="9600" w:space="160"/>
            <w:col w:w="260" w:space="100"/>
            <w:col w:w="160" w:space="180"/>
            <w:col w:w="220" w:space="100"/>
            <w:col w:w="620"/>
          </w:cols>
          <w:pgMar w:left="240" w:top="229" w:right="259" w:bottom="558" w:gutter="0" w:footer="0" w:header="0"/>
          <w:type w:val="continuous"/>
        </w:sectPr>
      </w:pPr>
    </w:p>
    <w:p>
      <w:pPr>
        <w:jc w:val="both"/>
        <w:ind w:right="2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97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2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8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72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980"/>
        <w:spacing w:after="0" w:line="207" w:lineRule="exact"/>
        <w:tabs>
          <w:tab w:leader="none" w:pos="9320" w:val="left"/>
          <w:tab w:leader="none" w:pos="10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4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2017 was approximately $10.74 billion.</w:t>
      </w:r>
    </w:p>
    <w:p>
      <w:pPr>
        <w:spacing w:after="0" w:line="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February 15, 2018, 103,017,861 shares of the registrant's Common Stock, $0.01 par value, were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160" w:firstLine="972"/>
        <w:spacing w:after="0" w:line="277" w:lineRule="auto"/>
        <w:rPr>
          <w:sz w:val="20"/>
          <w:szCs w:val="20"/>
          <w:color w:val="auto"/>
        </w:rPr>
      </w:pPr>
      <w:r>
        <w:rPr>
          <w:rFonts w:ascii="Arial" w:cs="Arial" w:eastAsia="Arial" w:hAnsi="Arial"/>
          <w:sz w:val="18"/>
          <w:szCs w:val="18"/>
          <w:color w:val="auto"/>
        </w:rPr>
        <w:t>Portions of the registrant's Proxy Statement for its 2018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400"/>
          </w:cols>
          <w:pgMar w:left="240" w:top="229" w:right="259" w:bottom="5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80" w:type="dxa"/>
            <w:vAlign w:val="bottom"/>
            <w:gridSpan w:val="31"/>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8"/>
          </w:tcPr>
          <w:p>
            <w:pPr>
              <w:jc w:val="center"/>
              <w:ind w:right="1660"/>
              <w:spacing w:after="0"/>
              <w:rPr>
                <w:sz w:val="20"/>
                <w:szCs w:val="20"/>
                <w:color w:val="auto"/>
              </w:rPr>
            </w:pPr>
            <w:r>
              <w:rPr>
                <w:rFonts w:ascii="Arial" w:cs="Arial" w:eastAsia="Arial" w:hAnsi="Arial"/>
                <w:sz w:val="18"/>
                <w:szCs w:val="18"/>
                <w:b w:val="1"/>
                <w:bCs w:val="1"/>
                <w:color w:val="auto"/>
              </w:rPr>
              <w:t>WYNN RESORTS, LIMITED AND SUBSIDIARIES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40" w:type="dxa"/>
            <w:vAlign w:val="bottom"/>
            <w:gridSpan w:val="14"/>
          </w:tcPr>
          <w:p>
            <w:pPr>
              <w:jc w:val="center"/>
              <w:ind w:right="3700"/>
              <w:spacing w:after="0"/>
              <w:rPr>
                <w:sz w:val="20"/>
                <w:szCs w:val="20"/>
                <w:color w:val="auto"/>
              </w:rPr>
            </w:pPr>
            <w:r>
              <w:rPr>
                <w:rFonts w:ascii="Arial" w:cs="Arial" w:eastAsia="Arial" w:hAnsi="Arial"/>
                <w:sz w:val="18"/>
                <w:szCs w:val="18"/>
                <w:b w:val="1"/>
                <w:bCs w:val="1"/>
                <w:color w:val="auto"/>
              </w:rPr>
              <w:t>FORM 10-K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15"/>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gridSpan w:val="10"/>
          </w:tcPr>
          <w:p>
            <w:pPr>
              <w:jc w:val="center"/>
              <w:ind w:right="40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820" w:type="dxa"/>
            <w:vAlign w:val="bottom"/>
            <w:gridSpan w:val="16"/>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080" w:type="dxa"/>
            <w:vAlign w:val="bottom"/>
            <w:gridSpan w:val="9"/>
          </w:tcPr>
          <w:p>
            <w:pPr>
              <w:spacing w:after="0"/>
              <w:rPr>
                <w:sz w:val="21"/>
                <w:szCs w:val="21"/>
                <w:color w:val="auto"/>
              </w:rPr>
            </w:pPr>
          </w:p>
        </w:tc>
        <w:tc>
          <w:tcPr>
            <w:tcW w:w="122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220" w:type="dxa"/>
            <w:vAlign w:val="bottom"/>
            <w:gridSpan w:val="24"/>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Unresolved Staff Comments</w:t>
              </w:r>
            </w:hyperlink>
          </w:p>
        </w:tc>
        <w:tc>
          <w:tcPr>
            <w:tcW w:w="7080" w:type="dxa"/>
            <w:vAlign w:val="bottom"/>
            <w:gridSpan w:val="18"/>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7080" w:type="dxa"/>
            <w:vAlign w:val="bottom"/>
            <w:gridSpan w:val="18"/>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2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3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32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1"/>
          </w:tcPr>
          <w:p>
            <w:pPr>
              <w:jc w:val="center"/>
              <w:ind w:right="40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2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060" w:type="dxa"/>
            <w:vAlign w:val="bottom"/>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5"/>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2100" w:type="dxa"/>
            <w:vAlign w:val="bottom"/>
            <w:gridSpan w:val="9"/>
          </w:tcPr>
          <w:p>
            <w:pPr>
              <w:spacing w:after="0"/>
              <w:rPr>
                <w:sz w:val="21"/>
                <w:szCs w:val="21"/>
                <w:color w:val="auto"/>
              </w:rPr>
            </w:pPr>
          </w:p>
        </w:tc>
        <w:tc>
          <w:tcPr>
            <w:tcW w:w="2660" w:type="dxa"/>
            <w:vAlign w:val="bottom"/>
            <w:gridSpan w:val="4"/>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4760" w:type="dxa"/>
            <w:vAlign w:val="bottom"/>
            <w:gridSpan w:val="13"/>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120" w:type="dxa"/>
            <w:vAlign w:val="bottom"/>
            <w:gridSpan w:val="2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1320" w:type="dxa"/>
            <w:vAlign w:val="bottom"/>
            <w:gridSpan w:val="4"/>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7360" w:type="dxa"/>
            <w:vAlign w:val="bottom"/>
            <w:gridSpan w:val="20"/>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120</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gridSpan w:val="13"/>
          </w:tcPr>
          <w:p>
            <w:pPr>
              <w:jc w:val="center"/>
              <w:ind w:right="3960"/>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10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400" w:type="dxa"/>
            <w:vAlign w:val="bottom"/>
            <w:gridSpan w:val="16"/>
          </w:tcPr>
          <w:p>
            <w:pPr>
              <w:spacing w:after="0"/>
              <w:rPr>
                <w:rFonts w:ascii="Arial" w:cs="Arial" w:eastAsia="Arial" w:hAnsi="Arial"/>
                <w:sz w:val="18"/>
                <w:szCs w:val="18"/>
                <w:color w:val="0000EE"/>
                <w:w w:val="97"/>
              </w:rPr>
            </w:pPr>
            <w:hyperlink w:anchor="page122">
              <w:r>
                <w:rPr>
                  <w:rFonts w:ascii="Arial" w:cs="Arial" w:eastAsia="Arial" w:hAnsi="Arial"/>
                  <w:sz w:val="18"/>
                  <w:szCs w:val="18"/>
                  <w:color w:val="0000EE"/>
                  <w:w w:val="97"/>
                </w:rPr>
                <w:t>Directors, Executive Officers and Corporate Governance</w:t>
              </w:r>
            </w:hyperlink>
          </w:p>
        </w:tc>
        <w:tc>
          <w:tcPr>
            <w:tcW w:w="740" w:type="dxa"/>
            <w:vAlign w:val="bottom"/>
            <w:tcBorders>
              <w:top w:val="single" w:sz="8" w:color="0000EE"/>
            </w:tcBorders>
            <w:gridSpan w:val="6"/>
          </w:tcPr>
          <w:p>
            <w:pPr>
              <w:spacing w:after="0"/>
              <w:rPr>
                <w:sz w:val="21"/>
                <w:szCs w:val="21"/>
                <w:color w:val="auto"/>
              </w:rPr>
            </w:pPr>
          </w:p>
        </w:tc>
        <w:tc>
          <w:tcPr>
            <w:tcW w:w="3980" w:type="dxa"/>
            <w:vAlign w:val="bottom"/>
            <w:gridSpan w:val="6"/>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40" w:type="dxa"/>
            <w:vAlign w:val="bottom"/>
            <w:gridSpan w:val="14"/>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120" w:type="dxa"/>
            <w:vAlign w:val="bottom"/>
            <w:gridSpan w:val="2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gridSpan w:val="4"/>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Principal Accountant Fees and Services</w:t>
              </w:r>
            </w:hyperlink>
          </w:p>
        </w:tc>
        <w:tc>
          <w:tcPr>
            <w:tcW w:w="3680" w:type="dxa"/>
            <w:vAlign w:val="bottom"/>
            <w:gridSpan w:val="5"/>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23">
              <w:r>
                <w:rPr>
                  <w:rFonts w:ascii="Arial" w:cs="Arial" w:eastAsia="Arial" w:hAnsi="Arial"/>
                  <w:sz w:val="18"/>
                  <w:szCs w:val="18"/>
                  <w:b w:val="1"/>
                  <w:bCs w:val="1"/>
                  <w:color w:val="0000EE"/>
                  <w:w w:val="98"/>
                </w:rPr>
                <w:t>PART IV</w:t>
              </w:r>
            </w:hyperlink>
          </w:p>
        </w:tc>
        <w:tc>
          <w:tcPr>
            <w:tcW w:w="4000" w:type="dxa"/>
            <w:vAlign w:val="bottom"/>
            <w:gridSpan w:val="7"/>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23">
              <w:r>
                <w:rPr>
                  <w:rFonts w:ascii="Arial" w:cs="Arial" w:eastAsia="Arial" w:hAnsi="Arial"/>
                  <w:sz w:val="18"/>
                  <w:szCs w:val="18"/>
                  <w:color w:val="0000EE"/>
                  <w:w w:val="89"/>
                </w:rPr>
                <w:t>Exhibits, Financial Statement Schedules</w:t>
              </w:r>
            </w:hyperlink>
          </w:p>
        </w:tc>
        <w:tc>
          <w:tcPr>
            <w:tcW w:w="6220" w:type="dxa"/>
            <w:vAlign w:val="bottom"/>
            <w:gridSpan w:val="16"/>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122</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9120" w:type="dxa"/>
            <w:vAlign w:val="bottom"/>
            <w:gridSpan w:val="2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1320" w:type="dxa"/>
            <w:vAlign w:val="bottom"/>
            <w:gridSpan w:val="4"/>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128</w:t>
              </w:r>
            </w:hyperlink>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Wynn Resorts, Limited ("Wynn Resorts," or together with its subsidiaries, "we" or the "Company") is a leading developer, owner and operator of destination casino resorts (integrated resorts) that integrate hotel accommodations and a wide range of amenities, including fine dining outlets, premium retail offerings, distinctive entertainment theaters and large meeting complexes.</w:t>
      </w:r>
    </w:p>
    <w:p>
      <w:pPr>
        <w:spacing w:after="0" w:line="181" w:lineRule="exact"/>
        <w:rPr>
          <w:sz w:val="20"/>
          <w:szCs w:val="20"/>
          <w:color w:val="auto"/>
        </w:rPr>
      </w:pPr>
    </w:p>
    <w:p>
      <w:pPr>
        <w:ind w:right="460" w:firstLine="432"/>
        <w:spacing w:after="0" w:line="302" w:lineRule="auto"/>
        <w:rPr>
          <w:sz w:val="20"/>
          <w:szCs w:val="20"/>
          <w:color w:val="auto"/>
        </w:rPr>
      </w:pPr>
      <w:r>
        <w:rPr>
          <w:rFonts w:ascii="Arial" w:cs="Arial" w:eastAsia="Arial" w:hAnsi="Arial"/>
          <w:sz w:val="16"/>
          <w:szCs w:val="16"/>
          <w:color w:val="auto"/>
        </w:rPr>
        <w:t>We currently own approximately 72% of Wynn Macau, Limited ("WML") and operate two integrated resorts in the Macau Special Administrative Region of the People's Republic of China ("Macau"), Wynn Macau and Wynn Palace (collectively, our "Macau Operations"). In Las Vegas, Nevada, we operate and, with the exception of certain retail space, own 100% of Wynn Las Vegas, which we also refer to as our Las Vegas Operations. We are also currently constructing Wynn Boston Harbor, an integrated resort in Everett, Massachusetts, adjacent to Boston, which we expect to open in mid-2019.</w:t>
      </w:r>
    </w:p>
    <w:p>
      <w:pPr>
        <w:spacing w:after="0" w:line="15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February 6, 2018, our founder, Stephen A. Wynn ("Mr. Wynn"), resigned as Chief Executive Officer ("CEO") and Chairman of the Board of Directors after allegations of inappropriate personal conduct by Mr. Wynn in the workplace were reported in a January 26, 2018 Wall Street Journal article. In light of the article, on January 26, 2018, the Company's Board of Directors formed a Special Committee comprised solely of independent directors to investigate the allegations against Mr. Wynn. On February 12, 2018, the Special Committee announced that its review was expanded to include a comprehensive review of the Company's internal policies and procedures with the goal of employing best practices to maintain a safe and respectful workplace for all employees. The Board of Directors also announced that its Nominating and Corporate Governance Committee is commencing a process to add additional directors to strengthen the composition, skills and experience of the Board of Directors. The Nevada Gaming Control Board (the "NGCB") and the Massachusetts Gaming Commission (the "MGC") have also commenced investigations into the foregoing matters, including suitability with respect to the Company and its licensees. The Company is cooperating with these regulatory reviews. In addition, the Macau Gaming Inspection and Coordination Bureau (the "DICJ") is monitoring and reviewing the situation, and the Company is cooperating. As addressed in this annual report on Form 10-K (this "Form 10-K"), these events create a number of risks and uncertainties that could materially adversely affect the Company's business and prospects. For more information, see Item 1—"Business—Our Strategy," Item 1—"Business — Regulation and Licensing," Item 1A—"Risk Factors," Item 3—"Legal Proceedings," and Item 8—"Financial Statements and Supplementary Data," Note 7, "Long-Term Debt," Note 8, "Related Party Transactions," and Note 14, "Commitments and Contingencies—Litigation."</w:t>
      </w:r>
    </w:p>
    <w:p>
      <w:pPr>
        <w:spacing w:after="0" w:line="185"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We present the operating results of our three resorts in the following segments: Wynn Macau, Wynn Palace, and Las Vegas Operations. For more information on our segments, see Item 8—"Financial Statements and Supplementary Data," Note 15, "Segment Information."</w:t>
      </w:r>
    </w:p>
    <w:p>
      <w:pPr>
        <w:spacing w:after="0" w:line="14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Wynn Resorts, a Nevada corporation, was formed in 2002. 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8"/>
          <w:szCs w:val="18"/>
          <w:u w:val="single" w:color="auto"/>
          <w:color w:val="auto"/>
        </w:rPr>
        <w:t>www.wynnresorts.com</w:t>
      </w:r>
      <w:r>
        <w:rPr>
          <w:rFonts w:ascii="Arial" w:cs="Arial" w:eastAsia="Arial" w:hAnsi="Arial"/>
          <w:sz w:val="18"/>
          <w:szCs w:val="18"/>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opened Wynn Macau on September 6, 2006, Encore, an expansion of Wynn Macau, on April 21, 2010, and Wynn Palace on August 22, 2016. 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 See "Regulation and Licensing—Macau" for details on the casino concession agreement, and see "Item 2—Properties" for details on the land concession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Macau features the following as of February 15, 2018:</w:t>
      </w:r>
    </w:p>
    <w:p>
      <w:pPr>
        <w:spacing w:after="0" w:line="225" w:lineRule="exact"/>
        <w:rPr>
          <w:sz w:val="20"/>
          <w:szCs w:val="20"/>
          <w:color w:val="auto"/>
        </w:rPr>
      </w:pPr>
    </w:p>
    <w:p>
      <w:pPr>
        <w:ind w:left="1300" w:right="1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273,000 square feet of casino space, offering 24-hour gaming and a full range of games with 316 table games and 988 slot machines, private gaming salons, sky casinos and a poker pit;</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Eight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Palace features the following as of February 15, 2018:</w:t>
      </w:r>
    </w:p>
    <w:p>
      <w:pPr>
        <w:spacing w:after="0" w:line="225" w:lineRule="exact"/>
        <w:rPr>
          <w:sz w:val="20"/>
          <w:szCs w:val="20"/>
          <w:color w:val="auto"/>
        </w:rPr>
      </w:pPr>
    </w:p>
    <w:p>
      <w:pPr>
        <w:ind w:left="1300" w:right="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420,000 square feet of casino space, offering 24-hour gaming and a full range of games with 323 table games and 1,115 slot machines, private gaming salons and sky casinos;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luxury hotel tower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attractions including a performance lake and floral art displays.</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opened Wynn Las Vegas on April 28, 2005 and Encore, an expansion of Wynn Las Vegas, on December 22, 2008. 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land upon which an office building is located.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Las Vegas features the following as of February 15, 2018:</w:t>
      </w:r>
    </w:p>
    <w:p>
      <w:pPr>
        <w:spacing w:after="0" w:line="225" w:lineRule="exact"/>
        <w:rPr>
          <w:sz w:val="20"/>
          <w:szCs w:val="20"/>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247 table games and 1,829 slot machines, private gaming salons, a sky casino, a poker room, and a race and sports book;</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110,000 square feet of high-end, brand-name retail space (of which, 103,000 square feet is owned and operated under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December 2016, we entered into a joint venture arrangement (the "Retail Joint Venture") with Crown Acquisitions Inc. ("Crown") to own and operate approximately 88,000 square feet of existing retail space. In November 2017, we contributed approximately 74,000 square feet of additional retail space to the Retail Joint Venture, the majority of which is currently under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construction at Wynn Las Vegas. We expect to open the additional retail space in the second half of 2018. For more information on the Retail Joint Venture, see Item 8—"Financial Statements and Supplementary Data," Note 3, "Retail Joint Venture."</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229"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We are currently constructing Wynn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December 31, 2017, we have incurred approximately $1.13 billion in total project costs. We expect to open Wynn Boston Harbor in mid-2019.</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have begun site preparation and pre-construction activities for the redevelopment of the land previously occupied by the Wynn Las Vegas golf course, which we closed in the fourth quarter of 2017. Phase 1 of the project is expected to include a lagoon and additional meeting and convention space. Based on current designs, we estimate the total project budget for Phase 1 to be approximately $500 million and we expect to open Phase 1 in the first half of 2020.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believe that Wynn Resorts is the world's preeminent designer, developer, and operator of integrated resorts. The Company's integrated resort business model, pioneered by Mr. Wynn, integrates luxury hotel rooms, high-end retail, an array of dining and entertainment options, meeting space, and gaming, all supported by superior levels of customer service. We believe that our resorts and management continue to benefit from our extensive design and operational experience across numerous gaming jurisdictions, providing a distinct advantage over other gaming enterprises.</w:t>
      </w:r>
    </w:p>
    <w:p>
      <w:pPr>
        <w:spacing w:after="0" w:line="17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Wynn Resorts and its experienced management team have a demonstrated track record in developing and operating successful integrated resort projects around the world. In addition, we have a design, development and construction subsidiary, in which senior management has significant experience across all major construction disciplines.</w:t>
      </w:r>
    </w:p>
    <w:p>
      <w:pPr>
        <w:spacing w:after="0" w:line="18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aim to build appropriately scaled integrated resorts that attract a wide range of customer segments (including premium international customers) and generate strong financial results. We design and continually refresh our integrated resorts to create unique customer experiences across a wide range of gaming and non-gaming amenities. Our business is dependent upon repeat visitation from our guests. We believe superior customer experience and service is the best marketing strategy to attract and retain our customers. Human resources and staff training are essential to our strategy to ensure our employees are prepared to provide the luxury service that our guests expect.</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integrated resorts are conceptualized, designed, built and operated in major metropolitan markets to service all customers with an emphasis on providing superior levels of premium customer service. In Las Vegas and Macau, we have been successful in attracting not only a wide range of domestic guests, but also extending our customer market areas into international markets. We leverage our international marketing team across branch offices located in Hong Kong SAR, Singapore, Japan, Taiwan and Canada to attract international customers.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Reflecting our commitment to customer service globally, the Company has received the following recognition:</w:t>
      </w:r>
    </w:p>
    <w:p>
      <w:pPr>
        <w:spacing w:after="0" w:line="279" w:lineRule="exact"/>
        <w:rPr>
          <w:sz w:val="20"/>
          <w:szCs w:val="20"/>
          <w:color w:val="auto"/>
        </w:rPr>
      </w:pPr>
    </w:p>
    <w:p>
      <w:pPr>
        <w:ind w:left="1300" w:right="5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Collectively, Wynn Resorts earned more Five-Star awards than any other independent hotel company in the world in the official 2018 Forbes Travel Guide Star Rating list.</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Palace has earned a coveted Five-Star triple crown for its hotel, spa and Sushi Mizumi restaurant on the 2018 Forbes Travel Guide Star Rating list.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Palace is the first and only resort in the world with more than one thousand rooms to receive Five Stars.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Macau continues to be the only resort in the world with eight Forbes Travel Guide Five-Star awards.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right="3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Resorts owns two of the largest Forbes Five-Star hotels in the United States: Wynn Tower Suites (Las Vegas) and Encore Tower Suites (Las Vegas).</w:t>
      </w:r>
    </w:p>
    <w:p>
      <w:pPr>
        <w:spacing w:after="0" w:line="62"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Resorts was once again honored as the highest ranking casino resort on FORTUNE Magazine's 2018 World's Most Admired Companies list in the hotel, casino and resort category.</w:t>
      </w:r>
    </w:p>
    <w:p>
      <w:pPr>
        <w:spacing w:after="0" w:line="2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plan to continue to seek out new opportunities to develop and operate integrated resorts, including related businesses, around the world. Overall, we believe Wynn Resorts has a demonstrated track record of developing integrated resorts that stimulate city- and region-wide economic activity, which we believe includes:</w:t>
      </w:r>
    </w:p>
    <w:p>
      <w:pPr>
        <w:spacing w:after="0" w:line="23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a wide range of customers to the region, including high-net-worth international tourists;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international tourism for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average hotel room rates in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extending the average length of stay per visitor;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complementing existing convention and meeting business with five-star accommodations and appropriately scaled meeting amenities;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elevating service levels with the execution of five-star customer service;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helping stimulate city-wide investment and employment.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casino resort industry is highly competitive. Both our Macau Operations and Las Vegas Operations compete with other high-quality casino resorts. Resorts located near our properties compete on the basis of the range of amenities, level of service, price, location, entertainment, themes and size, among other factors. We seek to differentiate our Macau and Las Vegas integrated resorts from other major resorts by delivering superior design and customer service.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Macau is governed as a special administrative region of China and is located approximately 37 miles southwest of, and approximately one hour away via ferry from, Hong Kong. Macau, which has been a casino destination for more than 50 years, consists principally of a peninsula on mainland China and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Resorts (Macau) S.A.,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("Galaxy") are primary concessionaires with Sands China Ltd. ("Sands"), Melco International Development Limited ("Melco") and MGM China Holdings Limited ("MGM China") operating under subconcessions. There is no limit to the number of casinos each concessionaire or subconcessionaire is permitted to operate, but each facility is subject to government approval. Currently, there are 41 casinos operating in Macau.</w:t>
      </w:r>
    </w:p>
    <w:p>
      <w:pPr>
        <w:spacing w:after="0" w:line="17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We believe that the Macau region hosts one of the world's largest concentrations of potential gaming customers. Since the introduction of new casinos starting in 2004, the Macau market has experienced a significant increase in annual gaming revenue and has become the largest gaming market in the world. According to Macau Statistical Information, annual gaming revenues have grown from $2.9 billion in 2002 to $33.1 billion in 2017.</w:t>
      </w:r>
    </w:p>
    <w:p>
      <w:pPr>
        <w:spacing w:after="0" w:line="166"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Macau's gaming market is primarily dependent on tourists. Gaming customers traveling to Macau typically come from nearby destinations in Asia. According to the Macau Statistics and Census Service Monthly Bulletin of Statistics, approximately 90% of the visitors to Macau in 2017 came from mainland China, Hong Kong, and Taiwan. Travel to Macau by citizens of mainland China requires a visa.</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Government statistics show an increase of 5.4% in Macau tourist arrivals in 2017 compared to 2016, from 31 million to 33 million, which contributed to an increase in annual gaming revenues in Macau from $27.9 billion in 2016 to $33.1 billion in 2017.</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Macau market has experienced tremendous growth in capacity since the opening of Wynn Macau in 2006. As of December 31, 2017, there were 37,100 hotel rooms, 6,419 table games and 15,622 slot machines in Macau, compared to 12,978</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hotel rooms, 2,762 table games and 6,546 slot machines as of December 31, 2006. During 2016, we contributed to the new capacity in the market, with the opening of Wynn Palace in the Cotai area. Several of the current concessionaires and subconcessionaires also opened additional facilities during 2016 and 2017 in the Cotai area and will open additional facilities over the next few years, which will further increase other gaming and non-gaming offerings in the Macau market.</w:t>
      </w:r>
    </w:p>
    <w:p>
      <w:pPr>
        <w:spacing w:after="0" w:line="18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Our Macau Operations face competition primarily from the 39 other casinos located throughout Macau in addition to casinos located throughout the world, including Singapore, Philippines, Malaysia, Australia, Las Vegas, cruise ships in Asia that offer gaming, and other casinos throughout Asia. If current efforts to legalize gaming in other Asian countries, such as Japan, are successful, our Macau Operations will face additional competition.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Las Vegas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Las Vegas is the largest gaming market in the United States. During 2017, the economic environment in the gaming and hotel markets improved in Las Vegas, with Las Vegas Strip gaming revenues increasing to $6.5 billion from $6.4 billion in 2016, despite a slight decline in visitation of 1.7%, which was largely driven by renovation projects at a number of properties, decreasing hotel room inventory. During 2017, the average daily room rate and revenue per available room increased 2.9% and 2.1%, respectively, and were partially offset by a 0.5% decrease in occupancy.</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Wynn Las Vegas is located on the Las Vegas Strip and competes with other high-quality resorts and hotel casinos in Las Vegas. Wynn Las Vegas also competes, to some extent, with other casino resorts throughout the United States and elsewhere in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29"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Geographic data, which aligns with our segment presentation, is reported in Item 8—"Financial Statements and Supplementary Data," Note 15, "Segment Information." Additional financial data about our geographic operations is provided in Item 7—"Management's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9"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February 6, 2018, Mr. Wynn resigned as CEO and Chairman of the Board of Directors after allegations of inappropriate personal conduct by Mr. Wynn in the workplace were reported in a January 26, 2018 Wall Street Journal article. In light of the article, on January 26, 2018, the Company's Board of Directors formed a Special Committee comprised solely of independent directors to investigate the allegations against Mr. Wynn. On February 12, 2018, the Special Committee announced that its review was expanded to include a comprehensive review of the Company's internal policies and procedures with the goal of employing best practices to maintain a safe and respectful workplace for all employees. The Board of Directors also announced that its Nominating and Corporate Governance Committee is commencing a process to add additional directors to strengthen the composition, skills and experience of the Board of Directors. The NGCB and the MGC have also commenced investigations into the foregoing matters, including suitability with respect to the Company and its licensees. The Company is cooperating with these regulatory reviews. In addition, the DICJ is monitoring and reviewing the situation, and the Company is cooperating. As discussed further below, each of these regulatory authorities has extensive power to license and oversee the operations of our casino resorts.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As a casino concessionaire, Wynn Macau SA is subject to the regulatory control of the government of Macau. The government has adopted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7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employees. Transfers or the encumbering of interests in concessionaires must be reported to the Macau government and are ineffective without government approval.</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$37.3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8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June 24, 2017, the government of Macau may redeem the concession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8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right="36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21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Macau government has publicly commented that it is studying the process by which gaming concessions and subconcessions will be renewed. Our gaming concession ends in 2022 along with Galaxy's, Sands' and Melco's concessions. SJM's and MGM China's concessions will end in 2020.</w:t>
      </w:r>
    </w:p>
    <w:p>
      <w:pPr>
        <w:spacing w:after="0" w:line="12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b w:val="1"/>
          <w:bCs w:val="1"/>
          <w:i w:val="1"/>
          <w:iCs w:val="1"/>
          <w:color w:val="auto"/>
        </w:rPr>
        <w:t xml:space="preserve">Gaming Promoters. </w:t>
      </w:r>
      <w:r>
        <w:rPr>
          <w:rFonts w:ascii="Arial" w:cs="Arial" w:eastAsia="Arial" w:hAnsi="Arial"/>
          <w:sz w:val="16"/>
          <w:szCs w:val="16"/>
          <w:color w:val="auto"/>
        </w:rPr>
        <w:t>A gaming promoter, also known as a junket representative, is a person or entity who, for the purpose of promoting casino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DICJ implemented certain instructions in 2009, which have the force of law, relating to commissions paid to, and by, gaming promoters. Such instructions also impose certain financial reporting and audit requirements on gaming promoters.</w:t>
      </w:r>
    </w:p>
    <w:p>
      <w:pPr>
        <w:spacing w:after="0" w:line="16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Under Macau law, licensed gaming promoters must identify outside contractors who assist them in their promotion activities, and these contractors are subject to approval of the Macau government. Changes in the management structure of 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 with applicable laws and regulations. Concessionaires must submit annual lists of their gaming promoters, and must update such lists on a quarterly basis. The Macau government may designate a maximum number of gaming promoters and specify the 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DICJ may require.</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Nevada</w:t>
      </w:r>
    </w:p>
    <w:p>
      <w:pPr>
        <w:spacing w:after="0" w:line="22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thereunder, as well as to various local ordinances. Our Las Vegas Operations are subject to the licensing and regulatory control of the Nevada Gaming Commission ("NGC"), the NGCB and the Clark County Liquor and Gaming Licensing Board ("CCLGLB"), which we refer to herein collectively as the "Nevada Gaming Authorities."</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b w:val="1"/>
          <w:bCs w:val="1"/>
          <w:i w:val="1"/>
          <w:iCs w:val="1"/>
          <w:color w:val="auto"/>
        </w:rPr>
        <w:t xml:space="preserve">Owner and Operator Licensing Requirements. </w:t>
      </w:r>
      <w:r>
        <w:rPr>
          <w:rFonts w:ascii="Arial" w:cs="Arial" w:eastAsia="Arial" w:hAnsi="Arial"/>
          <w:sz w:val="17"/>
          <w:szCs w:val="17"/>
          <w:color w:val="auto"/>
        </w:rPr>
        <w:t>Our subsidiary, Wynn Las Vegas, LLC, the owner and operator of Wynn Las Vegas, has been approved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Nevada Gaming Authorities as a limited liability company licensee, which includes approval to conduct casino gaming operations, including a race book and sports pool, pari-mutuel wagering and the operation of gaming salons. These gaming licenses are not transferable.</w:t>
      </w:r>
    </w:p>
    <w:p>
      <w:pPr>
        <w:spacing w:after="0" w:line="16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b w:val="1"/>
          <w:bCs w:val="1"/>
          <w:i w:val="1"/>
          <w:iCs w:val="1"/>
          <w:color w:val="auto"/>
        </w:rPr>
        <w:t xml:space="preserve">Company Registration Requirements. </w:t>
      </w:r>
      <w:r>
        <w:rPr>
          <w:rFonts w:ascii="Arial" w:cs="Arial" w:eastAsia="Arial" w:hAnsi="Arial"/>
          <w:sz w:val="17"/>
          <w:szCs w:val="17"/>
          <w:color w:val="auto"/>
        </w:rPr>
        <w:t>Wynn Resorts was found suitable by the NGC to own the equity interests of Wynn Resorts Holdings,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("Wynn Resorts Holdings"), a wholly owned subsidiary of Wynn Resorts, and to be registered by the NGC as a publicly traded corporation, referred to as a registered company, for the purposes of the Nevada Gaming Control Act. Wynn Resorts Holdings was found suitable by the NGC to own the equity interests of Wynn America, LLC ("Wynn America") and to be registered by the NGC as an intermediary company. Wynn America was found suitable by the NGC to own the equity interests of Wynn Las Vegas Holdings, LLC and to be registered by the NGC as an intermediary company. Wynn Las Vegas Holdings, LLC was found suitable by the NGC to own the equity interests of Wynn Las Vegas, LLC and to be registered by the NGC as an intermediary company. Wynn Las Vegas, LLC and Wynn Las Vegas Capital Corp. are co-issuers of the debt securities. Wynn Las Vegas Capital Corp. was not required to be registered or licensed, but may be required to be found suitable as a lender or financing source.</w:t>
      </w:r>
    </w:p>
    <w:p>
      <w:pPr>
        <w:spacing w:after="0" w:line="17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1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b w:val="1"/>
          <w:bCs w:val="1"/>
          <w:i w:val="1"/>
          <w:iCs w:val="1"/>
          <w:color w:val="auto"/>
        </w:rPr>
        <w:t xml:space="preserve">Individual Licensing Requirements. </w:t>
      </w:r>
      <w:r>
        <w:rPr>
          <w:rFonts w:ascii="Arial" w:cs="Arial" w:eastAsia="Arial" w:hAnsi="Arial"/>
          <w:sz w:val="17"/>
          <w:szCs w:val="17"/>
          <w:color w:val="auto"/>
        </w:rPr>
        <w:t>No person may become a more than 5% stockholder or member of, or receive any percentage of the profits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The Company's articles of incorporation provide that, to the extent required by the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69"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 USA, Inc.'s ("Aruze") 24,549,222 shares of Wynn Resorts' common stock. Pursuant to its articles of incorporation, Wynn Resorts issued the Redemption Price Promissory Note (the "Redemption Note") to Aruze in redemption of the shares. Aruze, Universal Entertainment Corporation and Mr. Kazuo Okada (collectively, the "Okada Parties") have challenged the redemption of Aruze's shares and the Company is currently involved in litigation with those parties as well as related stockholder derivative litigation. See Item 1A—"Risk Factors" and Item 8—"Financial Statements and Supplementary Data," Note 14, "Commitments and Contingencies."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NGC determines that we have violated the Nevada Gaming Control Act or any of its regulations,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could limit, condition, suspend or revoke our registrations and gaming license. In addition, we and the persons involved could be subject to substantial fines for each separate violation of the Nevada Gaming Control Act, or of the regulations of the NGC, at the discretion of the NGC. Further, the NGC could appoint a supervisor to operate our Las Vegas Operations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16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b w:val="1"/>
          <w:bCs w:val="1"/>
          <w:i w:val="1"/>
          <w:iCs w:val="1"/>
          <w:color w:val="auto"/>
        </w:rPr>
        <w:t xml:space="preserve">Requirements for Voting or Nonvoting Securities Holders. </w:t>
      </w:r>
      <w:r>
        <w:rPr>
          <w:rFonts w:ascii="Arial" w:cs="Arial" w:eastAsia="Arial" w:hAnsi="Arial"/>
          <w:sz w:val="17"/>
          <w:szCs w:val="17"/>
          <w:color w:val="auto"/>
        </w:rPr>
        <w:t>Regardless of the number of shares held, any beneficial owner of Wynn Resorts' voting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nonvoting securities may be required to file an application, be investigated and have that person's suitability as a beneficial owner of voting securities determined if the NGC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7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Nevada Gaming Control Act requires any person who acquires more than 5% of the voting securities of a registered company to report the acquisition to the NGC. The Nevada Gaming Control Act requires beneficial owners of more than 10% of a registered company's voting securities to apply to the NGC for a finding of suitability within 30 days after the Chairman of the NGCB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8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1300" w:right="6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activities that the NGC may determine to be consistent with such investment intent.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NGC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b w:val="1"/>
          <w:bCs w:val="1"/>
          <w:i w:val="1"/>
          <w:iCs w:val="1"/>
          <w:color w:val="auto"/>
        </w:rPr>
        <w:t xml:space="preserve">Consequences of Being Found Unsuitable. </w:t>
      </w:r>
      <w:r>
        <w:rPr>
          <w:rFonts w:ascii="Arial" w:cs="Arial" w:eastAsia="Arial" w:hAnsi="Arial"/>
          <w:sz w:val="17"/>
          <w:szCs w:val="17"/>
          <w:color w:val="auto"/>
        </w:rPr>
        <w:t>Any person who fails or refuses to apply for a finding of suitability or a license within 30 days after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ordered to do so by the NGC or by the Chairman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criminal offense. We will be subject to disciplinary action if, after we receive notice that a person is unsuitable to hold an equity interest or to have any other relationship with us, we:</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1300" w:right="400" w:hanging="644"/>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NGC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b w:val="1"/>
          <w:bCs w:val="1"/>
          <w:i w:val="1"/>
          <w:iCs w:val="1"/>
          <w:color w:val="auto"/>
        </w:rPr>
        <w:t xml:space="preserve">Gaming Laws Relating to Debt Securities Ownership. </w:t>
      </w:r>
      <w:r>
        <w:rPr>
          <w:rFonts w:ascii="Arial" w:cs="Arial" w:eastAsia="Arial" w:hAnsi="Arial"/>
          <w:sz w:val="18"/>
          <w:szCs w:val="18"/>
          <w:color w:val="auto"/>
        </w:rPr>
        <w:t>The NGC may, in its discretion, require the owner of any debt or similar securities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company, to file applications, be investigated and be found suitable to own the debt or other securities of the registered company if the NGC has reason to believe that such ownership would otherwise be inconsistent with the declared policies of the State of Nevada. If the NGC decides that a person is unsuitable to own the securities, then under the Nevada Gaming Control Act, the registered company can be sanctioned, including the loss of its approvals if, without the prior approval of the NGC, it</w:t>
      </w:r>
    </w:p>
    <w:p>
      <w:pPr>
        <w:spacing w:after="0" w:line="18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ind w:left="60" w:right="180" w:firstLine="405"/>
        <w:spacing w:after="0" w:line="257"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Wynn Resorts may not make a public offering (debt or equity) without the prior approval of the NGC if the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offering are intended to be used to construct, acquire or finance gaming facilities in Nevada, or to retire or extend obligations incurred for those purposes or for similar transactions. On March 17, 2016,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Chairman of the NGCB.</w:t>
      </w:r>
    </w:p>
    <w:p>
      <w:pPr>
        <w:spacing w:after="0" w:line="188" w:lineRule="exact"/>
        <w:rPr>
          <w:sz w:val="20"/>
          <w:szCs w:val="20"/>
          <w:color w:val="auto"/>
        </w:rPr>
      </w:pPr>
    </w:p>
    <w:p>
      <w:pPr>
        <w:ind w:left="60" w:right="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NGC with respect to a change in control through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consolidation; stock or asset acquisitions; management or consulting agreements; or any act or conduct by a person by which the person obtains control of the registered company.</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NGCB and NGC with respect to a variety of stringent standards before assuming control of the registered company. 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b w:val="1"/>
          <w:bCs w:val="1"/>
          <w:i w:val="1"/>
          <w:iCs w:val="1"/>
          <w:color w:val="auto"/>
        </w:rPr>
        <w:t xml:space="preserve">Approval of Defensive Tactics. </w:t>
      </w:r>
      <w:r>
        <w:rPr>
          <w:rFonts w:ascii="Arial" w:cs="Arial" w:eastAsia="Arial" w:hAnsi="Arial"/>
          <w:sz w:val="17"/>
          <w:szCs w:val="17"/>
          <w:color w:val="auto"/>
        </w:rPr>
        <w:t>The Nevada legislature has declared that some corporate acquisitions opposed by management, repurchases of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and corporate defense tactics affecting Nevada corporate gaming licensees or affecting registered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17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Approvals may be required from the NGC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188" w:lineRule="exact"/>
        <w:rPr>
          <w:sz w:val="20"/>
          <w:szCs w:val="20"/>
          <w:color w:val="auto"/>
        </w:rPr>
      </w:pPr>
    </w:p>
    <w:p>
      <w:pPr>
        <w:ind w:left="60" w:right="100"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with such persons (collectively, "licensees"), and who proposes to become involved in a gaming venture outside of Nevada, is required to deposit with the NGCB, and thereafter maintain, a revolving fund in the amount of $10,000 to pay the expenses of investigation of the NGCB of the licensee's or registrant's participation in such foreign gaming. The revolving fund is subject to increase or decrease at the discretion of the NGC. Licensees and registrants are required to comply with the foreign gaming reporting requirements imposed by the Nevada Gaming Control Act. A licensee or registrant is also subject to disciplinary action by the NGC if it:</w:t>
      </w:r>
    </w:p>
    <w:p>
      <w:pPr>
        <w:spacing w:after="0" w:line="19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1300" w:right="68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fails to conduct the foreign gaming operation in accordance with the standards of honesty and integrity required of Nevada gaming operations;</w:t>
      </w:r>
    </w:p>
    <w:p>
      <w:pPr>
        <w:ind w:left="1300" w:right="2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32" w:lineRule="exact"/>
        <w:rPr>
          <w:rFonts w:ascii="Arial" w:cs="Arial" w:eastAsia="Arial" w:hAnsi="Arial"/>
          <w:sz w:val="16"/>
          <w:szCs w:val="16"/>
          <w:color w:val="auto"/>
        </w:rPr>
      </w:pPr>
    </w:p>
    <w:p>
      <w:pPr>
        <w:ind w:left="1300" w:right="540" w:hanging="644"/>
        <w:spacing w:after="0" w:line="26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b w:val="1"/>
          <w:bCs w:val="1"/>
          <w:i w:val="1"/>
          <w:iCs w:val="1"/>
          <w:color w:val="auto"/>
        </w:rPr>
        <w:t xml:space="preserve">Licenses for Conduct of Gaming and Sale of Alcoholic Beverages. </w:t>
      </w:r>
      <w:r>
        <w:rPr>
          <w:rFonts w:ascii="Arial" w:cs="Arial" w:eastAsia="Arial" w:hAnsi="Arial"/>
          <w:sz w:val="17"/>
          <w:szCs w:val="17"/>
          <w:color w:val="auto"/>
        </w:rPr>
        <w:t>The conduct of gaming activities and the service and sale of alcoholic beverages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Wynn Las Vegas are subject to licensing, control and regulation by the CCLGLB, which has granted Wynn Las Vegas, LLC licenses for such purposes. In addition to approving Wynn Las Vegas, LLC, the CCLGLB has the authority to approve all persons owning or controlling the stock of any corporation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Massachusetts</w:t>
      </w:r>
    </w:p>
    <w:p>
      <w:pPr>
        <w:spacing w:after="0" w:line="22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On November 22, 2011, Massachusetts Governor Deval Patrick signed Chapter 194 of the Acts of 2011 "An Act Establishing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in the Commonwealth," legislation (the "Gaming Act") designed to provide significant benefits to the Commonwealth of Massachusetts by advancing job creation and economic development. The Gaming Act allows for up to three destination resort casinos located in three geographically diverse regions across the Commonwealth and a single slots facility, not pegged to any particular region. The licensing fee for each resort casino is $85 million and requires a capital investment, to include a hotel facility, of at least $500 million. The Commonwealth will receive 25% of gross gaming revenues.</w:t>
      </w:r>
    </w:p>
    <w:p>
      <w:pPr>
        <w:spacing w:after="0" w:line="158"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Gaming Act also called for the creation of a five-member independent body, the MGC, to oversee the implementation and licensing process, as well as regulate the operation of gaming facilities. The MGC is in the process of promulgating detailed regulations to govern the operations of the resort casinos and the slot parlor facility.</w:t>
      </w:r>
    </w:p>
    <w:p>
      <w:pPr>
        <w:spacing w:after="0" w:line="181"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Our indirect wholly owned subsidiary, Wynn MA, LLC, was the "applicant" under the MGC's Phase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and was determined to be suitable for the purpose of holding a Category 1 Gaming License. On September 17, 2014, the MGC designated Wynn MA, LLC the award winner of the Greater Boston (Region A) gaming license. On November 7, 2014, the gaming license awarded to us became effective.</w:t>
      </w:r>
    </w:p>
    <w:p>
      <w:pPr>
        <w:spacing w:after="0" w:line="14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b w:val="1"/>
          <w:bCs w:val="1"/>
          <w:i w:val="1"/>
          <w:iCs w:val="1"/>
          <w:color w:val="auto"/>
        </w:rPr>
        <w:t xml:space="preserve">Company Registration Requirements. </w:t>
      </w:r>
      <w:r>
        <w:rPr>
          <w:rFonts w:ascii="Arial" w:cs="Arial" w:eastAsia="Arial" w:hAnsi="Arial"/>
          <w:sz w:val="17"/>
          <w:szCs w:val="17"/>
          <w:color w:val="auto"/>
        </w:rPr>
        <w:t>In addition, pursuant to the Phase 1 regulations, the following entities and persons are deemed to be "qualifiers"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investigation: all members, transferees of a member's interest, directors and managers of the licensee and, in the judgment of the MGC, each lender, each holder of indebtedness, each underwriter, each close associate, each executive and each agent. As a result, Wynn Resorts, its key employees and its directors were therefore subject to a suitability investigation. Wynn Resorts and all individual qualifiers were found suitable by the MGC. As our progress in Massachusetts continues, additional entities and key employees may be required to file applications with the MGC and are or may be required to be licensed or found suitable by the MGC. A finding of suitability is comparable to licensing, and both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MGC.</w:t>
      </w:r>
    </w:p>
    <w:p>
      <w:pPr>
        <w:spacing w:after="0" w:line="1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 Determinations of suitability or questions pertaining to licensing are not subject to judicial review.</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Consequences of Violating Gaming Laws. </w:t>
      </w:r>
      <w:r>
        <w:rPr>
          <w:rFonts w:ascii="Arial" w:cs="Arial" w:eastAsia="Arial" w:hAnsi="Arial"/>
          <w:sz w:val="18"/>
          <w:szCs w:val="18"/>
          <w:color w:val="auto"/>
        </w:rPr>
        <w:t>If the MGC determines that we have violated the Gaming Act or any of its regulations, it could limit,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suspend or revoke our registrations and gaming license. In addition, the MGC set forth certain conditions in our gaming license. Any violation of the Gaming Act, its regulations or any of our license conditions resulting in a limitation, conditioning or suspension of our gaming license would have a significant negative effect on our Massachusetts gaming operations.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Pursuant to the Gaming Act, the MGC may grant a gaming beverage license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Gaming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2017, we had approximately 25,200 employees (including approximately 13,100 in Macau and 12,100 in the United States).</w:t>
      </w:r>
    </w:p>
    <w:p>
      <w:pPr>
        <w:spacing w:after="0" w:line="237"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collective bargaining agreement with the Culinary and Bartenders Union, which covers approximately 5,600 employees at Wynn Las Vegas, expires July 2021. Our collective bargaining agreement with the Transportation Workers Union, which covers approximately 430 of our table games dealers at Wynn Las Vegas, expires November 2020. Certain other unions may seek to organize the workers of our resorts.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4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August 6, 2004, we entered into agreements with Mr. Wynn that confirm and clarify our rights to use the "Wynn" surname and Mr. Wynn's persona in connection with our casino resorts. Under the parties' Surname Rights Agreement,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as of February 15, 2018, by and between Mr. Wynn and the Company, if the Company ceases to use the "Wynn" surname and trademark, the Company will assign all of its right, title, and interest in the "Wynn" trademark to Mr. Wynn and terminate the Surname Rights Agreement. Under the parties' Rights of Publicity License, Mr. Wynn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79"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Stephen A. Wynn and his separation from the Company;</w:t>
      </w:r>
    </w:p>
    <w:p>
      <w:pPr>
        <w:spacing w:after="0" w:line="23"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right="5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 (including those related to the former Chairman and CEO of the Company);</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outcome of the litigation with Mr. Okada and his affiliates;</w:t>
      </w:r>
    </w:p>
    <w:p>
      <w:pPr>
        <w:spacing w:after="0" w:line="9" w:lineRule="exact"/>
        <w:rPr>
          <w:rFonts w:ascii="Arial" w:cs="Arial" w:eastAsia="Arial" w:hAnsi="Arial"/>
          <w:sz w:val="18"/>
          <w:szCs w:val="18"/>
          <w:color w:val="auto"/>
        </w:rPr>
      </w:pPr>
    </w:p>
    <w:p>
      <w:pPr>
        <w:ind w:left="1300" w:right="300" w:hanging="644"/>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60" w:hanging="644"/>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1" w:lineRule="exact"/>
        <w:rPr>
          <w:rFonts w:ascii="Arial" w:cs="Arial" w:eastAsia="Arial" w:hAnsi="Arial"/>
          <w:sz w:val="18"/>
          <w:szCs w:val="18"/>
          <w:color w:val="auto"/>
        </w:rPr>
      </w:pPr>
    </w:p>
    <w:p>
      <w:pPr>
        <w:jc w:val="both"/>
        <w:ind w:left="1300" w:right="20" w:hanging="644"/>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right="140" w:firstLine="230"/>
        <w:spacing w:after="0" w:line="277" w:lineRule="auto"/>
        <w:rPr>
          <w:sz w:val="20"/>
          <w:szCs w:val="20"/>
          <w:color w:val="auto"/>
        </w:rPr>
      </w:pPr>
      <w:r>
        <w:rPr>
          <w:rFonts w:ascii="Arial" w:cs="Arial" w:eastAsia="Arial" w:hAnsi="Arial"/>
          <w:sz w:val="18"/>
          <w:szCs w:val="18"/>
          <w:b w:val="1"/>
          <w:bCs w:val="1"/>
          <w:i w:val="1"/>
          <w:iCs w:val="1"/>
          <w:color w:val="auto"/>
        </w:rPr>
        <w:t>The controversy, regulatory action, litigation and investigations related to Stephen A. Wynn and his separation from the Company could significantly harm our business.</w:t>
      </w:r>
    </w:p>
    <w:p>
      <w:pPr>
        <w:spacing w:after="0" w:line="89" w:lineRule="exact"/>
        <w:rPr>
          <w:sz w:val="20"/>
          <w:szCs w:val="20"/>
          <w:color w:val="auto"/>
        </w:rPr>
      </w:pPr>
    </w:p>
    <w:p>
      <w:pPr>
        <w:ind w:right="20" w:firstLine="392"/>
        <w:spacing w:after="0" w:line="286" w:lineRule="auto"/>
        <w:rPr>
          <w:sz w:val="20"/>
          <w:szCs w:val="20"/>
          <w:color w:val="auto"/>
        </w:rPr>
      </w:pPr>
      <w:r>
        <w:rPr>
          <w:rFonts w:ascii="Arial" w:cs="Arial" w:eastAsia="Arial" w:hAnsi="Arial"/>
          <w:sz w:val="16"/>
          <w:szCs w:val="16"/>
          <w:color w:val="auto"/>
        </w:rPr>
        <w:t>On February 6, 2018, Mr. Wynn resigned as CEO and Chairman of the Board of Directors after allegations of inappropriate personal conduct by Mr. Wynn in the workplace were reported in a January 26, 2018 Wall Street Journal article. The resulting controversy related to Mr. Wynn and his separation from the Company could significantly harm our business in numerous ways, including in ways that we cannot predict. As discussed elsewhere in this Form 10-K, gaming regulators in Macau, Massachusetts and Nevada are reviewing the situation. Each of these regulatory authorities has extensive power to license and oversee the operations of our casino resorts and could take action against the Company and its related licensees or Mr. Wynn, including actions that could affect the ability or terms upon which our subsidiaries hold their gaming licenses and concessions, the suitability of the Company to continue as a stockholder of those subsidiaries, and/or the suitability of Mr. Wynn to continue as a stockholder of the Company. As discussed in Item 3—"Legal Proceedings" and Item 8—"Financial Statements and Supplementary Data," Note 14, "Commitments and Contingencies—Litigation," lawsuits have been filed against the Company and our Board of Directors arising out of the allegations against Mr. Wynn, and such claims present a number of risks, including distraction of management, assertions that could affect our reputation, and potential legal liabilities. Additional allegations have been and may in the future be asserted against Mr. Wynn and/or the Company, and additional regulatory or legal proceedings involving the Company may be commenced in the future. The developments regarding Mr. Wynn have and may in the future affect the course of proceedings and the parties' position in litigation in which Elaine P. Wynn, Mr. Wynn's former spouse, submitted a cross claim seeking to void a stockholders agreement to which she and Mr. Wynn are parties. The cross claim, if successful, could increase the possibility of a change in control occurring for purposes of</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Wynn Las Vegas, LLC debt documents. For additional information on the cross claim, see Item 8—"Financial Statements and Supplementary Data," Note 14, "Commitments and Contingencies." In addition, the Company's integrated resort business model was pioneered by Mr. Wynn. Our business, reputation, and competitive position may now suffer as a result of our association with Mr. Wynn, or as a result of his separation from the Company and the loss of his skills and experience.</w:t>
      </w:r>
    </w:p>
    <w:p>
      <w:pPr>
        <w:spacing w:after="0" w:line="106" w:lineRule="exact"/>
        <w:rPr>
          <w:sz w:val="20"/>
          <w:szCs w:val="20"/>
          <w:color w:val="auto"/>
        </w:rPr>
      </w:pPr>
    </w:p>
    <w:p>
      <w:pPr>
        <w:ind w:right="180" w:firstLine="243"/>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193"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 On February 18, 2012, after receiving a report from Freeh, Sporkin &amp; Sullivan, LLP (the "Freeh Report") detailing numerous instances of conduct constituting prima facie violations of the Foreign Corrupt Practices Act (the "FCPA") by Kazuo Okada (formerly the largest beneficial owner of Wynn Resorts' shares) and certain of his affiliates, the Board of Directors of Wynn Resorts determined that Aruze USA Inc. ("Aruze"), Universal Entertainment Corporation, and Mr. Kazuo Okada (collectively, the "Okada Parties") were "unsuitable" within the meaning of Article VII of Wynn Resorts' articles of incorporation and redeemed all of Aruze's shares of Wynn Resorts' common stock. See Item 8—"Financial Statements and Supplementary Data," Note 14, "Commitments and Contingencies."</w:t>
      </w:r>
    </w:p>
    <w:p>
      <w:pPr>
        <w:spacing w:after="0" w:line="16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Macau Operations are subject to unique risks. Failure to adhere to the regulatory and gaming environment in Macau could result in the revocation of our Macau Operations'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71"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In connection with the allegations of inappropriate personal conduct by Mr. Wynn in the workplace reported in a January 26, 2018 Wall Street Journal article, gaming regulators in Massachusetts and Nevada are reviewing the allegations, the Company's internal policies and procedures with respect to maintaining a safe and respectful workplace for all employees and suitability with respect to the Company and its related licensees. The gaming regulator in Macau is monitoring and reviewing the situation. Each of these regulatory authorities has extensive power to license and oversee the operations of our casino resorts and could take action against the Company and its related licensees or Mr. Wynn, including actions that could affect the ability or terms upon which our subsidiaries hold their gaming licenses and concessions, the suitability of the Company to continue as a stockholder of those affiliates and/or the suitability of Mr. Wynn to continue as a stockholder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700" w:firstLine="243"/>
        <w:spacing w:after="0" w:line="277" w:lineRule="auto"/>
        <w:rPr>
          <w:sz w:val="20"/>
          <w:szCs w:val="20"/>
          <w:color w:val="auto"/>
        </w:rPr>
      </w:pPr>
      <w:r>
        <w:rPr>
          <w:rFonts w:ascii="Arial" w:cs="Arial" w:eastAsia="Arial" w:hAnsi="Arial"/>
          <w:sz w:val="18"/>
          <w:szCs w:val="18"/>
          <w:b w:val="1"/>
          <w:bCs w:val="1"/>
          <w:i w:val="1"/>
          <w:iCs w:val="1"/>
          <w:color w:val="auto"/>
        </w:rPr>
        <w:t>Ongoing investigations, litigation and other disputes could distract management and result in negative publicity and additional scrutiny from regulators.</w:t>
      </w:r>
    </w:p>
    <w:p>
      <w:pPr>
        <w:spacing w:after="0" w:line="1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There has been widespread publicity of the findings in the Freeh Report of prima facie violations of law by Mr. Okada and his affiliates, the Board of Directors' unsuitability finding, the redemption of shares and related litigation. In addition, Elaine P. Wynn has asserted various claims against Mr. Wynn, the Company and various Company officers, which have and may continue to draw adverse publicity or impugn the Company's reputation.</w:t>
      </w:r>
    </w:p>
    <w:p>
      <w:pPr>
        <w:spacing w:after="0" w:line="166"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On January 26, 2018, the Company's Board of Directors formed a Special Committee comprised solely of independent directors to investigate allegations of inappropriate personal conduct by Mr. Wynn in the workplace. On February 12, 2018, the Special Committee announced that its review was expanded to include a comprehensive review of the Company's internal policies and procedures with the goal of employing best practices to maintain a safe and respectful workplace for all employees. Gaming regulators in Massachusetts and Nevada are reviewing these matters, including suitability with respect to the Company and its related licensees, and the Company is cooperating with these regulatory reviews. The gaming regulator in Macau is monitoring and reviewing the situation, and the Company is cooperating.</w:t>
      </w:r>
    </w:p>
    <w:p>
      <w:pPr>
        <w:spacing w:after="0" w:line="19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193"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170"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Our ability to maintain our competitive position is dependent to a large degree on the services of our senior management team. The loss of services of our senior managers or the inability to attract and retain additional senior management personnel could have a material adverse effect on our business.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global economic conditions.</w:t>
      </w:r>
    </w:p>
    <w:p>
      <w:pPr>
        <w:spacing w:after="0" w:line="24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Consumer demand for casino/hotel resorts, trade shows and conventions and for the type of luxury amenities that we offer is particularly sensitive to changes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7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growth in consumer demand for non-gaming offerings. Our success depends in part on our ability to anticipate the preferences of consumers and react to those trends and any failure to do so may negatively impact our operating results.</w:t>
      </w:r>
    </w:p>
    <w:p>
      <w:pPr>
        <w:spacing w:after="0" w:line="181"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Visitation to Macau may decline due to economic disruptions in mainland China, restrictions on visitations to Macau from citizens of mainland China and the anti-corruption or similar campaigns.</w:t>
      </w:r>
    </w:p>
    <w:p>
      <w:pPr>
        <w:spacing w:after="0" w:line="170"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 significant number of our gaming customers at our Macau Operations come from mainland China. Economic disruption, contraction and uncertainty in China could impact the number of patrons visiting our Macau Operations or the amount they may be willing to spend. In addition, policies adopted from time to time by the Chinese government, including any travel restrictions imposed by China on its citizens such as restrictions imposed on exit visas granted to residents of mainland China for travel to Macau, could disrupt the number of visitors from mainland China to our property. It is not known when, or if, policies restricting visitation by mainland Chinese citizens to Macau and Hong Kong, will be put in place and travel policies may be adjusted, without notice, in the future. Furthermore, the Chinese government's continuing anti-corruption campaign has influenced the behavior of Chinese consumers and their spending patterns both domestically and abroad. The campaign and mainland Chinese monetary outflow policies have specifically led to tighter monetary transfer regulations, including real time monitoring of certain financial channels, limitations on cash withdrawals from ATM machines by mainland China citizens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reduction of annual withdrawal limits from bank accounts while the account holder is outside of mainland China. These policies may impact the number of visitors and the amount of money they bring from mainland China to Macau. The overall effect of these policies may negatively affect our revenues and results of operations.</w:t>
      </w:r>
    </w:p>
    <w:p>
      <w:pPr>
        <w:spacing w:after="0" w:line="181" w:lineRule="exact"/>
        <w:rPr>
          <w:sz w:val="20"/>
          <w:szCs w:val="20"/>
          <w:color w:val="auto"/>
        </w:rPr>
      </w:pPr>
    </w:p>
    <w:p>
      <w:pPr>
        <w:ind w:right="80" w:firstLine="243"/>
        <w:spacing w:after="0" w:line="279" w:lineRule="auto"/>
        <w:rPr>
          <w:sz w:val="20"/>
          <w:szCs w:val="20"/>
          <w:color w:val="auto"/>
        </w:rPr>
      </w:pPr>
      <w:r>
        <w:rPr>
          <w:rFonts w:ascii="Arial" w:cs="Arial" w:eastAsia="Arial" w:hAnsi="Arial"/>
          <w:sz w:val="17"/>
          <w:szCs w:val="17"/>
          <w:b w:val="1"/>
          <w:bCs w:val="1"/>
          <w:i w:val="1"/>
          <w:iCs w:val="1"/>
          <w:color w:val="auto"/>
        </w:rPr>
        <w:t>Our business is particularly sensitive to the willingness of our customers to travel to and spend time at our resorts. Acts or the threat of acts of terrorism,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w:t>
      </w:r>
    </w:p>
    <w:p>
      <w:pPr>
        <w:spacing w:after="0" w:line="19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continued success depends on our ability to maintain the reputation of our resorts.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19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Aruze's Shares. An adverse judgment or settlement resulting from the related litigation could reduce our profits or limit our ability to operate our business.</w:t>
      </w:r>
    </w:p>
    <w:p>
      <w:pPr>
        <w:spacing w:after="0" w:line="170"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On February 18, 2012, Wynn Resorts' Gaming Compliance Committee received the Freeh Report detailing a pattern of misconduct by the Okada Parties. After receiving the Freeh Report, the Board of Directors of Wynn Resorts determined that each of the Okada Parties was "unsuitable" within the meaning of Article VII of Wynn Resorts' articles of incorporation and redeemed all of Aruze's shares of Wynn Resorts' common stock. See Item 8 —"Financial Statements and Supplementary Data," Note 14, "Commitments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P. Wynn (the "Stockholders Agreement"). In connection with the Redemption Action and Counterclaim additional actions were commenced. For a full description of these matters and status as of the date of this report, see Item 8—"Financial Statements and Supplementary Data," Note 14, "Commitments and Contingencies." The Company is vigorously pursuing its claims against the Okada Parties, and together with the other counter-defendants, vigorously defending against the Counterclaim and other actions asserted against them. However, as with all litigation, the outcome of these proceedings cannot be predicted. Any adverse judgments or settlements involving payment of a material sum of money could cause a material adverse effect on our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170"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70"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are currently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18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 and the way in which those laws and regulations are applied;</w:t>
      </w: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cost of maintaining our properties;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and non-casino activities at our resorts.</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generate sufficient cash flow to make payments or maintain our covenants with respect to our debt.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8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casino/hotel industry is highly competitive. Our Macau Operations face intense competition with approximately 39 other casinos currently operating in Macau.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will open additional facilities in the Cotai area over the next few years.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7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Our Macau Operations face competition from casinos located in Singapore, the Philippines and Malaysia. We also encounter competition from other major gaming centers located around the world, including Australia and Las Vegas, cruise ships in Asia that offer gaming, and other casinos throughout Asia. Further, if current efforts to legalize gaming in other Asian countries, such as Japan, are successful, we will face additional regional competition.</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Las Vegas Operations compete with other Las Vegas Strip hotels and with 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near metropolitan areas from which we attract customers could have a negative effect on our business. In addition, new or renovated casinos in Macau or elsewhere in Asia could draw Asian gaming customers away from Wynn Las Vegas.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Increased competition could result in a loss of customers, which may negatively affect our cash flows and results of operations.</w:t>
      </w:r>
    </w:p>
    <w:p>
      <w:pPr>
        <w:spacing w:after="0" w:line="22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70"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international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reduction in the frequency of visits by and revenue generated from these customers.</w:t>
      </w:r>
    </w:p>
    <w:p>
      <w:pPr>
        <w:spacing w:after="0" w:line="18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9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6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 xml:space="preserve">Las Vegas Operations. </w:t>
      </w:r>
      <w:r>
        <w:rPr>
          <w:rFonts w:ascii="Arial" w:cs="Arial" w:eastAsia="Arial" w:hAnsi="Arial"/>
          <w:sz w:val="18"/>
          <w:szCs w:val="18"/>
          <w:color w:val="auto"/>
        </w:rPr>
        <w:t>While gaming debts evidenced by a credit instrument, including what is commonly referred to as a "marker," are 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8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new projects may not be successful.</w:t>
      </w:r>
    </w:p>
    <w:p>
      <w:pPr>
        <w:spacing w:after="0" w:line="22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If any of these issues were to occur, it could adversely affect our prospects, financial condition, or results of operations.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encounter higher than expected cost increases in the development of our projects.</w:t>
      </w:r>
    </w:p>
    <w:p>
      <w:pPr>
        <w:spacing w:after="0" w:line="2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We are currently constructing Wynn Boston Harbor in Everett, Massachusetts. The total project budget for Wynn Boston Harbor, including gaming license fees, construction costs, capitalized interest, pre-opening expenses and land costs, is estimated to be approximately $2.5 billion. We have begun site preparation and pre-construction activities for the re-development of the land formerly occupied by the Wynn Las Vegas golf course, which we closed in the fourth quarter of 2017. Phase 1 of the project is expected to include a lagoon and additional meeting and convention space. Based on current designs, we estimate the total project budget for Phase 1 to be approximately $500 million and we expect to open Phase 1 in the first half of 2020.</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188"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b w:val="1"/>
          <w:bCs w:val="1"/>
          <w:i w:val="1"/>
          <w:iCs w:val="1"/>
          <w:color w:val="auto"/>
        </w:rPr>
        <w:t>Construction projects will be subject to development and construction risks, which could have an adverse effect on our financial condition, results of operations or cash flows.</w:t>
      </w:r>
    </w:p>
    <w:p>
      <w:pPr>
        <w:spacing w:after="0" w:line="17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Major construction projects of the scope and scale of Wynn Boston Harbor and the redevelopment of the Wynn Las Vegas golf course land entail significant risks, including:</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and price increases in, materials or skilled labor;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or inability to obtain requisite licenses, permits and authorizations from regulatory authorities;</w:t>
      </w:r>
    </w:p>
    <w:p>
      <w:pPr>
        <w:spacing w:after="0" w:line="9"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real estate development or construction projects;</w:t>
      </w: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 health and safety issues, including site accidents;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interference from severe weather or natural disasters;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11"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w:t>
      </w:r>
    </w:p>
    <w:p>
      <w:pPr>
        <w:spacing w:after="0" w:line="124"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facilities currently under development may not commence operations on schedule and construction costs for the projects may exceed budgeted amounts. Failure to complete the projects on schedule or within budget may have a significant negative effect on us and on our ability to make payments on our debt.</w:t>
      </w:r>
    </w:p>
    <w:p>
      <w:pPr>
        <w:spacing w:after="0" w:line="181" w:lineRule="exact"/>
        <w:rPr>
          <w:sz w:val="20"/>
          <w:szCs w:val="20"/>
          <w:color w:val="auto"/>
        </w:rPr>
      </w:pPr>
    </w:p>
    <w:p>
      <w:pPr>
        <w:ind w:right="760" w:firstLine="243"/>
        <w:spacing w:after="0" w:line="277" w:lineRule="auto"/>
        <w:rPr>
          <w:sz w:val="20"/>
          <w:szCs w:val="20"/>
          <w:color w:val="auto"/>
        </w:rPr>
      </w:pPr>
      <w:r>
        <w:rPr>
          <w:rFonts w:ascii="Arial" w:cs="Arial" w:eastAsia="Arial" w:hAnsi="Arial"/>
          <w:sz w:val="18"/>
          <w:szCs w:val="18"/>
          <w:b w:val="1"/>
          <w:bCs w:val="1"/>
          <w:i w:val="1"/>
          <w:iCs w:val="1"/>
          <w:color w:val="auto"/>
        </w:rPr>
        <w:t>We are currently required to commence gaming operations at Wynn Boston Harbor by June 2020. If we are unable to meet this deadline, the Massachusetts Gaming Commission may suspend or revoke our gaming license.</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Pursuant to the Gaming Act, the Company is required to commence gaming operations at Wynn Boston Harbor approximately one year from our projected opening date of mid-2019. If the Company is unable to meet the current deadline and is unable to obtain an extension of the deadline from the MGC, the MGC may suspend or revoke our gaming license and, if we are found by the MGC after a hearing to have acted in bad faith, we will be assessed a fine of up to $50,000,000. Failure to meet the deadline could have an adverse effect on our financial condition, results of operations and cash flows from this planned facility.</w:t>
      </w:r>
    </w:p>
    <w:p>
      <w:pPr>
        <w:spacing w:after="0" w:line="188"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8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Aruze's shares, see Item 8—"Financial Statements and Supplementary Data," Note 14, "Commitments and Contingencies."</w:t>
      </w:r>
    </w:p>
    <w:p>
      <w:pPr>
        <w:spacing w:after="0" w:line="158"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Contamination has been identified at and in the vicinity of our site in Everett, Massachusetts. The ultimate cost of remediating contaminated sites is difficult to accurately predict and could exceed our current estimates. We may be required to conduct additional investigations and remediation with respect to this site. As a result, we also could incur material costs in excess of our estimates as a result of additional cleanup obligations imposed or contamination identified in the future. However, the environmental laws under which we operate are complicated and often increasingly more stringent, and may be applied retroactively. Although our proposed expenditures related to environmental matters are not currently expected to have a material adverse effect on our business, financial condition or results of operations, we may be required to make additional expenditures to remain in, or to achieve compliance with, environmental laws in the future.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and the imposition of foreign withholding taxes could change our overall effective rate of taxation.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violations of law by Mr. Okada and his affiliates could have adverse consequences to the Company.</w:t>
      </w:r>
    </w:p>
    <w:p>
      <w:pPr>
        <w:spacing w:after="0" w:line="22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Freeh Report detailed numerous instances of conduct constituting prima facie violations of the FCPA by Mr. Okada and certain of his affiliates. See Item 8—"Financial Statements and Supplementary Data," Note 14, "Commitments and Contingencies." The Company has provided the Freeh Report to applicable regulators and has been cooperating with related investigations of such regulators. The conduct of Mr. Okada and his affiliates and the outcome of any resulting regulatory findings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have and may pursue separate investigations into the Company's compliance with applicable laws in connection with the Okada matter, as discussed in Item 8—"Financial Statements and Supplementary Data," Note 14, "Commitments and Contingencies." While the Company believes that it is in full compliance with all applicable laws, any such investigations could result in actions by regulators against the Company, which could negatively affect the Company's financial condition and results of operations.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valuation of our Redemption Price Promissory Note could have a negative impact on our financial results.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record the Redemption Note at fair value in accordance with applicable accounting guidance. As of December 31, 2017 and 2016, the fair value of the Redemption Note was $1.88 billion and $1.82 billion, respectively.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7"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 —"Financial Statements and Supplementary Data," Note 14, "Commitments and Contingencies"); the outcome of on-going investigations of Aruze by the United States Attorney's Office, the U.S. Department of Justice and the Nevada Gaming Control Board; and other potential legal and regulatory actions.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1"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 free rate were based on Federal Reserve rates for U.S. Treasury securities and the credit risk spread was based on a yield curve index of similarly rated debt.</w:t>
      </w:r>
    </w:p>
    <w:p>
      <w:pPr>
        <w:spacing w:after="0" w:line="14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 change in any of the assumptions discussed above could result in a change in the fair value of this Redemption Note and significantly impact our financial results.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73"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19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7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 do not offer online gambling or investment accounts.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73"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Operations may be affected by adverse political and economic conditions.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Macau Operations are subject to significant political, economic and social risks inherent in doing business in an emerging market. The future success of our Macau Operations will depend on political and economic conditions in Macau and mainland China.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88" w:lineRule="exact"/>
        <w:rPr>
          <w:sz w:val="20"/>
          <w:szCs w:val="20"/>
          <w:color w:val="auto"/>
        </w:rPr>
      </w:pPr>
    </w:p>
    <w:p>
      <w:pPr>
        <w:ind w:right="540" w:firstLine="243"/>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w:t>
      </w:r>
    </w:p>
    <w:p>
      <w:pPr>
        <w:spacing w:after="0" w:line="17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concession agreement with the Macau government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The Macau government has publicly commented that it is studying the process by which concessions and subconcessions may be renewed. Effective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by the remaining years under the concession. We may not be able to renew or extend our concession agreement on terms favorable to us or at all and, if our concession is redeemed, the compensation paid to us may not be adequate to compensate us for the loss of future revenues. The redemption of or failure to extend our concession would have a material adverse effect on our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compete for limited labor resources in Macau and Macau government policies may also affect our ability to employ imported labor.</w:t>
      </w:r>
    </w:p>
    <w:p>
      <w:pPr>
        <w:spacing w:after="0" w:line="23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has increased and will continue to increase as other competitors expand their operations. We have to seek employees from other countries to adequately staff our resorts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smoking control legislation in Macau could have an adverse effect on our business, financial condition, results of operations and cash flows.</w:t>
      </w:r>
    </w:p>
    <w:p>
      <w:pPr>
        <w:spacing w:after="0" w:line="24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2014, the Macau government approved additional smoking control legislation, which prohibited smoking in casinos starting on October 6, 2014. The legislation, however, permits casinos to maintain certain limited smoking areas open to VIP patrons if such areas are within restricted access areas, comply with certain square footage ratios based on overall gaming area square footage and comply with the conditions set out in the Dispatch of the Chief Executive, dated November 1, 2012, as amended by the Dispatch of the Chief Executive, dated June 3, 2014. Prior public announcements by the Macau government indicated that the Macau government intended to pursue a full smoking ban within all Macau casinos, however, a new tobacco control law went into effect on January 1, 2018 requiring casinos to prohibit smoking in the currently permissible areas by December 31, 2018, and construct smoking lounges in accordance with certain stringent technical standards still to be determined. The existing smoking legislation, and any smoking legislation intended to fully ban all smoking in casinos, may deter potential gaming customers who are smokers from frequenting casinos in Macau and disrupt the number of patrons visiting or the amount of time visiting patrons spend at our property, which could have a material adverse effect on our business, financial condition, results of operations and cash flows.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of visitors to Macau.</w:t>
      </w:r>
    </w:p>
    <w:p>
      <w:pPr>
        <w:spacing w:after="0" w:line="225"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Because of additional casino projects that are under construction and to be developed in the future, the ferry and helicopter services, which provide transportation between Macau, Hong Kong, and mainland China may need to be expanded to accommodate the increased visitation to Macau.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our Macau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Unfavorable weather conditions could negatively affect the profitability of our resorts and prevent or discourage guests from traveling to Macau.</w:t>
      </w:r>
    </w:p>
    <w:p>
      <w:pPr>
        <w:spacing w:after="0" w:line="21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of our Macau Operations if it:</w:t>
      </w:r>
    </w:p>
    <w:p>
      <w:pPr>
        <w:spacing w:after="0" w:line="18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1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Nevada gaming laws apply to our Macau Operations' gaming activities and associations.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w:t>
      </w:r>
    </w:p>
    <w:p>
      <w:pPr>
        <w:spacing w:after="0" w:line="18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 to conduct our Macau Operations in accordance with the standards of honesty and integrity required of Nevada gaming operations;</w:t>
      </w:r>
    </w:p>
    <w:p>
      <w:pPr>
        <w:spacing w:after="0" w:line="32"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32" w:lineRule="exact"/>
        <w:rPr>
          <w:rFonts w:ascii="Arial" w:cs="Arial" w:eastAsia="Arial" w:hAnsi="Arial"/>
          <w:sz w:val="16"/>
          <w:szCs w:val="16"/>
          <w:color w:val="auto"/>
        </w:rPr>
      </w:pPr>
    </w:p>
    <w:p>
      <w:pPr>
        <w:ind w:left="1300" w:right="40" w:hanging="644"/>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89" w:lineRule="exact"/>
        <w:rPr>
          <w:sz w:val="20"/>
          <w:szCs w:val="20"/>
          <w:color w:val="auto"/>
        </w:rPr>
      </w:pPr>
    </w:p>
    <w:p>
      <w:pPr>
        <w:ind w:right="240" w:firstLine="243"/>
        <w:spacing w:after="0" w:line="342" w:lineRule="auto"/>
        <w:rPr>
          <w:sz w:val="20"/>
          <w:szCs w:val="20"/>
          <w:color w:val="auto"/>
        </w:rPr>
      </w:pPr>
      <w:r>
        <w:rPr>
          <w:rFonts w:ascii="Arial" w:cs="Arial" w:eastAsia="Arial" w:hAnsi="Arial"/>
          <w:sz w:val="16"/>
          <w:szCs w:val="16"/>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2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may lose the clientele of our gaming promoters, who generate a significant portion of our gaming revenue. There is intense competition among casino operators in Macau for services provided by gaming promoters, which has intensified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VIP customers. In addition, if our gaming promoters are unable to develop or maintain relationships with our VIP customers, our ability to maintain or grow our gaming revenues will be hampered.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patrons.</w:t>
      </w:r>
    </w:p>
    <w:p>
      <w:pPr>
        <w:spacing w:after="0" w:line="170" w:lineRule="exact"/>
        <w:rPr>
          <w:sz w:val="20"/>
          <w:szCs w:val="20"/>
          <w:color w:val="auto"/>
        </w:rPr>
      </w:pPr>
    </w:p>
    <w:p>
      <w:pPr>
        <w:ind w:right="80" w:firstLine="392"/>
        <w:spacing w:after="0" w:line="297" w:lineRule="auto"/>
        <w:rPr>
          <w:sz w:val="20"/>
          <w:szCs w:val="20"/>
          <w:color w:val="auto"/>
        </w:rPr>
      </w:pPr>
      <w:r>
        <w:rPr>
          <w:rFonts w:ascii="Arial" w:cs="Arial" w:eastAsia="Arial" w:hAnsi="Arial"/>
          <w:sz w:val="16"/>
          <w:szCs w:val="16"/>
          <w:color w:val="auto"/>
        </w:rPr>
        <w:t>Economic and political factors in the region may cause our gaming promoters to experience difficulties in their Macau operations, including intensified competition in attracting patrons to come to Macau. Further, gaming promoters may face a decrease in liquidity, limiting their ability to grant credit to their patrons, and difficulties in collecting credit they extended previously. The inability to attract sufficient patrons, grant credit and collect amounts due in a timely manner may negatively affect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2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171"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4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w:t>
      </w:r>
    </w:p>
    <w:p>
      <w:pPr>
        <w:spacing w:after="0" w:line="166" w:lineRule="exact"/>
        <w:rPr>
          <w:sz w:val="20"/>
          <w:szCs w:val="20"/>
          <w:color w:val="auto"/>
        </w:rPr>
      </w:pPr>
    </w:p>
    <w:p>
      <w:pPr>
        <w:ind w:right="580" w:firstLine="243"/>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8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Because many of our Macau Operations' payment and expenditure obligations are in Macau patacas, in the event of unfavorable Macau pataca or Hong Kong dollar rate changes, our Macau Operations'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our Macau Operations.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our Macau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only then would holders of our Macau subsidiaries' unsecured debt be entitled to payment from their remaining assets.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2017,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78" w:lineRule="exact"/>
        <w:rPr>
          <w:sz w:val="20"/>
          <w:szCs w:val="20"/>
          <w:color w:val="auto"/>
        </w:rPr>
      </w:pPr>
    </w:p>
    <w:p>
      <w:pPr>
        <w:ind w:right="460" w:firstLine="243"/>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connection with the opening of Wynn Palace, the DICJ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Macau and Wynn Palace, subject to the aggregate cap. As of February 15, 2018, we had a total of 316 table games at Wynn Macau and 323 at Wynn Palace. The mix of table games in operation at Wynn Macau and Wynn Palace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225"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As of December 31, 2017, Mr. Wynn and Elaine P. Wynn owned 12,131,707 shares and 9,539,077 shares, respectively, or in the aggregate approximately 21.1%,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w:t>
      </w:r>
    </w:p>
    <w:p>
      <w:pPr>
        <w:spacing w:after="0" w:line="14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Under the Stockholders Agreement, Mr. Wynn and Elaine P. Wynn have agreed to vote the shares of Wynn Resorts' common stock held by them that are subject to the terms of the Stockholders Agreement in a manner so as to elect to our Board of Directors each of the nominees contained on each and every slate of directors endorsed by Mr. Wynn. As a result of this voting arrangement, Mr. Wynn, as a practical matter, exercises significant influence over the slate of directors to be elected to Wynn Resorts' Board of Directors. In addition, with stated exceptions, the Stockholders Agreement requires the written consent of the other party prior to any party selling any shares of Wynn Resorts' common stock that it owns.</w:t>
      </w:r>
    </w:p>
    <w:p>
      <w:pPr>
        <w:spacing w:after="0" w:line="1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June 2012, in connection with the pending litigation between the Company and Aruze, Elaine P. Wynn submitted a cross claim against Mr. Wynn and Mr. Okada seeking to void the Stockholders Agreement. The cross claim, if successful, could increase the possibility of a change in control under the Wynn Las Vegas, LLC debt documents. On February 12, 2018, counsel for Mr. Wynn advised the court hearing this matter that Mr. Wynn now agrees that the Stockholders Agreement no longer binds either Mr. Wynn or Elaine P. Wynn. There can be no assurance that the court will concur with the position now taken by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Wynn, or that the Stockholders Agreement will in fact be deemed to no longer bind the parties thereto. For additional information on the cross claim, see Item 8—"Financial Statements and Supplementary Data," Note 14, "Commitments and Contingencies."</w:t>
      </w:r>
    </w:p>
    <w:p>
      <w:pPr>
        <w:spacing w:after="0" w:line="170"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of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w:t>
      </w:r>
    </w:p>
    <w:p>
      <w:pPr>
        <w:spacing w:after="0" w:line="1" w:lineRule="exact"/>
        <w:rPr>
          <w:sz w:val="20"/>
          <w:szCs w:val="20"/>
          <w:color w:val="auto"/>
        </w:rPr>
      </w:pPr>
    </w:p>
    <w:p>
      <w:pPr>
        <w:ind w:right="120" w:firstLine="8"/>
        <w:spacing w:after="0" w:line="254"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one-third or more but less than a majority, or (iii) a majority or more, of the voting power in the election of directors. As a result of these bylaw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6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have a substantial amount of consolidated debt in relation to our equity. As of December 31, 2017, we had total outstanding debt of approximately $9.63 billion, which includes a portion of the funds we expect to need for the development and construction of our current projects. We may, however, incur additional indebtedness in connection with the construction of these projects. See Item 1—Business "Construction and Development Opportunities." In addition, we are permitted to incur additional indebtedness if certain conditions are met, including conditions under our Wynn Macau Credit Facilities, our Wynn America Credit Facilities and our Wynn Las Vegas, LLC indentures in connection with other future potential development plans. On February 18, 2012, we issued a Redemption Note with a principal amount of approximately $1.94 billion in redemption of all of the shares of Wynn Resorts common stock held by Aruze. As of December 31, 2017, the fair value of the Redemption Note was $1.88 billion. For additional information on the redemption and the Redemption Note, see Item 8—"Financial Statements and Supplementary Data," Note 14, "Commitments and Contingencies."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225" w:lineRule="exact"/>
        <w:rPr>
          <w:sz w:val="20"/>
          <w:szCs w:val="20"/>
          <w:color w:val="auto"/>
        </w:rPr>
      </w:pPr>
    </w:p>
    <w:p>
      <w:pPr>
        <w:ind w:left="1300" w:hanging="644"/>
        <w:spacing w:after="0" w:line="25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1" w:lineRule="exact"/>
        <w:rPr>
          <w:rFonts w:ascii="Arial" w:cs="Arial" w:eastAsia="Arial" w:hAnsi="Arial"/>
          <w:sz w:val="18"/>
          <w:szCs w:val="18"/>
          <w:color w:val="auto"/>
        </w:rPr>
      </w:pPr>
    </w:p>
    <w:p>
      <w:pPr>
        <w:ind w:left="1300" w:right="160" w:hanging="644"/>
        <w:spacing w:after="0" w:line="28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servicing our indebtedness requires a substantial portion of our cash flow from the operations of our Las Vegas and Macau Operations and reduces the amount of available cash, if any, to fund working capital and other cash requirements or pay for other capital expenditures;</w:t>
      </w:r>
    </w:p>
    <w:p>
      <w:pPr>
        <w:spacing w:after="0" w:line="1" w:lineRule="exact"/>
        <w:rPr>
          <w:rFonts w:ascii="Arial" w:cs="Arial" w:eastAsia="Arial" w:hAnsi="Arial"/>
          <w:sz w:val="16"/>
          <w:szCs w:val="16"/>
          <w:color w:val="auto"/>
        </w:rPr>
      </w:pPr>
    </w:p>
    <w:p>
      <w:pPr>
        <w:ind w:left="1300" w:right="100" w:hanging="644"/>
        <w:spacing w:after="0" w:line="295"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Okada Parties have challenged the redemption of Aruze's shares and we are currently involved in litigation with those parties as well as related stockholder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480"/>
        <w:spacing w:after="0" w:line="282" w:lineRule="auto"/>
        <w:rPr>
          <w:sz w:val="20"/>
          <w:szCs w:val="20"/>
          <w:color w:val="auto"/>
        </w:rPr>
      </w:pPr>
      <w:r>
        <w:rPr>
          <w:rFonts w:ascii="Arial" w:cs="Arial" w:eastAsia="Arial" w:hAnsi="Arial"/>
          <w:sz w:val="18"/>
          <w:szCs w:val="18"/>
          <w:color w:val="auto"/>
        </w:rPr>
        <w:t>adverse judgments or settlements would reduce our profits and could limit our ability to operate our business. See Item 8—"Financial Statements and Supplementary Data," Note 14, "Commitments and Contingencies";</w:t>
      </w:r>
    </w:p>
    <w:p>
      <w:pPr>
        <w:spacing w:after="0" w:line="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and</w:t>
      </w:r>
    </w:p>
    <w:p>
      <w:pPr>
        <w:spacing w:after="0" w:line="22" w:lineRule="exact"/>
        <w:rPr>
          <w:rFonts w:ascii="Arial" w:cs="Arial" w:eastAsia="Arial" w:hAnsi="Arial"/>
          <w:sz w:val="18"/>
          <w:szCs w:val="18"/>
          <w:color w:val="auto"/>
        </w:rPr>
      </w:pPr>
    </w:p>
    <w:p>
      <w:pPr>
        <w:ind w:left="1300" w:right="200" w:hanging="644"/>
        <w:spacing w:after="0" w:line="261"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8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70"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181"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our significant land holdings. We own or have obtained the right to use these properties. We also own or lease various other improved and unimproved properties associated with our development projects.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20" w:type="dxa"/>
            <w:vAlign w:val="bottom"/>
            <w:shd w:val="clear" w:color="auto" w:fill="CCEEFF"/>
          </w:tcPr>
          <w:p>
            <w:pPr>
              <w:spacing w:after="0"/>
              <w:rPr>
                <w:sz w:val="19"/>
                <w:szCs w:val="19"/>
                <w:color w:val="auto"/>
              </w:rPr>
            </w:pPr>
          </w:p>
        </w:tc>
        <w:tc>
          <w:tcPr>
            <w:tcW w:w="7060" w:type="dxa"/>
            <w:vAlign w:val="bottom"/>
            <w:shd w:val="clear" w:color="auto" w:fill="CCEEFF"/>
          </w:tcPr>
          <w:p>
            <w:pPr>
              <w:spacing w:after="0"/>
              <w:rPr>
                <w:sz w:val="19"/>
                <w:szCs w:val="19"/>
                <w:color w:val="auto"/>
              </w:rPr>
            </w:pPr>
          </w:p>
        </w:tc>
      </w:tr>
      <w:tr>
        <w:trPr>
          <w:trHeight w:val="261"/>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Acres</w:t>
            </w:r>
          </w:p>
        </w:tc>
        <w:tc>
          <w:tcPr>
            <w:tcW w:w="1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8"/>
                <w:szCs w:val="18"/>
                <w:b w:val="1"/>
                <w:bCs w:val="1"/>
                <w:color w:val="auto"/>
              </w:rPr>
              <w:t>Location</w:t>
            </w:r>
          </w:p>
        </w:tc>
      </w:tr>
      <w:tr>
        <w:trPr>
          <w:trHeight w:val="318"/>
        </w:trPr>
        <w:tc>
          <w:tcPr>
            <w:tcW w:w="2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top w:val="single" w:sz="8" w:color="auto"/>
            </w:tcBorders>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 (1)</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Wynn Macau</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Located in downtown Macau's inner harbor.</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7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Wynn Palace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3"/>
                <w:szCs w:val="23"/>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in the Cotai area of Macau.</w:t>
            </w: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324"/>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Wynn Las Vegas (main parcel)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at the intersection of Las Vegas Boulevard and Sands Avenue.</w:t>
            </w: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Golf course land (2)</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1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Located adjacent to Wynn Las Vegas.</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parking lot and office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60" w:type="dxa"/>
            <w:vAlign w:val="bottom"/>
            <w:shd w:val="clear" w:color="auto" w:fill="CCEEFF"/>
          </w:tcPr>
          <w:p>
            <w:pPr>
              <w:spacing w:after="0"/>
              <w:rPr>
                <w:sz w:val="19"/>
                <w:szCs w:val="19"/>
                <w:color w:val="auto"/>
              </w:rPr>
            </w:pPr>
          </w:p>
        </w:tc>
      </w:tr>
      <w:tr>
        <w:trPr>
          <w:trHeight w:val="237"/>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building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across Sands Avenue.</w:t>
            </w:r>
          </w:p>
        </w:tc>
      </w:tr>
      <w:tr>
        <w:trPr>
          <w:trHeight w:val="243"/>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Office building</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Located adjacent to golf course land.</w:t>
            </w: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Wynn Boston Harbor (3)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Located in Everett, Massachusetts, adjacent to Boston along the Mystic River.</w:t>
            </w: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Located on the Las Vegas Strip directly across from Wynn Las Vegas.</w:t>
            </w: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260" w:right="100" w:hanging="252"/>
        <w:spacing w:after="0" w:line="246"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Macau is leased under a land concession contract with a term of 25 years from August 2004, which may be renewed with government approval for successive periods. Wynn Palace is leased under a land concession contract with a term of 25 years from May 2012, which may be renewed with government approval for successive periods.</w:t>
      </w:r>
    </w:p>
    <w:p>
      <w:pPr>
        <w:ind w:left="260" w:right="260" w:hanging="252"/>
        <w:spacing w:after="0" w:line="24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approximately 834 acre-feet of permitted and certificated water rights, which we used to irrigate the golf course prior to its closing in the fourth quarter of 2017. We also own approximately 151.5 acre-feet of permitted and certificated water rights for commercial use. There are significant cost savings and conservation benefits associated with using water supplied pursuant to our water rights. We anticipate using our water rights to support the redevelopment of the golf course land.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integrated resort is currently under construction and is expected to open in mid-2019.</w:t>
      </w:r>
    </w:p>
    <w:p>
      <w:pPr>
        <w:spacing w:after="0" w:line="1" w:lineRule="exact"/>
        <w:rPr>
          <w:rFonts w:ascii="Arial" w:cs="Arial" w:eastAsia="Arial" w:hAnsi="Arial"/>
          <w:sz w:val="14"/>
          <w:szCs w:val="14"/>
          <w:color w:val="auto"/>
        </w:rPr>
      </w:pPr>
    </w:p>
    <w:p>
      <w:pPr>
        <w:ind w:left="260" w:right="40" w:hanging="252"/>
        <w:spacing w:after="0" w:line="255"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Subsequent to December 31, 2017, we acquired approximately 38 acres of land, of which approximately 16 acres are subject to a ground lease that expires in 2097. As part of this acquisition, we acquired approximately 24 acre-feet of permitted and certificated water rights. We expect to use this land for future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are occasionally party to lawsuits. As with all litigation, no assurance can be provided as to the outcome of such matters and we note that litigation inherently involves significant costs. See Item 8—"Financial Statements and Supplementary Data," Note 14, "Commitments and Contingencies—Litigation" in this Annual Report on Form 10-K, which is incorporated herein by reference, and Item 1A—"Risk Factors" in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In July 2014, Wynn Macau SA was contacted by the Commission Against Corruption of Macau ("CCAC") requesting certain information related to its land in the Cotai area of Macau. Wynn Macau SA has cooperated with CCAC's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First Quarter (through February 15,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203.63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116.19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approximately 165 holders of record of our common stock as of February 15,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certain key subsidiaries, including Wynn America and Wynn Macau SA, from making dividends or distributions to Wynn Resorts. These restrictions are subject to certain exceptions for affiliated overhead expenses as defined in the agreements governing the debt instruments, unless certain financial and non-financial criteria have been satisfied.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quarter of 2017 and 2016, the Company paid a cash dividend of $0.50 per share, for annual cash dividends of $2.00 per share.</w:t>
      </w:r>
    </w:p>
    <w:p>
      <w:pPr>
        <w:spacing w:after="0" w:line="225" w:lineRule="exact"/>
        <w:rPr>
          <w:sz w:val="20"/>
          <w:szCs w:val="20"/>
          <w:color w:val="auto"/>
        </w:rPr>
      </w:pPr>
    </w:p>
    <w:p>
      <w:pPr>
        <w:ind w:left="60" w:right="540" w:firstLine="405"/>
        <w:spacing w:after="0" w:line="277" w:lineRule="auto"/>
        <w:rPr>
          <w:sz w:val="20"/>
          <w:szCs w:val="20"/>
          <w:color w:val="auto"/>
        </w:rPr>
      </w:pPr>
      <w:r>
        <w:rPr>
          <w:rFonts w:ascii="Arial" w:cs="Arial" w:eastAsia="Arial" w:hAnsi="Arial"/>
          <w:sz w:val="18"/>
          <w:szCs w:val="18"/>
          <w:color w:val="auto"/>
        </w:rPr>
        <w:t>On January 22, 2018, the Company announced a cash dividend of $0.50 per share, payable on February 27, 2018, to stockholders of record as of February 15, 2018.</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of Directors will continue to periodically assess the level and appropriateness of any cash dividends.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November 2017, we repurchased 630 shares in satisfaction of tax withholding obligations on vested restricted stock at an average price of $150.09 per share, for a total amount of $0.1 million.</w:t>
      </w:r>
    </w:p>
    <w:p>
      <w:pPr>
        <w:spacing w:after="0" w:line="1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December 2017, we repurchased 54,768 shares in satisfaction of tax withholding obligations on vested restricted stock at an average price of $167.75 per share, for a total amount of $9.2 million.</w:t>
      </w:r>
    </w:p>
    <w:p>
      <w:pPr>
        <w:spacing w:after="0" w:line="170"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None of the foregoing repurchases that occurred in November 2017 and December 2017 were part of the Company's publicly announced repurchase program, which is discussed in Item 8—"Financial Statements and Supplementary Data," Note 9, "Stockholders' Equity."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2012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Among Wynn Resorts Ltd., the S&amp;P 500 Index,</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and the Dow Jones US Gambling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240665</wp:posOffset>
            </wp:positionV>
            <wp:extent cx="4570730" cy="285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07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*$100 invested on 12/31/12 in stock or index, including reinvestment of dividends. Fiscal year ending December 31.</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Copyright © 2018 S&amp;P, a division of McGraw Hill Financial. All rights reserved.</w:t>
      </w:r>
    </w:p>
    <w:p>
      <w:pPr>
        <w:spacing w:after="0" w:line="42"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Copyright © 2018 Dow Jones &amp; Co. All rights reserved.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2" w:right="3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financial information for each of the five years ended December 31, 2017, 2016, 2015, 2014 and 2013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 (1)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 (2)</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6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Consolidated Statements of Income Data:</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6,306,368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4,466,297</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4,075,883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5,433,661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5,620,936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26,692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154,717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77,623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30,146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1,055,565</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521,662</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658,814</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1,266,278</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1,290,091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889,254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302,469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281,524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962,644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1,004,157</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4"/>
              </w:rPr>
              <w:t>Less: net income attributable to noncontrolling</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(142,073)</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(60,494)</w:t>
            </w:r>
          </w:p>
        </w:tc>
        <w:tc>
          <w:tcPr>
            <w:tcW w:w="34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(86,234)</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(231,090)</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(275,505)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747,181</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241,975</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195,290</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731,554</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728,652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7.32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1.93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7.25</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399"/>
        </w:trPr>
        <w:tc>
          <w:tcPr>
            <w:tcW w:w="3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 (1)</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 (2)</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6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Sheets Data:</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2,804,474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2,453,122</w:t>
            </w:r>
          </w:p>
        </w:tc>
        <w:tc>
          <w:tcPr>
            <w:tcW w:w="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2,080,089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2,182,164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2,435,041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1,016,207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299,686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3,217,117</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1,666,326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558,624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12,681,739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11,953,557</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10,459,159</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9,001,919</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8,332,133</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obligations (3)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9,673,099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10,279,375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9,327,143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7,482,510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6,748,283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1,078,350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257,881</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21,845</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211,091</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132,351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r>
      <w:tr>
        <w:trPr>
          <w:trHeight w:val="27"/>
        </w:trPr>
        <w:tc>
          <w:tcPr>
            <w:tcW w:w="3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60" w:right="280" w:hanging="328"/>
        <w:spacing w:after="0" w:line="250"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the fourth quarter of 2017, we recorded a provisional income tax benefit of $339.9 million related to the enactment of U.S. tax reform. See Item 8—"Financial Statements and Supplementary Data," Note 13, "Income Taxes."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long-term debt, other long-term liabilities, deferred income tax liabilities, net and the required contract premium payments under our land concession contracts at Wynn Palace.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are a developer, owner and operator of destination casino resorts (integrated resorts). In Macau, we own approximately 72% of WML, which includes the operations of the Wynn Macau and Wynn Palace resorts. In Las Vegas, Nevada, we operate and, with the exception of certain retail space, own 100% of Wynn Las Vegas. We are currently constructing Wynn Boston Harbor, an integrated casino resort in Everett, Massachusetts.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August 22, 2016, we opened Wynn Palace, an integrated resort in the Cotai area of Macau. Wynn Palace features a luxury hotel tower with 1,706 guest rooms, suites and villas, approximately 420,000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33 food and beverage outlets, approximately 290,000 square feet of meeting and convention space, approximately 110,000 square feet of retail space (of which 103,000 square feet is owned and operated under a joint venture arrangement of which we own 50.1%), as well as two theaters, three nightclubs, a beach club, and recreation and leisure facilities.</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December 2016, we entered into the Retail Joint Venture with Crown to own and operate approximately 88,000 square feet of existing retail space. In November 2017, we contributed approximately 74,000 square feet of additional retail space to the Retail Joint Venture, the majority of which is currently under construction at Wynn Las Vegas. We expect to open the additional retail space in the second half of 2018. For more information on the Retail Joint Venture, see Item 8—"Financial Statements and Supplementary Data," Note 3, "Retail Joint Venture."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are currently constructing Wynn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December 31, 2017, we have incurred approximately $1.13 billion in total project costs. We expect to open Wynn Boston Harbor in mid-2019.</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have begun site preparation and pre-construction activities for the redevelopment of the land previously occupied by the Wynn Las Vegas golf course, which we closed in the fourth quarter of 2017. Phase 1 of the project is expected to include a lagoon and additional meeting and convention space. Based on current designs, we estimate the total project budget for Phase 1 to be approximately $500 million and we expect to open Phase 1 in the first half of 2020.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Income are presented. Below are definitions of these key operating measures discussed: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220" w:hanging="644"/>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w:t>
      </w:r>
    </w:p>
    <w:p>
      <w:pPr>
        <w:spacing w:after="0" w:line="32" w:lineRule="exact"/>
        <w:rPr>
          <w:rFonts w:ascii="Arial" w:cs="Arial" w:eastAsia="Arial" w:hAnsi="Arial"/>
          <w:sz w:val="16"/>
          <w:szCs w:val="16"/>
          <w:color w:val="auto"/>
        </w:rPr>
      </w:pPr>
    </w:p>
    <w:p>
      <w:pPr>
        <w:ind w:left="1300" w:right="40" w:hanging="644"/>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00" w:hanging="644"/>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6,306,368</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4,466,297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4,075,883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747,181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241,975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195,290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1,810,732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1,259,327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1,185,789</w:t>
            </w:r>
          </w:p>
        </w:tc>
      </w:tr>
    </w:tbl>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the year ended December 31, 2017, our net income attributable to Wynn Resorts, Limited was $747.2 million, or $7.28 per diluted share, an increase of 208.8%, or $505.2 million, compared to $242.0 million, or $2.38 per diluted share, for the same period of 2016. The increase in net income attributable to Wynn Resorts, Limited was primarily the result of the provisional income tax benefit from U.S. tax reform and increases in operating income from Wynn Palace, Wynn Macau and our Las Vegas Operations, partially offset by increases in the Redemption Note fair value and interest expense as we are no longer capitalizing interest on Wynn Palace. Wynn Palace opened on August 22, 2016, with our results for the year ended December 31, 2016 including 132 days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Adjusted Property EBITDA was $1.81 billion for the year ended December 31, 2017, an increase of 43.8%, or $551.4 million, from $1.26 billion for the same period of 2016. The increase in Adjusted Property EBITDA was the result of increases of $424.5 million, $79.2 million, and $47.7 million from Wynn Palace, Wynn Macau and our Las Vegas Operations, respectively.</w:t>
      </w:r>
    </w:p>
    <w:p>
      <w:pPr>
        <w:spacing w:after="0" w:line="181"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During the year ended December 31, 2016, our net income attributable to Wynn Resorts, Limited was $242.0 million, or $2.38 per diluted share, an increase of 23.9%, or $46.7 million, compared to $195.3 million, or $1.92 per diluted share, for the same period of 2015. The increase in net income attributable to Wynn Resorts, Limited was primarily due to a loss on extinguishment of debt in 2015 that was not experienced in 2016.</w:t>
      </w:r>
    </w:p>
    <w:p>
      <w:pPr>
        <w:spacing w:after="0" w:line="16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Adjusted Property EBITDA was $1.26 billion for the year ended December 31, 2016, an increase of 6.2%, or $73.5 million, from $1.19 billion for the same period of 2015. The increase in Adjusted Property EBITDA was primarily due to the new operations associated with the opening of Wynn Palace, partially offset by a decrease of 3.8% from Wynn Macau driven by a decrease in business volumes.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2017 compared to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2,485,804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2,264,087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2,139,154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583,336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4,624,958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2,847,423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1,681,410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1,618,874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6,306,368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4,466,297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 Wynn Palace opened on August 22, 2016.</w:t>
      </w:r>
    </w:p>
    <w:p>
      <w:pPr>
        <w:spacing w:after="0" w:line="19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revenues increased 41.2%, or $1.84 billion, to $6.31 billion for the year ended December 31, 2017, from $4.47 billion for the same period of 2016. The increase was the result of increases of $1.56 billion, $221.7 million and $62.5 million from Wynn Palace, Wynn Macau and our Las Vegas Operations, respectively.</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4,948,319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3,268,141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1,358,049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1,198,156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6,306,368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4,466,297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80" w:type="dxa"/>
            <w:vAlign w:val="bottom"/>
            <w:vMerge w:val="restart"/>
          </w:tcPr>
          <w:p>
            <w:pPr>
              <w:jc w:val="right"/>
              <w:ind w:right="85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Casino revenues were 78.5% of total net revenues for the year ended December 31, 2017, compared to 73.2% for the same period of 2016, while non-casino revenues were 21.5% of total net revenues, compared to 26.8% for the same period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Casino revenues increased 51.4%, or $1.68 billion, to $4.95 billion for the year ended December 31, 2017, from $3.27 billion for the same period of 2016. The increase was primarily due to increases of $1.45 billion, $225.0 million and $9.7 million from Wynn Palace, Wynn Macau and our Las Vegas Operations, respectively. The increase in casino revenues from Wynn Macau was primarily driven by a 23.9% increase in VIP turnover.</w:t>
      </w:r>
    </w:p>
    <w:p>
      <w:pPr>
        <w:spacing w:after="0" w:line="14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Macau and Wynn Palace, subject to the aggregate cap, to optimize our casino operations. As of February 15, 2018, we had a total of 316 table games at Wynn Macau and 323 at Wynn Palace.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2,360,221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2,135,193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VIP:</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58,303,836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47,048,754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11,255,082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1,907,625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1,547,261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360,364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54,726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4,525,727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4,585,476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(59,749)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880,964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881,797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3,526,747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3,386,973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154,425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145,680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4"/>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1,965,362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519,877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1,445,485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52,573,258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14,480,023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38,093,235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1,486,674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396,954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1,089,720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39,325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37,009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3,490,363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2,489,482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795,159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211,146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584,013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10,759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3,053,614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738,907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2,314,707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165,754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1"/>
        </w:trPr>
        <w:tc>
          <w:tcPr>
            <w:tcW w:w="4600" w:type="dxa"/>
            <w:vAlign w:val="bottom"/>
          </w:tcPr>
          <w:p>
            <w:pPr>
              <w:ind w:left="100"/>
              <w:spacing w:after="0"/>
              <w:rPr>
                <w:sz w:val="20"/>
                <w:szCs w:val="20"/>
                <w:color w:val="auto"/>
              </w:rPr>
            </w:pPr>
            <w:r>
              <w:rPr>
                <w:rFonts w:ascii="Arial" w:cs="Arial" w:eastAsia="Arial" w:hAnsi="Arial"/>
                <w:sz w:val="14"/>
                <w:szCs w:val="14"/>
                <w:color w:val="auto"/>
              </w:rPr>
              <w:t>(1) Wynn Palace opened on August 22, 2016.</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5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2"/>
              </w:rPr>
              <w:t>Increase/</w:t>
            </w:r>
          </w:p>
        </w:tc>
        <w:tc>
          <w:tcPr>
            <w:tcW w:w="156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622,736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613,071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9,665</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1,804,988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1,838,479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(33,491)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465,664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465,041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3,183,369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3,148,610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218,897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208,024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Non-casino revenues increased 13.3%, or $159.9 million, to $1.36 billion for the year ended December 31, 2017, from $1.20 billion for the same period of 2016, primarily due to the increases of $110.3 million and $52.9 million from Wynn Palace and our Las Vegas Operations, respectively, partially offset by a decrease of $3.3 million from Wynn Macau.</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Room revenues increased 16.7%, or $100.9 million, to $704.2 million for the year ended December 31, 2017, from $603.3 million for the same period of 2016, primarily due to increases of $92.1 million and $19.4 million from Wynn Palace and our Las Vegas Operations, respectively, partially offset by a decrease of $10.6 million from Wynn Macau. The increase experienced by our Las Vegas Operations was driven by an ADR increase of 3.0% and a 1.6 percentage point increase in occupancy, while the decrease from Wynn Macau was a result of an ADR decline of 12.3%, partially offset by a 3.1 percentage point increase in occupancy.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00" w:type="dxa"/>
            <w:vAlign w:val="bottom"/>
          </w:tcPr>
          <w:p>
            <w:pPr>
              <w:jc w:val="right"/>
              <w:ind w:right="37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 (1)</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101,242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111,817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146,980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54,843</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455,980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436,613</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28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037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Except occupancy, which is presented as a percentage point change.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Food and beverage revenues increased 14.9%, or $89.4 million, to $690.9 million for the year ended December 31, 2017, from $601.5 million for the same period of 2016, primarily due to increases of $60.4 million and $32.0 million from Wynn Palace and our Las Vegas Operations, respectively, partially offset by a decrease of $3.1 million from Wynn Macau, respectively. The increase from our Las Vegas Operations was primarily driven by an increase in revenues at our nightclubs.</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Entertainment, retail and other increased 16.9%, or $61.4 million, to $424.8 million for the year ended December 31, 2017, from $363.4 million for the same period of 2016, primarily due to $62.8 million from Wynn Palace.</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Promotional allowances increased 24.8%, or $91.8 million, to $461.9 million for the year ended December 31, 2017, from $370.1 million for the same period of 2016. The increase was primarily due to an increase of $105.0 million from Wynn Palace, partially offset by decreases of $8.0 million and $5.2 million from Wynn Macau and our Las Vegas Operations, respectively. The decreases from Wynn Macau and our Las Vegas Operations were primarily a result of a greater percentage of cash-paying guests in our rooms and food and beverage outlets.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Operating expenses increased 33.1%, or $1.31 billion, to $5.25 billion for the year ended December 31, 2017, from $3.94 billion for the same period of 2016, primarily due to increases in casino expenses of $1.12 billion, depreciation and amortization of $147.6 million and general and administrative expenses of $137.3 million, partially offset by a decrease of $128.0 million in pre-opening expenses, all primarily related to the opening of Wynn Palace.</w:t>
      </w:r>
    </w:p>
    <w:p>
      <w:pPr>
        <w:spacing w:after="0" w:line="14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Casino expenses increased 53.8%, or $1.12 billion, to $3.20 billion for the year ended December 31, 2017, from $2.08 billion for the same period of 2016, primarily due to increases of $975.1 million and $150.1 million from Wynn Palace and Wynn Macau, respectively. The increase at Wynn Macau was driven by gaming taxes, which increased commensurate with the 10.5% increase in casino revenues.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expenses increased 12.4%, or $19.6 million, to $177.5 million for the year ended December 31, 2017, from $157.9 million for the same period of</w:t>
      </w:r>
    </w:p>
    <w:p>
      <w:pPr>
        <w:spacing w:after="0" w:line="46"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2016. The increase was primarily due to increases of $10.5 million and $9.7 million from our Las Vegas Operations and Wynn Palace, respectively, mainly attributable to expenses associated with the increase in occupancy and an increase in labor costs.</w:t>
      </w:r>
    </w:p>
    <w:p>
      <w:pPr>
        <w:spacing w:after="0" w:line="18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Food and beverage expenses increased 9.5%, or $35.6 million, to $410.8 million for the year ended December 31, 2017, from $375.2 million for the same period of 2016, primarily due to increases of $23.7 million and $16.8 million from Wynn Palace and our Las Vegas Operations, respectively. The increase from our Las Vegas Operations was primarily driven by increased labor costs.</w:t>
      </w:r>
    </w:p>
    <w:p>
      <w:pPr>
        <w:spacing w:after="0" w:line="18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Entertainment, retail and other expenses increased 10.0%, or $16.2 million, to $177.3 million for the year ended December 31, 2017, from $161.1 million for the same period of 2016, primarily related to Wynn Palace.</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General and administrative expenses increased 25.1%, or $137.3 million, to $685.5 million for the year ended December 31, 2017, from $548.1 million for the same period of 2016, primarily related to Wynn Palace.</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Provision for doubtful accounts was a benefit of $6.7 million for the year ended December 31, 2017, compared to an expense of $8.2 million for the same period of 2016. The change was due to the collection of certain casino accounts receivable that resulted in the reversal of previously recorded allowance for doubtful accounts.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Pre-opening expenses were $26.7 million for the year ended December 31, 2017, compared to $154.7 million for the same period of 2016. During the year ended December 31, 2017, we incurred pre-opening expenses of $25.9 million related to Wynn Boston Harbor and $0.2 million related to our Las Vegas Operations. During the year ended December 31, 2016, we incurred $129.8 million related to Wynn Palace, $22.7 million related to Wynn Boston Harbor, and $2.3 million related to our Las Vegas Operations.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and amortization increased 36.5%, or $147.6 million, to $552.4 million for the year ended December 31, 2017, from $404.7 million for the same period of 2016. The increase was primarily due to the opening of Wynn Palace with the associated building and furniture, fixtures and equipment being placed in service.</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Property charges and other was $29.6 million for the year ended December 31, 2017, compared to $54.8 million for the same period of 2016. During the year ended December 31, 2017, we incurred $12.6 million and $6.7 million at Wynn Palace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Wynn Macau, respectively, primarily due to abandonment charges and asset retirements associated with various renovation projects and estimated costs related to property damage caused by a typhoon that impacted Macau. In addition, we incurred $10.6 million in charges from our Las Vegas Operations primarily related to miscellaneous renovations. During the year ended December 31, 2016, we incurred a $15.5 million exit fee for the right to procure energy for our Las Vegas Operations from the wholesale energy markets instead of from the local public electric utility, $14.1 million for the write-down of the carrying value to the purchase price of an aircraft we sold in January 2017, $10.1 million in abandonment charges related to current construction of additional retail space at our Las Vegas Operations and $5.5 million for the write-off of show production costs due to the closing of Steve Wynn's ShowStoppers in December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6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380"/>
              <w:spacing w:after="0"/>
              <w:rPr>
                <w:sz w:val="20"/>
                <w:szCs w:val="20"/>
                <w:color w:val="auto"/>
              </w:rPr>
            </w:pPr>
            <w:r>
              <w:rPr>
                <w:rFonts w:ascii="Arial" w:cs="Arial" w:eastAsia="Arial" w:hAnsi="Arial"/>
                <w:sz w:val="18"/>
                <w:szCs w:val="18"/>
                <w:color w:val="auto"/>
                <w:w w:val="90"/>
              </w:rPr>
              <w:t>Interest cost, including amortization of debt issuance costs and original issue discount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80"/>
              <w:spacing w:after="0"/>
              <w:rPr>
                <w:sz w:val="20"/>
                <w:szCs w:val="20"/>
                <w:color w:val="auto"/>
              </w:rPr>
            </w:pPr>
            <w:r>
              <w:rPr>
                <w:rFonts w:ascii="Arial" w:cs="Arial" w:eastAsia="Arial" w:hAnsi="Arial"/>
                <w:sz w:val="18"/>
                <w:szCs w:val="18"/>
                <w:color w:val="auto"/>
              </w:rPr>
              <w:t>and premium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407,098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383,497</w:t>
            </w:r>
          </w:p>
        </w:tc>
        <w:tc>
          <w:tcPr>
            <w:tcW w:w="1560" w:type="dxa"/>
            <w:vAlign w:val="bottom"/>
            <w:gridSpan w:val="2"/>
          </w:tcPr>
          <w:p>
            <w:pPr>
              <w:jc w:val="right"/>
              <w:ind w:right="4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(94,132)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97"/>
        </w:trPr>
        <w:tc>
          <w:tcPr>
            <w:tcW w:w="65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388,664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289,365</w:t>
            </w:r>
          </w:p>
        </w:tc>
        <w:tc>
          <w:tcPr>
            <w:tcW w:w="156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11"/>
        </w:trPr>
        <w:tc>
          <w:tcPr>
            <w:tcW w:w="6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10,031,005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9,564,845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Interest cost increased $23.6 million for the year ended December 31, 2017, compared to the same period of 2016, primarily due to an increase in our weighted average total debt balance from borrowings under the Wynn America Credit Facilities. Capitalized interest decreased $75.7 million for the year ended December 31, 2017, compared to the same period of 2016, primarily due to the completion of Wynn Palace construction activities in August 2016 and a $25.6 million out-of-period adjustment recorded in the first quarter of 2016. During the first quarter of 2016, we corrected immaterial amounts of additional interest that should have been capitalized instead of being expensed during the years ended December 31, 2015 and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incurred a loss of $59.7 million and a gain of $65.0 million for the years ended December 31, 2017 and 2016, respectively, from the change in fair value of the Redemption Note. The change in fair value was a result of changes in certain variables used to calculate the estimated fair value. For further information on the fair value of the Redemption Note, see Item 8—"Financial Statements and Supplementary Data," Note 2, "Summary of Significant Accounting Policies."</w:t>
      </w:r>
    </w:p>
    <w:p>
      <w:pPr>
        <w:spacing w:after="0" w:line="18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incurred a loss of $55.4 million on the extinguishment of debt for the year ended December 31, 2017. During the year ended December 31, 2017, we completed a cash tender offer and subsequent redemption of our 5 3/8% First Mortgage Notes due 2022 (the "2022 Notes") and issued our 5 1/4% Senior Notes due 2027 (the "2027 WLV Notes"). We also completed a cash tender offer and subsequent redemption of our 5 1/4% Senior Notes ("2021 Notes") and issued our 4 7/8% Senior Notes due 2024 (the "2024 WML Notes") and 5 1/2% Senior Notes due 2027 (the "2027 WML Notes"), together (the "WML Notes"). We recorded losses on extinguishment of debt of $20.8 million in connection with the 2022 Notes and 2027 WLV Notes transactions and $33.1 million in connection with the WML Notes transactions. Additionally, in connection with an amendment of our Wynn America credit facilities, we recorded a loss on extinguishment of debt of $1.5 million. We incurred no losses from the extinguishment of debt for the year ended December 31, 2016.</w:t>
      </w:r>
    </w:p>
    <w:p>
      <w:pPr>
        <w:spacing w:after="0" w:line="16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Interest income was $31.2 million for the year ended December 31, 2017, compared to $13.5 million for the same period of 2016. During the years ended December 31, 2017 and 2016, our short-term investment strategy was to preserve capital while retaining sufficient liquidity. The majority of our short-term investment amounts were in time deposits, fixed deposits and money market accounts with maturities of three months or less.</w:t>
      </w:r>
    </w:p>
    <w:p>
      <w:pPr>
        <w:spacing w:after="0" w:line="166"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We incurred losses of $21.7 million and $0.7 million for the years ended December 31, 2017 and 2016, respectively, from foreign currency remeasurements. The losses were primarily due to the impact of the exchange rate fluctuation of the Macau</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pataca, in relation to the U.S. dollar, on the remeasurements of U.S. dollar denominated debt and other obligations from our Macau-related entities.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the years ended December 31, 2017 and 2016, we recorded a tax benefit of $329.0 million and a tax expense of $8.1 million, respectively. Our income tax benefit for the year ended December 31, 2017 primarily relates to a provisional tax benefit of $339.9 million resulting from the impact of U.S. tax reform on the Company's deferred taxes. Our income tax expense for the year ended December 31, 2016 primarily related to an increase in our deferred tax liabilities.</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Wynn Macau SA received a five-year exemption from the Macau Complementary Tax on casino gaming profits through December 31, 2020. For the years ended December 31, 2017 and 2016, we were exempt from the payment of $63.0 million and $27.3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13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 August 2016, Wynn Macau SA received an extension of its agreement with the Macau government that provides for an annual payment of 12.8 million Macau patacas (approximately $1.6 million) as complementary tax due by stockholders on dividend distributions. This agreement on dividends is effective through December 31, 2020.</w:t>
      </w:r>
    </w:p>
    <w:p>
      <w:pPr>
        <w:spacing w:after="0" w:line="12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We have participated in the Internal Revenue Service ("IRS") Compliance Assurance Program ("CAP") for the 2012 through 2017 tax years and will continue to participate in the IRS CAP for the 2018 tax year. In February 2017 and 2018, the IRS completed an examination of our 2015 and 2016 U.S. tax return, respectively, and had no changes.</w:t>
      </w:r>
    </w:p>
    <w:p>
      <w:pPr>
        <w:spacing w:after="0" w:line="18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In March 2017, the Financial Services Bureau commenced an examination of the 2013 and 2014 Macau income tax returns of Wynn Macau SA. As of December 31, 2017, based upon the current status of the examination, we believe no changes to the unrecognized tax benefits are required.</w:t>
      </w:r>
    </w:p>
    <w:p>
      <w:pPr>
        <w:spacing w:after="0" w:line="14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July 2017, the Financial Services Bureau commenced an examination of the 2013 and 2014 Macau income tax returns of Palo Real Estate Company Limited ("Palo"), a subsidiary of Wynn Macau SA. In February 2018, the Financial Services Bureau concluded its examination with no changes.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Net income attributable to noncontrolling interests was $142.1 million for the year ended December 31, 2017, compared to $60.5 million for the year ended December 31, 2016. These amounts are primarily related to the noncontrolling interests' share of net income from WML.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2016 compared to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80" w:type="dxa"/>
            <w:vAlign w:val="bottom"/>
          </w:tcPr>
          <w:p>
            <w:pPr>
              <w:jc w:val="right"/>
              <w:ind w:right="42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2,264,087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2,463,092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583,336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2,847,423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2,463,092</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1,618,874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1,612,791</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4,466,297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4,075,883</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 Wynn Palace opened on August 22, 2016.</w:t>
      </w:r>
    </w:p>
    <w:p>
      <w:pPr>
        <w:spacing w:after="0" w:line="19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revenues increased 9.6%, or $390.4 million, to $4.47 billion for the year ended December 31, 2016, from $4.08 billion for the same period of 2015. The increase was primarily due to $583.3 million from Wynn Palace and an increase of $6.1 million from our Las Vegas Operations, partially offset by a decrease of $199.0 million from Wynn Macau.</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3,268,141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2,932,419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1,198,156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1,143,464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4,466,297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4,075,883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Casino revenues were 73.2% of total net revenues for the year ended December 31, 2016, compared to 71.9% of total net revenues for the same period of 2015, while non-casino revenues were 26.8% of total net revenues, compared to 28.1% for the same period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Casino revenues increased 11.4%, or $335.7 million, to $3.27 billion for the year ended December 31, 2016, from $2.93 billion in the same period of 2015. The increase was primarily due to casino revenues of $519.9 million from Wynn Palace, partially offset by a $177.7 million decrease from Wynn Macau. The decline in casino revenues from Wynn Macau was driven by a decrease in business volumes from both our VIP and mass market operations, with decreases in VIP turnover of 18.8%, table drop of 5.6% and slot handle of 14.5%. The business volume decrease for Wynn Macau was primarily driven by the impact from the economic and political conditions in Macau and China, as well as from resort openings in the Cotai area of Macau, including Wynn Palace. We experienced a VIP win as a percentage of turnover of 3.29% for the year ended December 31, 2016, compared to 2.87% for the same period of 2015, which partially offset the business volume decrease in our VIP operations.</w:t>
      </w:r>
    </w:p>
    <w:p>
      <w:pPr>
        <w:spacing w:after="0" w:line="1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Macau and Wynn Palace, subject to the aggregate cap, to optimize our casino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2,135,193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2,312,925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VIP:</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47,048,754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57,917,060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(10,868,306)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1,547,261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1,659,683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4,585,476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4,857,804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(272,328)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881,797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951,458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3,386,973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3,961,115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145,680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1"/>
              <w:spacing w:after="0"/>
              <w:rPr>
                <w:sz w:val="20"/>
                <w:szCs w:val="20"/>
                <w:color w:val="auto"/>
              </w:rPr>
            </w:pPr>
            <w:r>
              <w:rPr>
                <w:rFonts w:ascii="Arial" w:cs="Arial" w:eastAsia="Arial" w:hAnsi="Arial"/>
                <w:sz w:val="18"/>
                <w:szCs w:val="18"/>
                <w:color w:val="auto"/>
              </w:rPr>
              <w:t>191,164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(45,484)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84"/>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519,877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519,877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14,480,023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14,480,023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396,954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396,954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37,009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37,009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1,000,881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1,000,881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211,146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211,146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738,907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738,907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r>
              <w:rPr>
                <w:rFonts w:ascii="Arial" w:cs="Arial" w:eastAsia="Arial" w:hAnsi="Arial"/>
                <w:sz w:val="14"/>
                <w:szCs w:val="14"/>
                <w:color w:val="auto"/>
              </w:rPr>
              <w:t>(1) Wynn Palace opened on August 22, 2016.</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5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5"/>
        </w:trPr>
        <w:tc>
          <w:tcPr>
            <w:tcW w:w="2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613,071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619,494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1,838,479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2,060,189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(221,710)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465,041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490,920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42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3,148,610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2,969,327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179,283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208,024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206,626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4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Non-casino revenues increased 4.8%, or $54.7 million, to $1.20 billion for the year ended December 31, 2016, from $1.14 billion for the same period of 2015, primarily due to the opening of Wynn Palace during the third quarter of 2016 and an increase of 5.7% in room revenue from our Las Vegas Operations, partially offset by a 14.4% decrease in non-casino revenues at Wynn Macau.</w:t>
      </w:r>
    </w:p>
    <w:p>
      <w:pPr>
        <w:spacing w:after="0" w:line="1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Room revenues increased 12.0%, or $64.8 million, to $603.3 million for the year ended December 31, 2016, from $538.5 million for the same period of 2015, primarily due to $54.8 million from Wynn Palace and an increase of $23.5 million from our Las Vegas Operations, partially offset by a decrease of $13.5 million from Wynn Macau. The increase experienced by our Las Vegas Operations was driven by an ADR increase of 3.9% while the decrease from Wynn Macau was the result of an ADR decline of 9.3% and a 2.1 percentage point decrease in occupancy.</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14" w:right="29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0" w:type="dxa"/>
            <w:vAlign w:val="bottom"/>
          </w:tcPr>
          <w:p>
            <w:pPr>
              <w:jc w:val="right"/>
              <w:ind w:right="37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 (1)</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111,817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125,348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54,843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436,613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413,152</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28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037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Except occupancy, which is presented as a percentage point change.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21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Food and beverage revenues increased 0.7%, or $4.4 million, to $601.5 million for the year ended December 31, 2016, from $597.1 million for the same period of 2015, primarily due to $27.1 million from Wynn Palace, partially offset by decreases of $12.0 million and $10.7 million from our Las Vegas Operations and Wynn Macau, respectively. The decrease at our Las Vegas Operations was primarily due to a decline in revenues at our nightclubs and the decrease from Wynn Macau was mainly from a decline in revenues at our restaurants.</w:t>
      </w:r>
    </w:p>
    <w:p>
      <w:pPr>
        <w:spacing w:after="0" w:line="18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Entertainment, retail and other increased 3.7%, or $12.8 million, to $363.4 million for the year ended December 31, 2016, from $350.6 million for the same period of 2015, primarily due to $38.0 million from Wynn Palace, partially offset by a $19.3 million decrease in revenue from retail shops at Wynn Macau.</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Promotional allowances increased 8.0%, or $27.3 million, to $370.1 million for the year ended December 31, 2016, from $342.7 million for the same period of 2015. As a percentage of total casino revenues, promotional allowances were 11.3% for the year ended December 31, 2016, compared to 11.7% for the same period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Operating expenses increased 15.4%, or $527.6 million, to $3.94 billion for the year ended December 31, 2016, from $3.42 billion for the same period of 2015, driven primarily by increases in casino expenses of $217.1 million, general and administrative expenses of $83.3 million, depreciation and amortization of $82.1 million and pre-opening expenses of $77.1 million, all primarily due to the opening of Wynn Palace.</w:t>
      </w:r>
    </w:p>
    <w:p>
      <w:pPr>
        <w:spacing w:after="0" w:line="1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Casino expenses increased 11.7%, or $217.1 million, to $2.08 billion for the year ended December 31, 2016, from $1.86 billion for the same period of 2015. The increase was commensurate with the 11.4% increase in casino revenues.</w:t>
      </w:r>
    </w:p>
    <w:p>
      <w:pPr>
        <w:spacing w:after="0" w:line="17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Room expenses increased 6.0%, or $8.9 million, to $157.9 million for the year ended December 31, 2016, from $149.0 million for the same period of 2015. The increase was primarily due to $16.4 million from Wynn Palace and a $4.3 million increase from our Las Vegas Operations, partially offset by an $11.6 million decrease from Wynn Macau.</w:t>
      </w:r>
    </w:p>
    <w:p>
      <w:pPr>
        <w:spacing w:after="0" w:line="18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Food and beverage expenses increased 3.9%, or $14.0 million, to $375.2 million for the year ended December 31, 2016, from $361.2 million for the same period of 2015, primarily related to Wynn Palace.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Entertainment, retail and other expenses increased 2.4%, or $3.7 million, to $161.1 million for the year ended December 31, 2016, from $157.4 million in the same period of 2015. The increase was primarily due to $8.9 million from Wynn Palace, partially offset by a decrease of $4.8 million from Wynn Macau.</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General and administrative expenses increased 17.9%, or $83.3 million, to $548.1 million for the year ended December 31, 2016, from $464.8 million in the same period of 2015. The increase was primarily due to $73.9 million from Wynn Palace, as well as increases in general and administrative expenses from our Las Vegas Operations and corporate related expenses.</w:t>
      </w:r>
    </w:p>
    <w:p>
      <w:pPr>
        <w:spacing w:after="0" w:line="18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Provision for doubtful accounts decreased 26.2%, or $2.9 million, to $8.2 million for the year ended December 31, 2016, from $11.1 million for the same period of 2015. The change in the provision was primarily due to increased collections of certain casino accounts receivable at Wynn Macau.</w:t>
      </w:r>
    </w:p>
    <w:p>
      <w:pPr>
        <w:spacing w:after="0" w:line="1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Pre-opening expenses were $154.7 million for the year ended December 31, 2016, compared to $77.6 million for the same period of 2015. During the year ended December 31, 2016, we incurred pre-opening expenses of $129.8 million related to Wynn Palace, $22.7 million related to Wynn Boston Harbor and $2.3 million related to our Las Vegas Operations. During the year ended December 31, 2015 we incurred pre-opening expenses of $55.1 million and $22.6 million related to Wynn Palace and Wynn Boston Harbor, respectively.</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Depreciation and amortization increased 25.4%, or $82.1 million, to $404.7 million for the year ended December 31, 2016, from $322.6 million for the same period of 2015. The increase was attributable to $105.9 million from Wynn Palace, primarily from the opening and associated building and furniture, fixtures and equipment placed in service, partially offset by a decrease of $14.1 million at Wynn Macau. The majority of the Wynn Macau decrease was due to a change in estimated useful lives of buildings and improvements, which was effective September 1, 2015, to more accurately reflect the estimated periods during which these assets are expected to remain in service.</w:t>
      </w:r>
    </w:p>
    <w:p>
      <w:pPr>
        <w:spacing w:after="0" w:line="18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Property charges and other was $54.8 million for the year ended December 31, 2016, compared to $10.5 million for the same period of 2015. During the year ended December 31, 2016, we incurred a $15.5 million exit fee for the right to procure energy for our Las Vegas Operations from the wholesale energy markets instead of from the local public electric utility and $14.1 million for the write-down of the carrying value of the purchase price of an aircraft we sold in January 2017. In addition, we incurred expenses of $10.1 million in abandonment charges related to current construction of additional retail space at our Las Vegas Operations and $5.5 million for the write-off of show production costs due to the closing of Steve Wynn's ShowStoppers in December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18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 original issue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383,497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354,233</w:t>
            </w:r>
          </w:p>
        </w:tc>
        <w:tc>
          <w:tcPr>
            <w:tcW w:w="1300" w:type="dxa"/>
            <w:vAlign w:val="bottom"/>
            <w:gridSpan w:val="2"/>
          </w:tcPr>
          <w:p>
            <w:pPr>
              <w:jc w:val="right"/>
              <w:ind w:right="2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(53,327)</w:t>
            </w:r>
          </w:p>
        </w:tc>
        <w:tc>
          <w:tcPr>
            <w:tcW w:w="1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289,365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300,906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9,564,845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8,214,598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Interest cost increased $29.3 million for the year ended December 31, 2016, compared to the same period of 2015, primarily due to an increase in our weighted average total debt balance, partially offset by a decrease in our weighted average interest rate. Capitalized interest increased $40.8 million for the year ended December 31, 2016, primarily due to the $25.6 million correction of an immaterial amount during 2016 as well as the construction of Wynn Palace. During the first quarter of 2016, we corrected immaterial amounts of additional interest that should have been capitalized instead of being expensed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2" w:right="29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years ended December 31, 2015 and 2014. Had these amounts been corrected in the appropriate periods, the capitalized interest for the year ended December 31, 2015, would have been $21.9 million higher. For further information, see Item 8—"Financial Statements and Supplementary Data," 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incurred gains of $65.0 million and $52.0 million for the years ended December 31, 2016 and 2015, respectively, from the change in fair value of the Redemption Note. The change in fair value was a result of changes in certain variables used to calculate its estimated fair value.</w:t>
      </w:r>
    </w:p>
    <w:p>
      <w:pPr>
        <w:spacing w:after="0" w:line="14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incurred a loss of $126.0 million from the extinguishment of debt for the year ended December 31, 2015, in connection with the cash tender offer for the 7 7/8% First Mortgage Notes due May 1, 2020 and the 7 3/4% 2020 First Mortgage Notes due August 15, 2020 (together the "2020 Notes"), subsequent redemption of the untendered 2020 Notes and the amendment of our Wynn Macau Credit Facilities. In connection with the tender offer and subsequent redemption of the 2020 Notes, we recorded a loss on the extinguishment of debt of $123.9 million. In connection with the amendment of the Wynn Macau Credit Facilities, we expensed $2.1 million of unamortized debt issuance costs. We incurred no loss on extinguishment of debt for the year ended December 31, 2016.</w:t>
      </w:r>
    </w:p>
    <w:p>
      <w:pPr>
        <w:spacing w:after="0" w:line="193" w:lineRule="exact"/>
        <w:rPr>
          <w:sz w:val="20"/>
          <w:szCs w:val="20"/>
          <w:color w:val="auto"/>
        </w:rPr>
      </w:pPr>
    </w:p>
    <w:p>
      <w:pPr>
        <w:ind w:right="1460" w:firstLine="405"/>
        <w:spacing w:after="0" w:line="277" w:lineRule="auto"/>
        <w:rPr>
          <w:sz w:val="20"/>
          <w:szCs w:val="20"/>
          <w:color w:val="auto"/>
        </w:rPr>
      </w:pPr>
      <w:r>
        <w:rPr>
          <w:rFonts w:ascii="Arial" w:cs="Arial" w:eastAsia="Arial" w:hAnsi="Arial"/>
          <w:sz w:val="18"/>
          <w:szCs w:val="18"/>
          <w:color w:val="auto"/>
        </w:rPr>
        <w:t>We incurred a gain of $0.4 million and a loss of $5.3 million from the change in the fair value of our interest rate swaps for the years ended December 31, 2016 and 2015, respectively.</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Interest income was $13.5 million for the year ended December 31, 2016, compared to $7.2 million for the same period of 2015. During the years ended December 31, 2016 and 2015, our short-term investment strategy was to preserve capital while retaining sufficient liquidity. The majority of our short-term investment amounts were in fixed deposits and money market accounts with a maturity of three months or 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For the years ended December 31, 2016 and 2015, we recorded a tax expense of $8.1 million and $7.7 million, respectively, primarily related to an increase in our deferred tax liabilities.</w:t>
      </w:r>
    </w:p>
    <w:p>
      <w:pPr>
        <w:spacing w:after="0" w:line="170"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For the years ended December 31, 2016 and 2015, we were exempt from the payment of $27.3 million and $41.6 million, respectively, under our exemption from the Macau Complementary Tax on gaming profits. Our non-gaming profits remain subject to the Macau Complementary Tax and casino winnings remain subject to the Macau special gaming tax and other levies together totaling 39% in accordance with our concession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Net income attributable to noncontrolling interests was $60.5 million for the year ended December 31, 2016, compared to $86.2 million for the year ended December 31, 2015. These amounts are primarily related to the noncontrolling interests' share of net income from WML.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122" w:right="4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8—"Financial Statements and Supplementary Data," Note 15, "Segment Information." That footnote also presents a reconciliation of Adjusted Property EBITDA to net income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760,752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708,623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527,583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103,036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522,397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477,166</w:t>
            </w:r>
          </w:p>
        </w:tc>
      </w:tr>
      <w:tr>
        <w:trPr>
          <w:trHeight w:val="191"/>
        </w:trPr>
        <w:tc>
          <w:tcPr>
            <w:tcW w:w="6740" w:type="dxa"/>
            <w:vAlign w:val="bottom"/>
          </w:tcPr>
          <w:p>
            <w:pPr>
              <w:spacing w:after="0"/>
              <w:rPr>
                <w:sz w:val="20"/>
                <w:szCs w:val="20"/>
                <w:color w:val="auto"/>
              </w:rPr>
            </w:pPr>
            <w:r>
              <w:rPr>
                <w:rFonts w:ascii="Arial" w:cs="Arial" w:eastAsia="Arial" w:hAnsi="Arial"/>
                <w:sz w:val="14"/>
                <w:szCs w:val="14"/>
                <w:color w:val="auto"/>
              </w:rPr>
              <w:t>(1) Wynn Palace opened on August 22, 2016.</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1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Adjusted Property EBITDA at Wynn Macau increased 11.6% for the year ended December 31, 2017, compared to the same period of 2016, primarily due to improved VIP operations driven by a year-over-year increase in VIP turnover. Adjusted Property EBITDA at Wynn Macau decreased 3.8% for the year ended December 31, 2016, compared to the same period of 2015, primarily due to casino revenue performance driven by year-over-year declines in VIP turnover, table drop and slot machine handle.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Adjusted Property EBITDA at Wynn Palace was $527.6 million for the year ended December 31, 2017, compared to $103.0 million for the same period of 2016. Although the ramp up of Wynn Palace continues to be impacted by construction surrounding the property, we experienced significant business volume increases in both VIP and mass market operations during 2017, its first full year of operations. VIP turnover increased 18.5%, 39.9% and 47.0%, for the three months ended December 31, 2017, compared to the three months ended September 30, 2017, June 30, 2017 and March 31, 2017, respectively. Table drop increased 29.8%, 54.3% and 46.1%, for the three months ended December 31, 2017, compared to the three months ended September 30, 2017, June 30, 2017 and March 31, 2017, respectively.</w:t>
      </w:r>
    </w:p>
    <w:p>
      <w:pPr>
        <w:spacing w:after="0" w:line="1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Adjusted Property EBITDA at our Las Vegas Operations increased 10.0% for the year ended December 31, 2017, compared to the same period of 2016, primarily due to improved casino operations and food and beverage operations. Adjusted Property EBITDA at our Las Vegas Operations was relatively flat for the year ended December 2016, compared to the same period of 2015.</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 Summary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2015</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1,876,577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970,546</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572,813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(957,633)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(1,288,250)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(1,891,558)</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691,866</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1,216,258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Effect of exchange rate on cash</w:t>
            </w:r>
          </w:p>
        </w:tc>
        <w:tc>
          <w:tcPr>
            <w:tcW w:w="1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412</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351,352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373,033</w:t>
            </w: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(102,075)</w:t>
            </w:r>
          </w:p>
        </w:tc>
      </w:tr>
      <w:tr>
        <w:trPr>
          <w:trHeight w:val="20"/>
        </w:trPr>
        <w:tc>
          <w:tcPr>
            <w:tcW w:w="4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operating cash flows primarily consist of the operating income generated by our Macau and Las Vegas Operations (excluding depreciation and amortization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beverage, and entertainment, retail, and other revenue is conducted on a cash and credit basis. Accordingly, operating cash flows will be impacted by changes in operating income and accounts receivable.</w:t>
      </w:r>
    </w:p>
    <w:p>
      <w:pPr>
        <w:spacing w:after="0" w:line="17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Net cash provided by operations for the year ended December 31, 2017 was $1.88 billion, compared to $970.5 million for the same period of 2016. The increase was primarily due to the operations of Wynn Palace, which generated $424.5 million of additional Adjusted Property EBITDA, and a $292.8 million increase in customer deposits.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operations for the year ended December 31, 2016 was $970.5 million, compared to $572.8 million for the same period of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an increase in customer deposits of $276.0 million and a change in working capital accounts from our Macau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cash used in investing activities for the year ended December 31, 2017 was $957.6 million, which was primarily attributable to $935.5 million in capital expenditures, net of construction payables and retention, with $572.8 million related to Wynn Boston Harbor and $150.9 million related to our Macau Operations.</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Net cash used in investing activities for the year ended December 31, 2016 was $1.29 billion, which was primarily attributable to $1.23 billion in capital expenditures, net of construction payables and retention, with $838.3 million related to Wynn Palace and $212.2 million related to Wynn Boston Harbor.</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cash used in investing activities for the year ended December 31, 2015 was $1.89 billion, which was primarily attributable to $1.92 billion in capital expenditures, net of construction payables and retention, with $1.57 billion related to Wynn Palace.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cash used in financing activities for the year ended December 31, 2017 was $563.7 million, which was primarily attributable to net repayments of $340.2 million under our Wynn Macau Credit Facilities, $320.8 million for dividend payments and $91.2 million for the payment of financing costs, partially offset by $180.0 million in proceeds received from Crown for assets contributed to the Retail Joint Venture.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$691.9 million, which was primarily attributable to borrowings of $930.0 million under our Wynn America Credit Facilities and proceeds of $217.0 million from the sale of a 49.9% ownership interest in a subsidiary, partially offset by dividend payments of $325.2 million.</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Net cash provided by financing activities was $1.22 billion for the year ended December 31, 2015, which was primarily attributable to net borrowings of $1.62 billion under our amended Wynn Macau Credit Facilities, partially offset by dividend payments of $499.1 million. We also issued the $1.8 billion 5 1/2% Senior Notes due 2025 (the "2025 Notes") and used the proceeds to extinguish $1.6 billion of our 2020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As of December 31, 2017, we had approximately $2.80 billion of cash and cash equivalents and $327.5 million of available-for-sale investments in domestic and foreign debt securities. Cash and cash equivalents include cash on hand, cash in bank and fixed deposits, investments in money market funds, domestic and foreign bank time deposits and commercial paper, all with original maturities of less than 90 days. Of these amounts, WML and its subsidiaries (of which we own approximately 72%) held $670.3 million in cash and cash equivalents. If our portion of this cash and cash equivalents were repatriated to the U.S. on December 31, 2017, it would be subject to minimal U.S. taxes in the year of repatriation. Wynn America and Wynn Las Vegas, LLC held cash balances of $142.5 million and $244.6 million, respectively. Wynn Resorts, Limited (including its subsidiaries other than WML, Wynn America and Wynn Las Vegas, LLC), which is not a guarantor of the debt of its subsidiaries, held $1.75 billion and $327.5 million of cash and available-for-sale investments, respectively.</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our outstanding borrowings and available borrowing capacity under our credit facilities as of December 31,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Facility Borrowing</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Borrowings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Letters of Credit</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Facility Availability</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Capacity</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Wynn Macau Credit Facilities (1):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Senior Term Loan Facility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2,298,798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Senior Revolving Credit Facility</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748,287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748,287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WML Finance Credit Facility (2)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495,152</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U.S. Related:</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Wynn America Credit Facilities (3):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Term Loan Facility</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Senior Revolving Credit Facility</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357,311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credit facilities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4,917,237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3,298,798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17,689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1,600,750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60" w:hanging="328"/>
        <w:spacing w:after="0" w:line="277" w:lineRule="auto"/>
        <w:tabs>
          <w:tab w:leader="none" w:pos="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Macau related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w:t>
      </w:r>
    </w:p>
    <w:p>
      <w:pPr>
        <w:spacing w:after="0" w:line="120" w:lineRule="exact"/>
        <w:rPr>
          <w:rFonts w:ascii="Arial" w:cs="Arial" w:eastAsia="Arial" w:hAnsi="Arial"/>
          <w:sz w:val="13"/>
          <w:szCs w:val="13"/>
          <w:color w:val="auto"/>
        </w:rPr>
      </w:pPr>
    </w:p>
    <w:p>
      <w:pPr>
        <w:ind w:left="660" w:right="180" w:hanging="328"/>
        <w:spacing w:after="0" w:line="273"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Macau related credit facilities include a HK$3.87 billion (approximately $495.2 million) cash-collateralized revolving credit facility ("WML Finance Credit Facility") under which WML Finance I, Limited, an indirect wholly owned subsidiary of WML, is the borrower.</w:t>
      </w:r>
    </w:p>
    <w:p>
      <w:pPr>
        <w:spacing w:after="0" w:line="119" w:lineRule="exact"/>
        <w:rPr>
          <w:rFonts w:ascii="Arial" w:cs="Arial" w:eastAsia="Arial" w:hAnsi="Arial"/>
          <w:sz w:val="14"/>
          <w:szCs w:val="14"/>
          <w:color w:val="auto"/>
        </w:rPr>
      </w:pPr>
    </w:p>
    <w:p>
      <w:pPr>
        <w:jc w:val="both"/>
        <w:ind w:left="660" w:right="80" w:hanging="328"/>
        <w:spacing w:after="0" w:line="257"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U.S. related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an indirect wholly owned subsidiary of the Company, is the borrower.</w:t>
      </w:r>
    </w:p>
    <w:p>
      <w:pPr>
        <w:spacing w:after="0" w:line="189" w:lineRule="exact"/>
        <w:rPr>
          <w:sz w:val="20"/>
          <w:szCs w:val="20"/>
          <w:color w:val="auto"/>
        </w:rPr>
      </w:pPr>
    </w:p>
    <w:p>
      <w:pPr>
        <w:jc w:val="both"/>
        <w:ind w:right="220" w:firstLine="405"/>
        <w:spacing w:after="0" w:line="279" w:lineRule="auto"/>
        <w:rPr>
          <w:sz w:val="20"/>
          <w:szCs w:val="20"/>
          <w:color w:val="auto"/>
        </w:rPr>
      </w:pPr>
      <w:r>
        <w:rPr>
          <w:rFonts w:ascii="Arial" w:cs="Arial" w:eastAsia="Arial" w:hAnsi="Arial"/>
          <w:sz w:val="17"/>
          <w:szCs w:val="17"/>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 Wynn Boston Harbor, with the available borrowing capacity under our Wynn America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Macau related debt consists of senior notes, the Wynn Macau Credit Facilities and the WML Finance Credit Facility.</w:t>
      </w:r>
    </w:p>
    <w:p>
      <w:pPr>
        <w:spacing w:after="0" w:line="22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u w:val="single" w:color="auto"/>
          <w:color w:val="auto"/>
        </w:rPr>
        <w:t>2024 WML Notes</w:t>
      </w:r>
      <w:r>
        <w:rPr>
          <w:rFonts w:ascii="Arial" w:cs="Arial" w:eastAsia="Arial" w:hAnsi="Arial"/>
          <w:sz w:val="17"/>
          <w:szCs w:val="17"/>
          <w:color w:val="auto"/>
        </w:rPr>
        <w:t>. On September 20, 2017, WML issued the $600 million 2024 WML Notes pursuant to an indenture, dated as of September 20, 2017, between WML and Deutsche Bank Trust Company Americas, as trustee (the "2024 WML Indenture"). The 2024 WML Notes will mature on October 1, 2024 and bear interest at the rate of 4 7/8% per annum. At any time prior to October 1, 2020, WML may redeem the 2024 WML Notes, in whole or in part, at a redemption price equal to the greater of (a) 100% of the principal amount of the WML 2024 Notes or (b) a "make-whole" amount as determined by an independent investment banker in accordance with the terms of the 2024 WML Indenture. In either case, the redemption price would include accrued and unpaid interest. In addition, at any time prior to October 1, 2020, WML may use the net cash proceeds from certain equity offerings to redeem up to 35% of the aggregate principal amount of the 2024 WML Notes at a redemption price equal to 104.875% of the aggregate principal amount of the 2024 WML Notes. On or after October 1, 2020, WML may redeem the 2024 WML Notes, in whole or in part, at a premium decreasing annually from 102.438% of the principal amount to 100% of the principal amount, plus accrued and unpaid interest.</w:t>
      </w:r>
    </w:p>
    <w:p>
      <w:pPr>
        <w:spacing w:after="0" w:line="18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u w:val="single" w:color="auto"/>
          <w:color w:val="auto"/>
        </w:rPr>
        <w:t>2027 WML Notes</w:t>
      </w:r>
      <w:r>
        <w:rPr>
          <w:rFonts w:ascii="Arial" w:cs="Arial" w:eastAsia="Arial" w:hAnsi="Arial"/>
          <w:sz w:val="16"/>
          <w:szCs w:val="16"/>
          <w:color w:val="auto"/>
        </w:rPr>
        <w:t>. On September 20, 2017, WML issued the $750 million 2027 WML Notes pursuant to an indenture, dated as of September 20, 2017, between WML and Deutsche Bank Trust Company Americas, as trustee (the "2027 WML Indenture" and together with the 2024 WML Indenture, the "WML Indentures"). The 2027 WML Notes bear interest at the rate of 5 1/2% per annum and mature on October 1, 2027. At any time prior to October 1, 2022, WML may redeem the 2027 WML Notes, in whole or in part, at a redemption price equal to the greater of (a) 100% of the principal amount of the 2027 WML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Notes or (b) a "make-whole" amount as determined by an independent investment banker in accordance with the terms of the 2027 WML Indenture. In either case, the redemption price would include accrued and unpaid interest. In addition, at any time prior to October 1, 2020, WML may use the net cash proceeds from certain equity offerings to redeem up to 35% of the aggregate principal amount of the 2027 WML Notes, at a redemption price equal to 105.5% of the aggregate principal amount of the 2027 WML Notes. On or after October 1, 2022, WML may redeem the 2027 WML Notes, in whole or in part, at a premium decreasing annually from 102.75% of the principal amount to 100% of the principal amount, plus accrued and unpaid interest.</w:t>
      </w:r>
    </w:p>
    <w:p>
      <w:pPr>
        <w:spacing w:after="0" w:line="15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17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 repurchase all or any part of such holders' WML Notes at a purchase price in cash equal to 100% of the principal amount thereof, plus accrued and unpaid interest.</w:t>
      </w:r>
    </w:p>
    <w:p>
      <w:pPr>
        <w:spacing w:after="0" w:line="16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15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 WML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Indentures contain customary events of default, including, but not limited to: default for 30 days in the payment of interest when due on the WML Notes; default in the payment of the principal, or premium, if any, when due on the WML Notes; failure to comply with any payment obligations relating to the repurchase by WML of the WML Notes upon a change of control; failure to comply with certain covenants in the WML Indentures; certain defaults on certain other indebtedness; failure to pay judgments against WML or certain subsidiaries that, in the aggregate, exceed $50.0 million; and certain events of bankruptcy or insolvency. In the case of an event of default arising from certain events of bankruptcy or insolvency, all WML Notes then outstanding will become due and payable immediately without further action or notice.</w:t>
      </w:r>
    </w:p>
    <w:p>
      <w:pPr>
        <w:spacing w:after="0" w:line="1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u w:val="single" w:color="auto"/>
          <w:color w:val="auto"/>
        </w:rPr>
        <w:t>Wynn Macau Credit Facilities</w:t>
      </w:r>
      <w:r>
        <w:rPr>
          <w:rFonts w:ascii="Arial" w:cs="Arial" w:eastAsia="Arial" w:hAnsi="Arial"/>
          <w:sz w:val="17"/>
          <w:szCs w:val="17"/>
          <w:color w:val="auto"/>
        </w:rPr>
        <w:t>. The Wynn Macau Senior Term Loan Facility is repayable in graduating installments of 2.50% to 7.33% of the principal amount on a quarterly basis commencing in December 2018, with a final installment of 50% of the principal amount repayable in September 2021. The Wynn Macau Senior Revolving Credit Facility will mature in September 2020, at which time any outstanding borrowings must be repaid. The Wynn Macau Credit Facilities bear interest at LIBOR or HIBOR plus a margin of 1.50% to 2.25% per annum based on Wynn Macau SA's Leverage Ratio (as defined in the Wynn Macau Credit Facilities). The commitment fee required to be paid for unborrowed amounts under the Wynn Macau Senior Revolving Credit Facility, if any, is between 0.52% and 0.79%, per annum, based on Wynn Macau SA's Leverage Ratio. The annual commitment fee is payable quarterly in arrears and is calculated based on the daily average of the unborrowed amounts.</w:t>
      </w:r>
    </w:p>
    <w:p>
      <w:pPr>
        <w:spacing w:after="0" w:line="17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5.25 to 1 for the fiscal year ending December 31, 2017, and an Interest Coverage Ratio (as defined in the Wynn Macau Credit Facilities) of not less than 2.00 to 1 at any time.</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Borrowings under the Wynn Macau Credit Facilities will continue to be guaranteed by Palo,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8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connection with the gaming concession contract of Wynn Macau SA, Wynn Macau SA entered into a Bank Guarantee Reimbursement Agreement with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2017, the guarantee was in the amount of MOP 300 million (approximately $37.3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7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u w:val="single" w:color="auto"/>
          <w:color w:val="auto"/>
        </w:rPr>
        <w:t>WML Finance Credit Facility</w:t>
      </w:r>
      <w:r>
        <w:rPr>
          <w:rFonts w:ascii="Arial" w:cs="Arial" w:eastAsia="Arial" w:hAnsi="Arial"/>
          <w:sz w:val="18"/>
          <w:szCs w:val="18"/>
          <w:color w:val="auto"/>
        </w:rPr>
        <w:t>. Borrowings under the WML Finance Credit Facility are in Hong Kong dollars and are used for working capital requirements and general corporate purposes. The WML Finance Credit Facility matures in July 2018, at which time any outstanding borrowings must be repaid. The WML Finance Credit Facility bears interest initially at 1.50% per annum, such rate calculated as the interest rate paid by the lender as the deposit bank for the cash collateral deposited and pledged with the lender plus a margin of 0.40%. Under terms of the agreement, mandatory repayment is required upon a Change in Control or Material Adverse Effect, as defined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U.S. related debt consists of senior notes and the Wynn America Credit Facilities. The Corporate related debt consists of the Redemption Note.</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Our senior notes rank pari passu in right of payment.</w:t>
      </w:r>
    </w:p>
    <w:p>
      <w:pPr>
        <w:spacing w:after="0" w:line="225"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u w:val="single" w:color="auto"/>
          <w:color w:val="auto"/>
        </w:rPr>
        <w:t>2023 Notes</w:t>
      </w:r>
      <w:r>
        <w:rPr>
          <w:rFonts w:ascii="Arial" w:cs="Arial" w:eastAsia="Arial" w:hAnsi="Arial"/>
          <w:sz w:val="18"/>
          <w:szCs w:val="18"/>
          <w:color w:val="auto"/>
        </w:rPr>
        <w:t>. In May 2013, Wynn Las Vegas, LLC and Wynn Las Vegas Capital Corp., an indirect wholly owned subsidiary of Wynn Resorts ("Capital Corp." and, together with Wynn Las Vegas, LLC, the "Issuers"), issued the $500 million 4 1/4% Senior Notes due 2023 (the "2023 Notes") pursuant to an indenture, dated as of May 22, 2013 (the "2023 Indenture"), among the Issuers, the Guarantors (as defined below), and the U.S. Bank National Association, as trustee (the "Trustee"). 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include a "make-whole" premium, plus accrued and unpaid interest. In the event of a change of control triggering event (as defined in the 2023 Indenture), the Issuers will be required to offer to repurchase the 2023 Notes at 101% of the principal amount, plus accrued and unpaid interest.</w:t>
      </w:r>
    </w:p>
    <w:p>
      <w:pPr>
        <w:spacing w:after="0" w:line="19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February 16, 2018, the Issuers commenced a solicitation of consents (the "Consent Solicitation") for a proposed amendment (the "Proposed Amendment") to the 2023 Indenture. The Proposed Amendment would conform the definition of change of control relating to ownership of equity interests in the Company to the terms of the indentures governing the 2025 Notes and 2027 WLV Notes. Adoption of the Proposed Amendment requires the consent of holders of a majority in aggregate principal amount of the 2023 Notes. The Consent Solicitation will expire on March 6, 2018.</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u w:val="single" w:color="auto"/>
          <w:color w:val="auto"/>
        </w:rPr>
        <w:t>2025 Notes</w:t>
      </w:r>
      <w:r>
        <w:rPr>
          <w:rFonts w:ascii="Arial" w:cs="Arial" w:eastAsia="Arial" w:hAnsi="Arial"/>
          <w:sz w:val="17"/>
          <w:szCs w:val="17"/>
          <w:color w:val="auto"/>
        </w:rPr>
        <w:t>. In February 2015, the Issuers issued the $1.8 billion 2025 Notes pursuant to an indenture, dated as of February 18, 2015 (the "2025 Indenture"), among the Issuers, Guarantors (as defined below) and the Trustee. The 2025 Notes will mature on March 1, 2025 and bear interest at the rate of 5 1/2% per annum. The Issuers may, at their option, redeem the 2025 Notes, in whole or in part, at any time or from time to time prior to their stated maturity. The redemption price for the 2025 Notes that are redeemed before December 1, 2024 will include a "make-whole" premium, plus accrued and unpaid interest. In the event of a change of control triggering event (as defined in the 2025 Indenture), the Issuers will be required to offer to repurchase the 2025 Notes at 101% of the principal amount, plus accrued and unpaid interest.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u w:val="single" w:color="auto"/>
          <w:color w:val="auto"/>
        </w:rPr>
        <w:t>2027 WLV Notes</w:t>
      </w:r>
      <w:r>
        <w:rPr>
          <w:rFonts w:ascii="Arial" w:cs="Arial" w:eastAsia="Arial" w:hAnsi="Arial"/>
          <w:sz w:val="17"/>
          <w:szCs w:val="17"/>
          <w:color w:val="auto"/>
        </w:rPr>
        <w:t>. In May 2017, the Issuers issued the $900 million 2027 WLV Notes pursuant to an indenture, dated as of May 11, 2017 (the "2027 Indenture"), among the Issuers, the Guarantors (as defined below) and the Trustee. The 2027 WLV Notes will mature on May 15, 2027 and bear interest at the rate of 5 1/4% per annum. The Issuers may, at their option, redeem the 2027 WLV Notes, in whole or in part, at any time or from time to time prior to their stated maturity. The redemption price for the 2027 WLV Notes that are redeemed before February 15, 2027 will include a "make-whole" premium, plus accrued and unpaid interest. In the event of a change of control triggering event (as defined in the 2027 Indenture), the Issuers will be required to offer to repurchase the 2027 WLV Notes at 101% of the principal amount, plus accrued and unpaid interest.</w:t>
      </w:r>
    </w:p>
    <w:p>
      <w:pPr>
        <w:spacing w:after="0" w:line="17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Each of the 2023 Notes, 2025 Notes and 2027 WLV Notes are senior obligations of the Issuers and are unsecured, except for the first priority pledge by Wynn Las Vegas Holdings, LLC of its equity interests in Wynn Las Vegas, LLC. If Wynn Resorts receives an investment grade rating from one or more ratings agencies, the first priority pledge securing the 2023 Notes, 2025 Notes and 2027 WLV Notes will be released.</w:t>
      </w:r>
    </w:p>
    <w:p>
      <w:pPr>
        <w:spacing w:after="0" w:line="16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Each of the 2023 Notes, 2025 Notes and 2027 WLV Notes are jointly and severally guaranteed by all of the Issuers' subsidiaries, other than Capital Corp., which was a co-issuer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Each of the 2023 Indenture, 2025 Indenture and 2027 Indenture contains negative covenants and financial covenants, including, but not limited to,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LLC's obligations under the 2027 Indenture and the 2027 WLV Notes if certain conditions set forth in the 2027 Indenture are met.</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Events of default under each of the 2023 Indenture, 2025 Indenture and 2027 Indenture include, among others, the following: default for 30 days in the payment of interest when due on the applicable notes; default in payment of the principal, or premium, if any, when due on the applicable notes; failure to comply with certain covenants in the applicable indenture; and certain events of bankruptcy or insolvency. In the case of an event of default arising from certain events of bankruptcy or insolvency with respect to the Issuers or Guarantors, all notes then outstanding will become due and payable immediately without further action or notice.</w:t>
      </w:r>
    </w:p>
    <w:p>
      <w:pPr>
        <w:spacing w:after="0" w:line="18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Each of the 2023 Notes, 2025 Notes and 2027 WLV Notes are also subject to mandatory redemption requirements imposed by gaming laws and regulations of gaming authorities in Nevada.</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u w:val="single" w:color="auto"/>
          <w:color w:val="auto"/>
        </w:rPr>
        <w:t>Wynn America Credit Facilities</w:t>
      </w:r>
      <w:r>
        <w:rPr>
          <w:rFonts w:ascii="Arial" w:cs="Arial" w:eastAsia="Arial" w:hAnsi="Arial"/>
          <w:sz w:val="17"/>
          <w:szCs w:val="17"/>
          <w:color w:val="auto"/>
        </w:rPr>
        <w:t>. On April 24, 2017, we amended the Wynn America Credit Facilities to, among other things, extend the maturity of portions of the credit facilities. Of the $875 million WA Senior Term Loan Facility I, $69.6 million matures in November 2020 with repayments in quarterly installments of $1.7 million commencing in June 2018 and a final installment of $52.2 million in November 2020, and $805.4 million matures in December 2021 with repayment in quarterly installments of $20.1 million commencing in March 2020 and a final installment of $664.5 million in December 2021. The WA Senior Term Loan Facility II matures in December 2021 with no required repayments until maturity in December 2021. Of the $375 million WA Senior Revolving Credit Facility, $42 million matures in November 2019 and $333 million matures in December 2021.</w:t>
      </w:r>
    </w:p>
    <w:p>
      <w:pPr>
        <w:spacing w:after="0" w:line="178"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8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Wynn Boston Harbor opens, the Maximum Consolidated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Senior Secured Net Leverage Ratio is not to exceed 2.75 to 1. Commencing with the fiscal quarter ending December 31, 2015, the Minimum Consolidated EBITDA is not to be less than $200.0 million.</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provided a completion guaranty in favor of the lenders under the Wynn America Credit Facilities to support the development and opening of Wynn Boston Harbor. Wynn America and the guarantors have entered into a security agreement (as amended from time to time)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8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u w:val="single" w:color="auto"/>
          <w:color w:val="auto"/>
        </w:rPr>
        <w:t>Redemption Note</w:t>
      </w:r>
      <w:r>
        <w:rPr>
          <w:rFonts w:ascii="Arial" w:cs="Arial" w:eastAsia="Arial" w:hAnsi="Arial"/>
          <w:sz w:val="17"/>
          <w:szCs w:val="17"/>
          <w:color w:val="auto"/>
        </w:rPr>
        <w:t>. Based on the Board of Directors' finding of "unsuitability," on February 18, 2012, we redeemed and canceled Aruze's 24,549,222 shares of Wynn Resorts' common stock. Following a finding of "unsuitability," our articles of incorporation authorize redemption at "fair value" of the shares held by unsuitable persons. Pursuant to the articles of incorporation, we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subordinated to the prior payment in full of all existing and future obligations of Wynn Resorts and any of its affiliates in respect of indebtedness for borrowed money of any kind or nature. Aruze, Universal Entertainment Corporation and Kazuo Okada have challenged the redemption of Aruze's shares and we are currently involved in litigation with those parties as well as related stockholder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and Item 8—"Financial Statements and Supplementary Data," Note 14,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Liquidity</w:t>
      </w:r>
    </w:p>
    <w:p>
      <w:pPr>
        <w:spacing w:after="0" w:line="22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Wynn Resorts is a holding company and, as a result, our ability to pay dividends is highly dependent on our ability to obtain funds and our subsidiaries' ability to provide funds to us. Wynn America and Wynn Macau SA debt instruments contain customary negative covenants and financial covenants, including, but not limited to, covenants that restrict their ability to pay dividends or distributions to any direct or indirect subsidiaries.</w:t>
      </w:r>
    </w:p>
    <w:p>
      <w:pPr>
        <w:spacing w:after="0" w:line="16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14, "Commitments and Contingencies."</w:t>
      </w:r>
    </w:p>
    <w:p>
      <w:pPr>
        <w:spacing w:after="0" w:line="18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December 31, 2017, we had $1.0 billion in repurchase authority under the program.</w:t>
      </w:r>
    </w:p>
    <w:p>
      <w:pPr>
        <w:spacing w:after="0" w:line="16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interest rate swaps entered into in the past to manage interest rate risk associated with variable rate borrowings and foreign currency forward contracts. We do not have any retained or contingent interest in assets transferred to an unconsolidated entity. As of December 31, 2017, we had outstanding letters of credit totaling $17.7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as of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7"/>
              </w:rPr>
              <w:t>Less</w:t>
            </w:r>
          </w:p>
        </w:tc>
        <w:tc>
          <w:tcPr>
            <w:tcW w:w="340" w:type="dxa"/>
            <w:vAlign w:val="bottom"/>
          </w:tcPr>
          <w:p>
            <w:pPr>
              <w:spacing w:after="0"/>
              <w:rPr>
                <w:sz w:val="13"/>
                <w:szCs w:val="13"/>
                <w:color w:val="auto"/>
              </w:rPr>
            </w:pPr>
          </w:p>
        </w:tc>
        <w:tc>
          <w:tcPr>
            <w:tcW w:w="11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1 to 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4 to 5</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Than</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899,695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4,272,856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9,785,241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276,729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553,458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682,291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2,065,936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Estimated variable interest payments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343,469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Construction contracts and commitments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596,699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864,057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139,246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72,677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137,613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 (3)</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175,493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162,075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406,673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contractual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1,298,628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2,167,129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4,976,087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5,373,068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13,814,912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right="120" w:hanging="488"/>
        <w:spacing w:after="0" w:line="273"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for all periods represent our estimated future interest payments on our debt facilities based upon amounts outstanding and LIBOR or HIBOR rates as of December 31, 2017. Actual rates will vary.</w:t>
      </w:r>
    </w:p>
    <w:p>
      <w:pPr>
        <w:spacing w:after="0" w:line="119" w:lineRule="exact"/>
        <w:rPr>
          <w:rFonts w:ascii="Arial" w:cs="Arial" w:eastAsia="Arial" w:hAnsi="Arial"/>
          <w:sz w:val="14"/>
          <w:szCs w:val="14"/>
          <w:color w:val="auto"/>
        </w:rPr>
      </w:pPr>
    </w:p>
    <w:p>
      <w:pPr>
        <w:ind w:left="820" w:right="80" w:hanging="488"/>
        <w:spacing w:after="0" w:line="286" w:lineRule="auto"/>
        <w:tabs>
          <w:tab w:leader="none" w:pos="8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includes open purchase orders, future charitable contributions, fixed gaming tax payments in Macau, performance contracts and other contracts. As further discussed in Item 8 —"Financial Statements and Supplementary Data," Note 13, "Income Taxes," we had $95.2 million of unrecognized tax benefits as of December 31, 2017. Due to the inherent uncertainty of the underlying tax positions, it is not practicable to assign this liability to any particular year and therefore it is not included in the table above as of December 31, 2017.</w:t>
      </w:r>
    </w:p>
    <w:p>
      <w:pPr>
        <w:spacing w:after="0" w:line="113" w:lineRule="exact"/>
        <w:rPr>
          <w:rFonts w:ascii="Arial" w:cs="Arial" w:eastAsia="Arial" w:hAnsi="Arial"/>
          <w:sz w:val="13"/>
          <w:szCs w:val="13"/>
          <w:color w:val="auto"/>
        </w:rPr>
      </w:pPr>
    </w:p>
    <w:p>
      <w:pPr>
        <w:ind w:left="820" w:right="620" w:hanging="488"/>
        <w:spacing w:after="0" w:line="273"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excludes community payments associated with the continuing operations of Wynn Boston Harbor, which commence upon the opening of the resort. These amounts are approximately $10.6 million per year with minimal annual increases.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8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increase significantly during construction periods. Depreciation is provided over the estimated useful lives of the assets using the straight-line method. We determine the estimated useful lives based on our experience with similar assets, estimates of the usage of the asset and other factors specific to the asset. Depreciation expense related to capitalized construction costs and fixed assets commence when the related assets are placed in service. The remaining estimated useful lives of assets are periodically reviewed and adjusted as necessary.</w:t>
      </w:r>
    </w:p>
    <w:p>
      <w:pPr>
        <w:spacing w:after="0" w:line="187"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record the Redemption Note at its fair value in accordance with applicable accounting guidance. As of December 31, 2017 and 2016, the fair value of the Redemption Note was $1.88 billion and $1.82 billion, respectively. We utilized an independent third party valuation to assist in the determination of this fair value.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(Item 8—"Financial Statements and Supplementary Data," Note 14,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In determining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risk-free rate based on Federal Reserve rates for U.S. Treasury securities and credit risk spread based on a yield curve index of similarly rated debt were used.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6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December 31, 2017 and 2016, 81.7% and 88.1%, respectively, of our casino accounts receivable were owed by customers from foreign countries, primarily in Asia. In addition to enforceability issues, the collectability of markers given to foreign customers is affected by a number of factors, including changes in currency exchange rates and economic conditions in the customers' home countries.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and outstanding gaming promoter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173,664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211,557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28,841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53,860</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2017 and 2016, 42.4% and 49.2%, respectively, of our outstanding casino accounts receivable balance originated at our Macau Operations.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2017, a 100 basis point change in the allowance for doubtful accounts as a percentage of casino accounts receivable would change the provision for doubtful accounts by approximately $1.7 million.</w:t>
      </w:r>
    </w:p>
    <w:p>
      <w:pPr>
        <w:spacing w:after="0" w:line="17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its majority-owned subsidiaries and variable interest entities ("VIEs") in which the Company is the primary beneficiary.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assessed our ownership in the Retail Joint Venture with Crown based on consolidation accounting guidance and concluded that the Retail Joint Venture is a VIE and we are the primary beneficiary based on our involvement in the leasing activities of the Retail Joint Venture. As a result, we consolidate all of the Retail Joint Venture's assets, liabilities and results of operations. We will evaluate our primary beneficiary designation on an ongoing basis and will assess the appropriateness of the Retail Joint Venture's VIE status when changes occur. For more information on the Retail Joint Venture, see Item 8 —"Financial Statements and Supplementary Data," Note 3, "Retail Joint Venture."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and Fair Value</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of our investments at the time of purchase and reevaluate such designation as of each balance sheet date. Our investments are reported at fair value, with unrealized gains and losses, net of tax, reported in other comprehensive income (loss).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7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measure certain of our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9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observable market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December 31, 2017, we have a foreign tax credit ("FTC") carryover of $3.62 billion and we have recorded a valuation allowance of $3.27 billion against this asset based on our estimate of future realization. The FTCs are attributable to the Macau special gaming tax, which is 35% of gross gaming revenue in Macau. In the assessment of the valuation allowance, appropriate consideration was given to all positive and negative evidence including recent operating profitability, forecast of future earnings and the duration of statutory carryforward periods.</w:t>
      </w:r>
    </w:p>
    <w:p>
      <w:pPr>
        <w:spacing w:after="0" w:line="187" w:lineRule="exact"/>
        <w:rPr>
          <w:sz w:val="20"/>
          <w:szCs w:val="20"/>
          <w:color w:val="auto"/>
        </w:rPr>
      </w:pPr>
    </w:p>
    <w:p>
      <w:pPr>
        <w:ind w:right="540" w:firstLine="432"/>
        <w:spacing w:after="0" w:line="286" w:lineRule="auto"/>
        <w:rPr>
          <w:sz w:val="20"/>
          <w:szCs w:val="20"/>
          <w:color w:val="auto"/>
        </w:rPr>
      </w:pPr>
      <w:r>
        <w:rPr>
          <w:rFonts w:ascii="Arial" w:cs="Arial" w:eastAsia="Arial" w:hAnsi="Arial"/>
          <w:sz w:val="17"/>
          <w:szCs w:val="17"/>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66"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applicable, we recognize accrued penalties and interest related to unrecognized tax benefits in the 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Accounting standards for stock-based payments establish standards for the accounting for transactions in which an entity exchanges its equity instruments for goods and services or incurs a liability in exchange for goods and services that are based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option pricing model to determine the grant-date fair value of our stock options. The Black-Scholes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5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A hypothetical 10% change in the volatility assumption for our options granted in 2017 would not have a material effect on the change in fair value. Expected term represents the estimated average time between the option's grant date and its exercise date. A hypothetical 10% change in the expected term assumption for our options granted in 2017 would not have a material effect on the change in fair value. These assumed changes in fair value would have been recognized over the vesting schedule of such awards.</w:t>
      </w:r>
    </w:p>
    <w:p>
      <w:pPr>
        <w:spacing w:after="0" w:line="17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Accounting standards also require the classification of stock-based compensation expense in the same financial statement line items as cash compensation, and therefore impacts our departmental expenses (and related operating margins), pre-opening expenses and construction in progress for our development projects and our general and administrative expenses, including corporate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In the normal course of business, our financial position is subject to market risk, including, but not limited to, potential losses due to changes in the value of financial instruments including those resulting from adverse changes in interest rates, foreign currency exchange rates and market valuation.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as of December 31, 2017, of our expected long-term indebtedness and related weighted average interest rates by expected maturity dates. However, we cannot predict the LIBOR or HIBOR rates that will be in effect in the future. Actual rates will vary. The one-month LIBOR and HIBOR rates as of December 31, 2017 of 1.57% and 1.19%, respectively, were used for all variable rate calculations in the table below.</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2" w:right="27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87"/>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b w:val="1"/>
                <w:bCs w:val="1"/>
                <w:color w:val="auto"/>
                <w:w w:val="79"/>
              </w:rPr>
              <w:t>(dollars</w:t>
            </w:r>
          </w:p>
        </w:tc>
        <w:tc>
          <w:tcPr>
            <w:tcW w:w="1380" w:type="dxa"/>
            <w:vAlign w:val="bottom"/>
            <w:gridSpan w:val="2"/>
          </w:tcPr>
          <w:p>
            <w:pPr>
              <w:jc w:val="right"/>
              <w:ind w:right="5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2"/>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4,550.0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6,486.4</w:t>
            </w:r>
          </w:p>
        </w:tc>
      </w:tr>
      <w:tr>
        <w:trPr>
          <w:trHeight w:val="27"/>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Variable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2,336.4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3,298.8</w:t>
            </w:r>
          </w:p>
        </w:tc>
      </w:tr>
      <w:tr>
        <w:trPr>
          <w:trHeight w:val="27"/>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As of December 31, 2017, approximately 66.3% of the principal amount of our long-term debt was based on fixed rates. Based on our borrowings as of December 31, 2017, an assumed 100 basis point change in the variable rates would cause our annual interest cost to change by $33.0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December 31, 2017, an assumed 1% change in the US dollar/Hong Kong dollar exchange rate would cause a foreign currency transaction gain/loss of $25.2 million.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202"/>
        </w:trPr>
        <w:tc>
          <w:tcPr>
            <w:tcW w:w="9900" w:type="dxa"/>
            <w:vAlign w:val="bottom"/>
            <w:gridSpan w:val="9"/>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Reports of Independent Registered Public Accounting Firm</w:t>
              </w:r>
            </w:hyperlink>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Balance Sheets</w:t>
              </w:r>
            </w:hyperlink>
          </w:p>
        </w:tc>
        <w:tc>
          <w:tcPr>
            <w:tcW w:w="562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Income</w:t>
              </w:r>
            </w:hyperlink>
          </w:p>
        </w:tc>
        <w:tc>
          <w:tcPr>
            <w:tcW w:w="734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Income</w:t>
              </w:r>
            </w:hyperlink>
          </w:p>
        </w:tc>
        <w:tc>
          <w:tcPr>
            <w:tcW w:w="61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Consolidated Statements of Stockholders’ Equity</w:t>
              </w:r>
            </w:hyperlink>
          </w:p>
        </w:tc>
        <w:tc>
          <w:tcPr>
            <w:tcW w:w="61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w:t>
              </w:r>
            </w:hyperlink>
          </w:p>
        </w:tc>
        <w:tc>
          <w:tcPr>
            <w:tcW w:w="636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3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Quarterly Consolidated Financial Information</w:t>
              </w:r>
            </w:hyperlink>
          </w:p>
        </w:tc>
        <w:tc>
          <w:tcPr>
            <w:tcW w:w="6600" w:type="dxa"/>
            <w:vAlign w:val="bottom"/>
            <w:gridSpan w:val="4"/>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Wynn Resorts, Limited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2017, based on the COSO criteria.</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stockholders' equity and cash flows for each of the three years in the period ended December 31, 2017, and the related notes and financial statement schedule listed in the Index at Item 15(a) and our report dated February 28, 2018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audited the accompanying consolidated balance sheets of Wynn Resorts, Limited and subsidiaries (the Company) as of December 31, 2017 and 2016, the related consolidated statements of income, comprehensive income, stockholders' equity and cash flows for each of the three years in the period ended December 31, 2017, and the related notes and financial statement schedule listed in the Index at Item 15(a)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28, 2018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0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2,804,474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2,453,122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166,773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173,437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218,968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71,636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91,541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53,299</w:t>
            </w:r>
          </w:p>
        </w:tc>
        <w:tc>
          <w:tcPr>
            <w:tcW w:w="0" w:type="dxa"/>
            <w:vAlign w:val="bottom"/>
          </w:tcPr>
          <w:p>
            <w:pPr>
              <w:spacing w:after="0"/>
              <w:rPr>
                <w:sz w:val="1"/>
                <w:szCs w:val="1"/>
                <w:color w:val="auto"/>
              </w:rPr>
            </w:pP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3,423,784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2,990,367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8,498,756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8,259,631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192,823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160,682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128,023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123,705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113,588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232,119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269,125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12,681,739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4"/>
              </w:rPr>
              <w:t>11,953,557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sectPr>
      </w:pPr>
    </w:p>
    <w:p>
      <w:pPr>
        <w:ind w:left="380"/>
        <w:spacing w:after="0"/>
        <w:rPr>
          <w:sz w:val="20"/>
          <w:szCs w:val="20"/>
          <w:color w:val="auto"/>
        </w:rPr>
      </w:pPr>
      <w:r>
        <w:rPr>
          <w:rFonts w:ascii="Arial" w:cs="Arial" w:eastAsia="Arial" w:hAnsi="Arial"/>
          <w:sz w:val="16"/>
          <w:szCs w:val="16"/>
          <w:color w:val="auto"/>
        </w:rPr>
        <w:t>Accounts and construction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compensation and benefits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Commitments and contingencies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700" w:val="left"/>
          <w:tab w:leader="none" w:pos="1480" w:val="left"/>
          <w:tab w:leader="none" w:pos="21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285,437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298,505</w:t>
      </w:r>
    </w:p>
    <w:p>
      <w:pPr>
        <w:spacing w:after="0" w:line="86" w:lineRule="exact"/>
        <w:rPr>
          <w:sz w:val="20"/>
          <w:szCs w:val="20"/>
          <w:color w:val="auto"/>
        </w:rPr>
      </w:pPr>
    </w:p>
    <w:p>
      <w:pPr>
        <w:jc w:val="both"/>
        <w:ind w:left="600"/>
        <w:spacing w:after="0"/>
        <w:tabs>
          <w:tab w:leader="none" w:pos="2160" w:val="left"/>
        </w:tabs>
        <w:rPr>
          <w:sz w:val="20"/>
          <w:szCs w:val="20"/>
          <w:color w:val="auto"/>
        </w:rPr>
      </w:pPr>
      <w:r>
        <w:rPr>
          <w:rFonts w:ascii="Arial" w:cs="Arial" w:eastAsia="Arial" w:hAnsi="Arial"/>
          <w:sz w:val="16"/>
          <w:szCs w:val="16"/>
          <w:color w:val="auto"/>
        </w:rPr>
        <w:t>1,049,629</w:t>
      </w:r>
      <w:r>
        <w:rPr>
          <w:sz w:val="20"/>
          <w:szCs w:val="20"/>
          <w:color w:val="auto"/>
        </w:rPr>
        <w:tab/>
      </w:r>
      <w:r>
        <w:rPr>
          <w:rFonts w:ascii="Arial" w:cs="Arial" w:eastAsia="Arial" w:hAnsi="Arial"/>
          <w:sz w:val="16"/>
          <w:szCs w:val="16"/>
          <w:color w:val="auto"/>
        </w:rPr>
        <w:t>599,566</w:t>
      </w:r>
    </w:p>
    <w:p>
      <w:pPr>
        <w:spacing w:after="0" w:line="86" w:lineRule="exact"/>
        <w:rPr>
          <w:sz w:val="20"/>
          <w:szCs w:val="20"/>
          <w:color w:val="auto"/>
        </w:rPr>
      </w:pPr>
    </w:p>
    <w:p>
      <w:pPr>
        <w:jc w:val="both"/>
        <w:ind w:left="720"/>
        <w:spacing w:after="0"/>
        <w:tabs>
          <w:tab w:leader="none" w:pos="2160" w:val="left"/>
        </w:tabs>
        <w:rPr>
          <w:sz w:val="20"/>
          <w:szCs w:val="20"/>
          <w:color w:val="auto"/>
        </w:rPr>
      </w:pPr>
      <w:r>
        <w:rPr>
          <w:rFonts w:ascii="Arial" w:cs="Arial" w:eastAsia="Arial" w:hAnsi="Arial"/>
          <w:sz w:val="16"/>
          <w:szCs w:val="16"/>
          <w:color w:val="auto"/>
        </w:rPr>
        <w:t>211,600</w:t>
      </w:r>
      <w:r>
        <w:rPr>
          <w:sz w:val="20"/>
          <w:szCs w:val="20"/>
          <w:color w:val="auto"/>
        </w:rPr>
        <w:tab/>
      </w:r>
      <w:r>
        <w:rPr>
          <w:rFonts w:ascii="Arial" w:cs="Arial" w:eastAsia="Arial" w:hAnsi="Arial"/>
          <w:sz w:val="16"/>
          <w:szCs w:val="16"/>
          <w:color w:val="auto"/>
        </w:rPr>
        <w:t>162,706</w:t>
      </w:r>
    </w:p>
    <w:p>
      <w:pPr>
        <w:spacing w:after="0" w:line="86" w:lineRule="exact"/>
        <w:rPr>
          <w:sz w:val="20"/>
          <w:szCs w:val="20"/>
          <w:color w:val="auto"/>
        </w:rPr>
      </w:pPr>
    </w:p>
    <w:p>
      <w:pPr>
        <w:jc w:val="both"/>
        <w:ind w:left="720"/>
        <w:spacing w:after="0"/>
        <w:tabs>
          <w:tab w:leader="none" w:pos="2160" w:val="left"/>
        </w:tabs>
        <w:rPr>
          <w:sz w:val="20"/>
          <w:szCs w:val="20"/>
          <w:color w:val="auto"/>
        </w:rPr>
      </w:pPr>
      <w:r>
        <w:rPr>
          <w:rFonts w:ascii="Arial" w:cs="Arial" w:eastAsia="Arial" w:hAnsi="Arial"/>
          <w:sz w:val="16"/>
          <w:szCs w:val="16"/>
          <w:color w:val="auto"/>
        </w:rPr>
        <w:t>140,450</w:t>
      </w:r>
      <w:r>
        <w:rPr>
          <w:sz w:val="20"/>
          <w:szCs w:val="20"/>
          <w:color w:val="auto"/>
        </w:rPr>
        <w:tab/>
      </w:r>
      <w:r>
        <w:rPr>
          <w:rFonts w:ascii="Arial" w:cs="Arial" w:eastAsia="Arial" w:hAnsi="Arial"/>
          <w:sz w:val="16"/>
          <w:szCs w:val="16"/>
          <w:color w:val="auto"/>
        </w:rPr>
        <w:t>165,501</w:t>
      </w:r>
    </w:p>
    <w:p>
      <w:pPr>
        <w:spacing w:after="0" w:line="86" w:lineRule="exact"/>
        <w:rPr>
          <w:sz w:val="20"/>
          <w:szCs w:val="20"/>
          <w:color w:val="auto"/>
        </w:rPr>
      </w:pPr>
    </w:p>
    <w:p>
      <w:pPr>
        <w:jc w:val="both"/>
        <w:ind w:left="800"/>
        <w:spacing w:after="0"/>
        <w:tabs>
          <w:tab w:leader="none" w:pos="2260" w:val="left"/>
        </w:tabs>
        <w:rPr>
          <w:sz w:val="20"/>
          <w:szCs w:val="20"/>
          <w:color w:val="auto"/>
        </w:rPr>
      </w:pPr>
      <w:r>
        <w:rPr>
          <w:rFonts w:ascii="Arial" w:cs="Arial" w:eastAsia="Arial" w:hAnsi="Arial"/>
          <w:sz w:val="16"/>
          <w:szCs w:val="16"/>
          <w:color w:val="auto"/>
        </w:rPr>
        <w:t>94,695</w:t>
      </w:r>
      <w:r>
        <w:rPr>
          <w:sz w:val="20"/>
          <w:szCs w:val="20"/>
          <w:color w:val="auto"/>
        </w:rPr>
        <w:tab/>
      </w:r>
      <w:r>
        <w:rPr>
          <w:rFonts w:ascii="Arial" w:cs="Arial" w:eastAsia="Arial" w:hAnsi="Arial"/>
          <w:sz w:val="16"/>
          <w:szCs w:val="16"/>
          <w:color w:val="auto"/>
        </w:rPr>
        <w:t>98,118</w:t>
      </w:r>
    </w:p>
    <w:p>
      <w:pPr>
        <w:spacing w:after="0" w:line="86" w:lineRule="exact"/>
        <w:rPr>
          <w:sz w:val="20"/>
          <w:szCs w:val="20"/>
          <w:color w:val="auto"/>
        </w:rPr>
      </w:pPr>
    </w:p>
    <w:p>
      <w:pPr>
        <w:jc w:val="both"/>
        <w:ind w:left="800"/>
        <w:spacing w:after="0"/>
        <w:tabs>
          <w:tab w:leader="none" w:pos="2520" w:val="left"/>
        </w:tabs>
        <w:rPr>
          <w:sz w:val="20"/>
          <w:szCs w:val="20"/>
          <w:color w:val="auto"/>
        </w:rPr>
      </w:pPr>
      <w:r>
        <w:rPr>
          <w:rFonts w:ascii="Arial" w:cs="Arial" w:eastAsia="Arial" w:hAnsi="Arial"/>
          <w:sz w:val="16"/>
          <w:szCs w:val="16"/>
          <w:color w:val="auto"/>
        </w:rPr>
        <w:t>62,690</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800"/>
        <w:spacing w:after="0"/>
        <w:tabs>
          <w:tab w:leader="none" w:pos="2240" w:val="left"/>
        </w:tabs>
        <w:rPr>
          <w:sz w:val="20"/>
          <w:szCs w:val="20"/>
          <w:color w:val="auto"/>
        </w:rPr>
      </w:pPr>
      <w:r>
        <w:rPr>
          <w:rFonts w:ascii="Arial" w:cs="Arial" w:eastAsia="Arial" w:hAnsi="Arial"/>
          <w:sz w:val="16"/>
          <w:szCs w:val="16"/>
          <w:color w:val="auto"/>
        </w:rPr>
        <w:t>85,789</w:t>
      </w:r>
      <w:r>
        <w:rPr>
          <w:sz w:val="20"/>
          <w:szCs w:val="20"/>
          <w:color w:val="auto"/>
        </w:rPr>
        <w:tab/>
      </w:r>
      <w:r>
        <w:rPr>
          <w:rFonts w:ascii="Arial" w:cs="Arial" w:eastAsia="Arial" w:hAnsi="Arial"/>
          <w:sz w:val="16"/>
          <w:szCs w:val="16"/>
          <w:color w:val="auto"/>
        </w:rPr>
        <w:t>91,905</w:t>
      </w:r>
    </w:p>
    <w:p>
      <w:pPr>
        <w:spacing w:after="0" w:line="82" w:lineRule="exact"/>
        <w:rPr>
          <w:sz w:val="20"/>
          <w:szCs w:val="20"/>
          <w:color w:val="auto"/>
        </w:rPr>
      </w:pPr>
    </w:p>
    <w:p>
      <w:pPr>
        <w:jc w:val="both"/>
        <w:ind w:left="600"/>
        <w:spacing w:after="0"/>
        <w:tabs>
          <w:tab w:leader="none" w:pos="2040" w:val="left"/>
        </w:tabs>
        <w:rPr>
          <w:sz w:val="20"/>
          <w:szCs w:val="20"/>
          <w:color w:val="auto"/>
        </w:rPr>
      </w:pPr>
      <w:r>
        <w:rPr>
          <w:rFonts w:ascii="Arial" w:cs="Arial" w:eastAsia="Arial" w:hAnsi="Arial"/>
          <w:sz w:val="16"/>
          <w:szCs w:val="16"/>
          <w:b w:val="1"/>
          <w:bCs w:val="1"/>
          <w:color w:val="auto"/>
        </w:rPr>
        <w:t>1,930,290</w:t>
      </w:r>
      <w:r>
        <w:rPr>
          <w:sz w:val="20"/>
          <w:szCs w:val="20"/>
          <w:color w:val="auto"/>
        </w:rPr>
        <w:tab/>
      </w:r>
      <w:r>
        <w:rPr>
          <w:rFonts w:ascii="Arial" w:cs="Arial" w:eastAsia="Arial" w:hAnsi="Arial"/>
          <w:sz w:val="16"/>
          <w:szCs w:val="16"/>
          <w:b w:val="1"/>
          <w:bCs w:val="1"/>
          <w:color w:val="auto"/>
        </w:rPr>
        <w:t>1,416,301</w:t>
      </w:r>
    </w:p>
    <w:p>
      <w:pPr>
        <w:spacing w:after="0" w:line="90" w:lineRule="exact"/>
        <w:rPr>
          <w:sz w:val="20"/>
          <w:szCs w:val="20"/>
          <w:color w:val="auto"/>
        </w:rPr>
      </w:pPr>
    </w:p>
    <w:p>
      <w:pPr>
        <w:jc w:val="both"/>
        <w:ind w:left="600"/>
        <w:spacing w:after="0"/>
        <w:tabs>
          <w:tab w:leader="none" w:pos="1960" w:val="left"/>
        </w:tabs>
        <w:rPr>
          <w:sz w:val="20"/>
          <w:szCs w:val="20"/>
          <w:color w:val="auto"/>
        </w:rPr>
      </w:pPr>
      <w:r>
        <w:rPr>
          <w:rFonts w:ascii="Arial" w:cs="Arial" w:eastAsia="Arial" w:hAnsi="Arial"/>
          <w:sz w:val="16"/>
          <w:szCs w:val="16"/>
          <w:color w:val="auto"/>
        </w:rPr>
        <w:t>9,565,936</w:t>
      </w:r>
      <w:r>
        <w:rPr>
          <w:sz w:val="20"/>
          <w:szCs w:val="20"/>
          <w:color w:val="auto"/>
        </w:rPr>
        <w:tab/>
      </w:r>
      <w:r>
        <w:rPr>
          <w:rFonts w:ascii="Arial" w:cs="Arial" w:eastAsia="Arial" w:hAnsi="Arial"/>
          <w:sz w:val="16"/>
          <w:szCs w:val="16"/>
          <w:color w:val="auto"/>
        </w:rPr>
        <w:t>10,125,352</w:t>
      </w:r>
    </w:p>
    <w:p>
      <w:pPr>
        <w:spacing w:after="0" w:line="86" w:lineRule="exact"/>
        <w:rPr>
          <w:sz w:val="20"/>
          <w:szCs w:val="20"/>
          <w:color w:val="auto"/>
        </w:rPr>
      </w:pPr>
    </w:p>
    <w:p>
      <w:pPr>
        <w:jc w:val="both"/>
        <w:ind w:left="720"/>
        <w:spacing w:after="0"/>
        <w:tabs>
          <w:tab w:leader="none" w:pos="2240" w:val="left"/>
        </w:tabs>
        <w:rPr>
          <w:sz w:val="20"/>
          <w:szCs w:val="20"/>
          <w:color w:val="auto"/>
        </w:rPr>
      </w:pPr>
      <w:r>
        <w:rPr>
          <w:rFonts w:ascii="Arial" w:cs="Arial" w:eastAsia="Arial" w:hAnsi="Arial"/>
          <w:sz w:val="16"/>
          <w:szCs w:val="16"/>
          <w:color w:val="auto"/>
        </w:rPr>
        <w:t>107,163</w:t>
      </w:r>
      <w:r>
        <w:rPr>
          <w:sz w:val="20"/>
          <w:szCs w:val="20"/>
          <w:color w:val="auto"/>
        </w:rPr>
        <w:tab/>
      </w:r>
      <w:r>
        <w:rPr>
          <w:rFonts w:ascii="Arial" w:cs="Arial" w:eastAsia="Arial" w:hAnsi="Arial"/>
          <w:sz w:val="16"/>
          <w:szCs w:val="16"/>
          <w:color w:val="auto"/>
        </w:rPr>
        <w:t>87,462</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66,561</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11,603,389</w:t>
      </w:r>
      <w:r>
        <w:rPr>
          <w:rFonts w:ascii="Arial" w:cs="Arial" w:eastAsia="Arial" w:hAnsi="Arial"/>
          <w:sz w:val="14"/>
          <w:szCs w:val="14"/>
          <w:b w:val="1"/>
          <w:bCs w:val="1"/>
          <w:color w:val="auto"/>
        </w:rPr>
        <w:t>11,695,676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37465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7880" w:space="720"/>
            <w:col w:w="28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Common stock, par value $0.01; 400,000,000 shares authorized; 116,391,753 and 115,036,945 shares issued; 103,005,866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101,799,471 shares outstanding,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Treasury stock, at cost; 13,385,887 and 13,237,474 shares,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(1,166,697)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1,497,928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1,226,915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635,067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95,097</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947,846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157,949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130,504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99,932</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1,078,350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257,881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12,681,739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11,953,557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4,948,319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3,268,141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2,932,419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538,500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690,942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597,080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350,622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b w:val="1"/>
                <w:bCs w:val="1"/>
                <w:color w:val="auto"/>
              </w:rPr>
              <w:t>Gross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6,768,246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4,836,355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4,418,621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(342,738)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6,306,368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4,466,297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4,075,883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3,197,729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2,079,740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1,862,687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149,009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410,825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361,246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685,485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464,793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322,629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5,250,803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3,944,635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3,417,069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1,055,565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521,662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658,814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(300,906)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560,269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310,597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289,247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328,985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889,254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302,469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281,524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747,181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241,975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195,290</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101,163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101,671</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889,254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302,469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281,524</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before and after tax</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884,859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302,811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279,990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(86,113)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743,852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242,367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193,877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January 1, 2015</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unrealized loss on investment securities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right="60"/>
        <w:spacing w:after="0" w:line="237" w:lineRule="auto"/>
        <w:rPr>
          <w:sz w:val="20"/>
          <w:szCs w:val="20"/>
          <w:color w:val="auto"/>
        </w:rPr>
      </w:pPr>
      <w:r>
        <w:rPr>
          <w:rFonts w:ascii="Arial" w:cs="Arial" w:eastAsia="Arial" w:hAnsi="Arial"/>
          <w:sz w:val="13"/>
          <w:szCs w:val="13"/>
          <w:color w:val="auto"/>
        </w:rPr>
        <w:t>Shares of subsidiary purchased for share award plan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right="58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2015</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unrealized gain on investment securities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right="30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40" w:right="100"/>
        <w:spacing w:after="0" w:line="237" w:lineRule="auto"/>
        <w:rPr>
          <w:sz w:val="20"/>
          <w:szCs w:val="20"/>
          <w:color w:val="auto"/>
        </w:rPr>
      </w:pPr>
      <w:r>
        <w:rPr>
          <w:rFonts w:ascii="Arial" w:cs="Arial" w:eastAsia="Arial" w:hAnsi="Arial"/>
          <w:sz w:val="13"/>
          <w:szCs w:val="13"/>
          <w:color w:val="auto"/>
        </w:rPr>
        <w:t>Sale of ownership interest in subsidiary, net of income tax of $49.8 million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 to noncontrolling interests</w:t>
      </w:r>
    </w:p>
    <w:p>
      <w:pPr>
        <w:spacing w:after="0" w:line="121" w:lineRule="exact"/>
        <w:rPr>
          <w:sz w:val="20"/>
          <w:szCs w:val="20"/>
          <w:color w:val="auto"/>
        </w:rPr>
      </w:pPr>
    </w:p>
    <w:p>
      <w:pPr>
        <w:ind w:left="40" w:right="58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right="880"/>
        <w:spacing w:after="0" w:line="512" w:lineRule="auto"/>
        <w:rPr>
          <w:sz w:val="20"/>
          <w:szCs w:val="20"/>
          <w:color w:val="auto"/>
        </w:rPr>
      </w:pPr>
      <w:r>
        <w:rPr>
          <w:rFonts w:ascii="Arial" w:cs="Arial" w:eastAsia="Arial" w:hAnsi="Arial"/>
          <w:sz w:val="11"/>
          <w:szCs w:val="11"/>
          <w:color w:val="auto"/>
        </w:rPr>
        <w:t xml:space="preserve">Stock-based compensation </w:t>
      </w:r>
      <w:r>
        <w:rPr>
          <w:rFonts w:ascii="Arial" w:cs="Arial" w:eastAsia="Arial" w:hAnsi="Arial"/>
          <w:sz w:val="11"/>
          <w:szCs w:val="11"/>
          <w:b w:val="1"/>
          <w:bCs w:val="1"/>
          <w:color w:val="auto"/>
        </w:rPr>
        <w:t>Balances, December 31, 2016</w:t>
      </w:r>
    </w:p>
    <w:p>
      <w:pPr>
        <w:spacing w:after="0" w:line="1" w:lineRule="exact"/>
        <w:rPr>
          <w:sz w:val="20"/>
          <w:szCs w:val="20"/>
          <w:color w:val="auto"/>
        </w:rPr>
      </w:pPr>
    </w:p>
    <w:p>
      <w:pPr>
        <w:ind w:left="40" w:right="100"/>
        <w:spacing w:after="0" w:line="237" w:lineRule="auto"/>
        <w:rPr>
          <w:sz w:val="20"/>
          <w:szCs w:val="20"/>
          <w:color w:val="auto"/>
        </w:rPr>
      </w:pPr>
      <w:r>
        <w:rPr>
          <w:rFonts w:ascii="Arial" w:cs="Arial" w:eastAsia="Arial" w:hAnsi="Arial"/>
          <w:sz w:val="13"/>
          <w:szCs w:val="13"/>
          <w:color w:val="auto"/>
        </w:rPr>
        <w:t>Effect of change in accounting for stock-based compensation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Balances, December 31, 2016, as adjusted</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unrealized loss on investment securities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right="30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40" w:right="100"/>
        <w:spacing w:after="0" w:line="237" w:lineRule="auto"/>
        <w:rPr>
          <w:sz w:val="20"/>
          <w:szCs w:val="20"/>
          <w:color w:val="auto"/>
        </w:rPr>
      </w:pPr>
      <w:r>
        <w:rPr>
          <w:rFonts w:ascii="Arial" w:cs="Arial" w:eastAsia="Arial" w:hAnsi="Arial"/>
          <w:sz w:val="13"/>
          <w:szCs w:val="13"/>
          <w:color w:val="auto"/>
        </w:rPr>
        <w:t>Sale of ownership interest in subsidiary, net of income tax of $17.8 million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left="780" w:right="2520"/>
        <w:spacing w:after="0" w:line="263" w:lineRule="auto"/>
        <w:rPr>
          <w:sz w:val="20"/>
          <w:szCs w:val="20"/>
          <w:color w:val="auto"/>
        </w:rPr>
      </w:pPr>
      <w:r>
        <w:rPr>
          <w:rFonts w:ascii="Arial" w:cs="Arial" w:eastAsia="Arial" w:hAnsi="Arial"/>
          <w:sz w:val="16"/>
          <w:szCs w:val="16"/>
          <w:b w:val="1"/>
          <w:bCs w:val="1"/>
          <w:color w:val="auto"/>
        </w:rPr>
        <w:t>WYNN RESORTS, LIMITED AND SUBSIDIARIES CONSOLIDATED STATEMENTS OF STOCKHOLDERS' EQUITY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Wynn Resorts,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Limited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101,439,297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1,144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(1,145,481)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948,566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2,505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164,487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(28,779)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239,870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211,091</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195,290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195,290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86,234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281,524</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(448)</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(1,086)</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50,716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3,026</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132,765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(50,869)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(7,199)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(7,199)</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(3,169)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(4,391)</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(304,445)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(304,445)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(195,439)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(499,884)</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387</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34,323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34,323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38,825</w:t>
            </w:r>
          </w:p>
        </w:tc>
      </w:tr>
      <w:tr>
        <w:trPr>
          <w:trHeight w:val="250"/>
        </w:trPr>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101,571,909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(1,152,680)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983,131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1,092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55,332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(111,979)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133,824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21,845</w:t>
            </w:r>
          </w:p>
        </w:tc>
      </w:tr>
      <w:tr>
        <w:trPr>
          <w:trHeight w:val="241"/>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241,975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241,975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60,494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302,469</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522</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74,000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3,487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3,487</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412,504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(60,000)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(198,942)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(14,017)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(14,017)</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(5,471)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(7,580)</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224,013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224,013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15,890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239,903</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(202,210)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(202,210)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(111,716)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(313,926)</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802</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20,957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20,957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3,632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24,589</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101,799,471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(1,166,697)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1,226,915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95,097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157,949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99,932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257,881</w:t>
            </w:r>
          </w:p>
        </w:tc>
      </w:tr>
      <w:tr>
        <w:trPr>
          <w:trHeight w:val="33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2,807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111</w:t>
            </w:r>
          </w:p>
        </w:tc>
      </w:tr>
      <w:tr>
        <w:trPr>
          <w:trHeight w:val="241"/>
        </w:trPr>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101,799,471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(1,166,697)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1,229,722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92,401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158,060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99,932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257,992</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747,181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747,181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142,073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889,254</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(3,832)</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(563)</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661,800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61,988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61,995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62,209</w:t>
            </w:r>
          </w:p>
        </w:tc>
      </w:tr>
      <w:tr>
        <w:trPr>
          <w:trHeight w:val="270"/>
        </w:trPr>
        <w:tc>
          <w:tcPr>
            <w:tcW w:w="940" w:type="dxa"/>
            <w:vAlign w:val="bottom"/>
          </w:tcPr>
          <w:p>
            <w:pPr>
              <w:jc w:val="right"/>
              <w:ind w:right="57"/>
              <w:spacing w:after="0"/>
              <w:rPr>
                <w:sz w:val="20"/>
                <w:szCs w:val="20"/>
                <w:color w:val="auto"/>
              </w:rPr>
            </w:pPr>
            <w:r>
              <w:rPr>
                <w:rFonts w:ascii="Arial" w:cs="Arial" w:eastAsia="Arial" w:hAnsi="Arial"/>
                <w:sz w:val="13"/>
                <w:szCs w:val="13"/>
                <w:color w:val="auto"/>
              </w:rPr>
              <w:t>706,341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18,565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18,572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19,225</w:t>
            </w:r>
          </w:p>
        </w:tc>
      </w:tr>
      <w:tr>
        <w:trPr>
          <w:trHeight w:val="270"/>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(13,333)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40" w:type="dxa"/>
            <w:vAlign w:val="bottom"/>
          </w:tcPr>
          <w:p>
            <w:pPr>
              <w:jc w:val="right"/>
              <w:ind w:right="17"/>
              <w:spacing w:after="0"/>
              <w:rPr>
                <w:sz w:val="20"/>
                <w:szCs w:val="20"/>
                <w:color w:val="auto"/>
              </w:rPr>
            </w:pPr>
            <w:r>
              <w:rPr>
                <w:rFonts w:ascii="Arial" w:cs="Arial" w:eastAsia="Arial" w:hAnsi="Arial"/>
                <w:sz w:val="13"/>
                <w:szCs w:val="13"/>
                <w:color w:val="auto"/>
              </w:rPr>
              <w:t>(148,413)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(17,771)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(17,771)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(17,771)</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(392)</w:t>
            </w:r>
          </w:p>
        </w:tc>
      </w:tr>
      <w:tr>
        <w:trPr>
          <w:trHeight w:val="324"/>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149,259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149,259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13,238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162,497</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(204,515)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(204,515)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(116,568)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(321,083)</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(11,436)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(11,436)</w:t>
            </w:r>
          </w:p>
        </w:tc>
      </w:tr>
      <w:tr>
        <w:trPr>
          <w:trHeight w:val="280"/>
        </w:trPr>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38,677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38,677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3,573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42,250</w:t>
            </w:r>
          </w:p>
        </w:tc>
      </w:tr>
      <w:tr>
        <w:trPr>
          <w:trHeight w:val="237"/>
        </w:trPr>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103,005,866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1,164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0"/>
              </w:rPr>
              <w:t>(1,184,468)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1,497,928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(1,845)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635,067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947,846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130,504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1,078,350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-7426325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-7082790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-6739890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-6396990</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-5985510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-5607685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-5264785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-4921885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-4578985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-4236085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-3823970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-3446780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-3069590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-2726690</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-2348865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-2005965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-1663065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-1320165</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-908685</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-530860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-187960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0"/>
            <w:col w:w="8900"/>
          </w:cols>
          <w:pgMar w:left="240" w:top="122"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line="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8"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p>
      <w:pPr>
        <w:jc w:val="both"/>
        <w:ind w:left="7640"/>
        <w:spacing w:after="0"/>
        <w:tabs>
          <w:tab w:leader="none" w:pos="9120" w:val="left"/>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ectPr>
          <w:pgSz w:w="11900" w:h="16843" w:orient="portrait"/>
          <w:cols w:equalWidth="0" w:num="1">
            <w:col w:w="11420"/>
          </w:cols>
          <w:pgMar w:left="240" w:top="122" w:right="239" w:bottom="0" w:gutter="0" w:footer="0" w:header="0"/>
        </w:sectPr>
      </w:pP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(Benefit) 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charges and other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in income of unconsolidated affiliates,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interest rate swap fair value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Redemption Note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(decrease) in cash from changes in: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Inventories and prepaid expenses and 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accrued expenses</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889,254</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302,469</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281,524</w:t>
            </w:r>
          </w:p>
        </w:tc>
      </w:tr>
      <w:tr>
        <w:trPr>
          <w:trHeight w:val="540"/>
        </w:trPr>
        <w:tc>
          <w:tcPr>
            <w:tcW w:w="4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552,368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404,730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322,629</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(310,854)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6,356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6,498</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43,971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43,722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38,475</w:t>
            </w:r>
          </w:p>
        </w:tc>
      </w:tr>
      <w:tr>
        <w:trPr>
          <w:trHeight w:val="270"/>
        </w:trPr>
        <w:tc>
          <w:tcPr>
            <w:tcW w:w="4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(792)</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25,013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24,326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19,785</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55,360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126,004</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(6,711)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8,203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11,115</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44,004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42,670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9,664</w:t>
            </w:r>
          </w:p>
        </w:tc>
      </w:tr>
      <w:tr>
        <w:trPr>
          <w:trHeight w:val="270"/>
        </w:trPr>
        <w:tc>
          <w:tcPr>
            <w:tcW w:w="4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1,615</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5,300</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59,700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(65,043)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(52,041)</w:t>
            </w:r>
          </w:p>
        </w:tc>
      </w:tr>
      <w:tr>
        <w:trPr>
          <w:trHeight w:val="540"/>
        </w:trPr>
        <w:tc>
          <w:tcPr>
            <w:tcW w:w="4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(39,272)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47,011</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(23,613)</w:t>
            </w:r>
          </w:p>
        </w:tc>
      </w:tr>
      <w:tr>
        <w:trPr>
          <w:trHeight w:val="270"/>
        </w:trPr>
        <w:tc>
          <w:tcPr>
            <w:tcW w:w="4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456,005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163,217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(112,748)</w:t>
            </w:r>
          </w:p>
        </w:tc>
      </w:tr>
      <w:tr>
        <w:trPr>
          <w:trHeight w:val="276"/>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70,954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116,985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(107,613)</w:t>
            </w:r>
          </w:p>
        </w:tc>
      </w:tr>
      <w:tr>
        <w:trPr>
          <w:trHeight w:val="250"/>
        </w:trPr>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1,876,577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970,546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572,813</w:t>
            </w:r>
          </w:p>
        </w:tc>
      </w:tr>
    </w:tbl>
    <w:p>
      <w:pPr>
        <w:spacing w:after="0" w:line="278" w:lineRule="exact"/>
        <w:rPr>
          <w:sz w:val="20"/>
          <w:szCs w:val="20"/>
          <w:color w:val="auto"/>
        </w:rPr>
      </w:pPr>
    </w:p>
    <w:p>
      <w:pPr>
        <w:sectPr>
          <w:pgSz w:w="11900" w:h="16843" w:orient="portrait"/>
          <w:cols w:equalWidth="0" w:num="2">
            <w:col w:w="6360" w:space="720"/>
            <w:col w:w="4340"/>
          </w:cols>
          <w:pgMar w:left="240" w:top="122" w:right="239" w:bottom="0" w:gutter="0" w:footer="0" w:header="0"/>
          <w:type w:val="continuous"/>
        </w:sectPr>
      </w:pPr>
    </w:p>
    <w:p>
      <w:pPr>
        <w:ind w:left="380"/>
        <w:spacing w:after="0"/>
        <w:rPr>
          <w:sz w:val="20"/>
          <w:szCs w:val="20"/>
          <w:color w:val="auto"/>
        </w:rPr>
      </w:pPr>
      <w:r>
        <w:rPr>
          <w:rFonts w:ascii="Arial" w:cs="Arial" w:eastAsia="Arial" w:hAnsi="Arial"/>
          <w:sz w:val="13"/>
          <w:szCs w:val="13"/>
          <w:color w:val="auto"/>
        </w:rPr>
        <w:t>Capital expenditures, net of construction payables and retention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investment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or maturity of investment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Return of investment in unconsolidated affiliates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intangible assets and other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(935,474)</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(1,225,943)</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(1,921,240)</w:t>
            </w:r>
          </w:p>
        </w:tc>
      </w:tr>
      <w:tr>
        <w:trPr>
          <w:trHeight w:val="270"/>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(229,328)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(196,750)</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(253,284)</w:t>
            </w:r>
          </w:p>
        </w:tc>
      </w:tr>
      <w:tr>
        <w:trPr>
          <w:trHeight w:val="270"/>
        </w:trPr>
        <w:tc>
          <w:tcPr>
            <w:tcW w:w="1400" w:type="dxa"/>
            <w:vAlign w:val="bottom"/>
          </w:tcPr>
          <w:p>
            <w:pPr>
              <w:jc w:val="right"/>
              <w:ind w:right="48"/>
              <w:spacing w:after="0"/>
              <w:rPr>
                <w:sz w:val="20"/>
                <w:szCs w:val="20"/>
                <w:color w:val="auto"/>
              </w:rPr>
            </w:pPr>
            <w:r>
              <w:rPr>
                <w:rFonts w:ascii="Arial" w:cs="Arial" w:eastAsia="Arial" w:hAnsi="Arial"/>
                <w:sz w:val="14"/>
                <w:szCs w:val="14"/>
                <w:color w:val="auto"/>
              </w:rPr>
              <w:t>200,366</w:t>
            </w:r>
          </w:p>
        </w:tc>
        <w:tc>
          <w:tcPr>
            <w:tcW w:w="1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144,829</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247,723</w:t>
            </w:r>
          </w:p>
        </w:tc>
      </w:tr>
      <w:tr>
        <w:trPr>
          <w:trHeight w:val="270"/>
        </w:trPr>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1,901</w:t>
            </w:r>
          </w:p>
        </w:tc>
      </w:tr>
      <w:tr>
        <w:trPr>
          <w:trHeight w:val="270"/>
        </w:trPr>
        <w:tc>
          <w:tcPr>
            <w:tcW w:w="1400" w:type="dxa"/>
            <w:vAlign w:val="bottom"/>
          </w:tcPr>
          <w:p>
            <w:pPr>
              <w:jc w:val="right"/>
              <w:ind w:right="8"/>
              <w:spacing w:after="0"/>
              <w:rPr>
                <w:sz w:val="20"/>
                <w:szCs w:val="20"/>
                <w:color w:val="auto"/>
              </w:rPr>
            </w:pPr>
            <w:r>
              <w:rPr>
                <w:rFonts w:ascii="Arial" w:cs="Arial" w:eastAsia="Arial" w:hAnsi="Arial"/>
                <w:sz w:val="14"/>
                <w:szCs w:val="14"/>
                <w:color w:val="auto"/>
              </w:rPr>
              <w:t>(13,571)</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(14,985)</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(3,912)</w:t>
            </w:r>
          </w:p>
        </w:tc>
      </w:tr>
      <w:tr>
        <w:trPr>
          <w:trHeight w:val="276"/>
        </w:trPr>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20,374</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3,872</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37,254</w:t>
            </w:r>
          </w:p>
        </w:tc>
      </w:tr>
      <w:tr>
        <w:trPr>
          <w:trHeight w:val="250"/>
        </w:trPr>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(957,633)</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(1,288,250)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(1,891,558)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-1036955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-694055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-351155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-8255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43" w:orient="portrait"/>
          <w:cols w:equalWidth="0" w:num="2">
            <w:col w:w="6360" w:space="720"/>
            <w:col w:w="4340"/>
          </w:cols>
          <w:pgMar w:left="240" w:top="122" w:right="239" w:bottom="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380" w:type="dxa"/>
            <w:vAlign w:val="bottom"/>
          </w:tcPr>
          <w:p>
            <w:pPr>
              <w:spacing w:after="0"/>
              <w:rPr>
                <w:sz w:val="15"/>
                <w:szCs w:val="15"/>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62,209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3,487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stock-based compensation</w:t>
            </w:r>
          </w:p>
        </w:tc>
        <w:tc>
          <w:tcPr>
            <w:tcW w:w="3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Sale of ownership interest in subsidiary</w:t>
            </w:r>
          </w:p>
        </w:tc>
        <w:tc>
          <w:tcPr>
            <w:tcW w:w="38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217,000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paid</w:t>
            </w:r>
          </w:p>
        </w:tc>
        <w:tc>
          <w:tcPr>
            <w:tcW w:w="3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(320,760)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(325,217)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(499,107)</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3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(11,436)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issuance of long-term debt</w:t>
            </w:r>
          </w:p>
        </w:tc>
        <w:tc>
          <w:tcPr>
            <w:tcW w:w="3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2,429,988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1,430,313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5,290,747</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Repayments of long-term debt</w:t>
            </w:r>
          </w:p>
        </w:tc>
        <w:tc>
          <w:tcPr>
            <w:tcW w:w="3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(2,959,843)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(400,707)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(3,342,106)</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190,643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(190,763)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(17,771)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paid related to sale of ownership interest in subsidiary</w:t>
            </w:r>
          </w:p>
        </w:tc>
        <w:tc>
          <w:tcPr>
            <w:tcW w:w="3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(25,176)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Shares of subsidiary repurchased for share award plan</w:t>
            </w:r>
          </w:p>
        </w:tc>
        <w:tc>
          <w:tcPr>
            <w:tcW w:w="3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long-term land concession obligation</w:t>
            </w:r>
          </w:p>
        </w:tc>
        <w:tc>
          <w:tcPr>
            <w:tcW w:w="3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(30,833)</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Payment of financing costs</w:t>
            </w:r>
          </w:p>
        </w:tc>
        <w:tc>
          <w:tcPr>
            <w:tcW w:w="38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(91,174)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(193,588)</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11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(563,712)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691,866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1,216,258</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Effect of exchange rate on cash</w:t>
            </w:r>
          </w:p>
        </w:tc>
        <w:tc>
          <w:tcPr>
            <w:tcW w:w="380" w:type="dxa"/>
            <w:vAlign w:val="bottom"/>
          </w:tcPr>
          <w:p>
            <w:pPr>
              <w:spacing w:after="0"/>
              <w:rPr>
                <w:sz w:val="14"/>
                <w:szCs w:val="14"/>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(3,880)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(1,129)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412</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b w:val="1"/>
                <w:bCs w:val="1"/>
                <w:color w:val="auto"/>
              </w:rPr>
              <w:t>Increase (decrease) in cash and cash equivalents</w:t>
            </w:r>
          </w:p>
        </w:tc>
        <w:tc>
          <w:tcPr>
            <w:tcW w:w="38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351,352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373,033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(102,075)</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Balance, beginning of year</w:t>
            </w:r>
          </w:p>
        </w:tc>
        <w:tc>
          <w:tcPr>
            <w:tcW w:w="3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2,453,122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2,080,089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2,182,164</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380"/>
              <w:spacing w:after="0"/>
              <w:rPr>
                <w:sz w:val="20"/>
                <w:szCs w:val="20"/>
                <w:color w:val="auto"/>
              </w:rPr>
            </w:pPr>
            <w:r>
              <w:rPr>
                <w:rFonts w:ascii="Arial" w:cs="Arial" w:eastAsia="Arial" w:hAnsi="Arial"/>
                <w:sz w:val="14"/>
                <w:szCs w:val="14"/>
                <w:b w:val="1"/>
                <w:bCs w:val="1"/>
                <w:color w:val="auto"/>
              </w:rPr>
              <w:t>Balance, end of year</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2,804,474</w:t>
            </w:r>
          </w:p>
        </w:tc>
        <w:tc>
          <w:tcPr>
            <w:tcW w:w="12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2,453,122</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2,080,089</w:t>
            </w:r>
          </w:p>
        </w:tc>
        <w:tc>
          <w:tcPr>
            <w:tcW w:w="0" w:type="dxa"/>
            <w:vAlign w:val="bottom"/>
          </w:tcPr>
          <w:p>
            <w:pPr>
              <w:spacing w:after="0"/>
              <w:rPr>
                <w:sz w:val="1"/>
                <w:szCs w:val="1"/>
                <w:color w:val="auto"/>
              </w:rPr>
            </w:pPr>
          </w:p>
        </w:tc>
      </w:tr>
      <w:tr>
        <w:trPr>
          <w:trHeight w:val="100"/>
        </w:trPr>
        <w:tc>
          <w:tcPr>
            <w:tcW w:w="708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disclosures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interest, net of amounts capitalized</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367,074</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265,076</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291,313</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Cash paid for income taxes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37,089</w:t>
            </w:r>
          </w:p>
        </w:tc>
        <w:tc>
          <w:tcPr>
            <w:tcW w:w="12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2,040</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2,873</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and equipment acquired under capital lease</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16,593</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380"/>
              <w:spacing w:after="0"/>
              <w:rPr>
                <w:sz w:val="20"/>
                <w:szCs w:val="20"/>
                <w:color w:val="auto"/>
              </w:rPr>
            </w:pPr>
            <w:r>
              <w:rPr>
                <w:rFonts w:ascii="Arial" w:cs="Arial" w:eastAsia="Arial" w:hAnsi="Arial"/>
                <w:sz w:val="14"/>
                <w:szCs w:val="14"/>
                <w:color w:val="auto"/>
              </w:rPr>
              <w:t>Stock-based compensation capitalized into construction</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Liability settled with shares of common stock</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19,225</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2" w:right="239" w:bottom="0" w:gutter="0" w:footer="0" w:header="0"/>
          <w:type w:val="continuous"/>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40" w:type="dxa"/>
            <w:vAlign w:val="bottom"/>
          </w:tcPr>
          <w:p>
            <w:pPr>
              <w:ind w:left="380"/>
              <w:spacing w:after="0"/>
              <w:rPr>
                <w:sz w:val="20"/>
                <w:szCs w:val="20"/>
                <w:color w:val="auto"/>
              </w:rPr>
            </w:pPr>
            <w:r>
              <w:rPr>
                <w:rFonts w:ascii="Arial" w:cs="Arial" w:eastAsia="Arial" w:hAnsi="Arial"/>
                <w:sz w:val="14"/>
                <w:szCs w:val="14"/>
                <w:color w:val="auto"/>
              </w:rPr>
              <w:t>Change in accounts and construction payables related to property and equipment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(35,447)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(34,049)</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13,031</w:t>
            </w:r>
          </w:p>
        </w:tc>
        <w:tc>
          <w:tcPr>
            <w:tcW w:w="0" w:type="dxa"/>
            <w:vAlign w:val="bottom"/>
          </w:tcPr>
          <w:p>
            <w:pPr>
              <w:spacing w:after="0"/>
              <w:rPr>
                <w:sz w:val="1"/>
                <w:szCs w:val="1"/>
                <w:color w:val="auto"/>
              </w:rPr>
            </w:pPr>
          </w:p>
        </w:tc>
      </w:tr>
      <w:tr>
        <w:trPr>
          <w:trHeight w:val="80"/>
        </w:trPr>
        <w:tc>
          <w:tcPr>
            <w:tcW w:w="6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dividends payable on unvested restricted stock included in other accrued liabilities</w:t>
            </w:r>
          </w:p>
        </w:tc>
        <w:tc>
          <w:tcPr>
            <w:tcW w:w="11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323</w:t>
            </w:r>
          </w:p>
        </w:tc>
        <w:tc>
          <w:tcPr>
            <w:tcW w:w="5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(11,291)</w:t>
            </w:r>
          </w:p>
        </w:tc>
        <w:tc>
          <w:tcPr>
            <w:tcW w:w="54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380"/>
              <w:spacing w:after="0"/>
              <w:rPr>
                <w:sz w:val="20"/>
                <w:szCs w:val="20"/>
                <w:color w:val="auto"/>
              </w:rPr>
            </w:pPr>
            <w:r>
              <w:rPr>
                <w:rFonts w:ascii="Arial" w:cs="Arial" w:eastAsia="Arial" w:hAnsi="Arial"/>
                <w:sz w:val="14"/>
                <w:szCs w:val="14"/>
                <w:color w:val="auto"/>
              </w:rPr>
              <w:t>Note receivable acquired from sale of ownership interest in subsidiary</w:t>
            </w: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72,464</w:t>
            </w:r>
          </w:p>
        </w:tc>
        <w:tc>
          <w:tcPr>
            <w:tcW w:w="54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4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August 22, 2016, the Company opened Wynn Palace, an integrated resort in the Cotai area of Macau. Wynn Palace features a luxury hotel tower with 1,706 guest rooms, suites and villas, approximately 420,000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33 food and beverage outlets, approximately 290,000 square feet of meeting and convention space, approximately 110,000 square feet of retail space (of which 103,000 square feet is owned and operated under a joint venture of which the Company owns 50.1%), as well as two theaters, three nightclubs and a beach club, and recreation and leisure facilities.</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majority of which is currently under construction at Wynn Las Vegas. The Company expects to open the additional retail space in the second half of 2018. For more information on the Retail Joint Venture, see Note 3, "Retail Joint Venture."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begun site preparation and pre-construction activities for the re-development of the Wynn Las Vegas golf course, which the Company closed in the fourth quarter of 2017. Phase 1 of the project is expected to include a lagoon and additional meeting and convention space. The Company expects to open Phase 1 in the first half of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accompanying consolidated financial statements include the accounts of the Company, its majority-owned subsidiaries and entities the Company identifies as a variable interest entity ("VIE") and of which the Company is determined to be the primary beneficiary. For information on the Company's VIEs, see Note 3, "Retail Joint Venture." In April 2016, the Company dissolved its 50%-owned joint venture operating the Ferrari and Maserati automobile dealership inside Wynn Las Vegas, which was closed in October 2015 and accounted for under the equity method. All significant intercompany accounts and transactions have been eliminated. Certain amounts in the consolidated financial statements for the previous years have been reclassified to be consistent with current year presentation. These reclassifications had no effect on the previously reported net income.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Cash equivalents of $450.2 million and $1.11 billion as of December 31, 2017 and 2016, respectively, were invested in bank time deposits, money market funds and commercial paper. In addition, the Company held bank deposits and cash on hand of approximately $2.35 billion and $1.34 billion as of December 31, 2017 and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Company's restricted cash consists of cash held in trust in accordance with WML's share award plan and additionally as of December 31, 2016, collateral associated with borrowings under a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2017 and 2016, 81.7% and 88.1%,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2" w:right="25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211,557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22,487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21,897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40,256</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254,728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273,710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224,128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218,968</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Inventories consist of retail merchandise and food and beverage items, which are stated at the lower of cost or market value and certain operating supplies. Cost is determined by the first-in, first-out, weighted average and specific identification methods.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Lives (years)</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4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 to 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10 to 45</w:t>
            </w:r>
          </w:p>
        </w:tc>
      </w:tr>
      <w:tr>
        <w:trPr>
          <w:trHeight w:val="27"/>
        </w:trPr>
        <w:tc>
          <w:tcPr>
            <w:tcW w:w="66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4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 to 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Leasehold interest in land</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7"/>
        </w:trPr>
        <w:tc>
          <w:tcPr>
            <w:tcW w:w="66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66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$18.4 million, $94.1 million and $53.3 million was capitalized for the years ended December 31, 2017,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its Macau gaming concession and Massachusetts gaming license. Finite-lived intangible assets are amortized over the shorter of their contractual terms or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Long-lived assets, which are to be held and used, including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$18.7 million, $18.1 million and $16.9 million was amortized to interest expense during the years ended December 31, 2017, 2016 and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The Redemption Price Promissory Note (the "Redemption Note") is recorded at fair value in accordance with applicable accounting guidance. As of December 31, 2017 and 2016, the fair value of the Redemption Note was $1.88 billion and $1.82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as the Company's derivative financial instruments do not qualify for hedge accounting.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67"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Company had three interest rate swap agreements intended to hedge a portion of the underlying interest rate risk on borrowings under our Wynn Macau Credit Facilities, which matured in July 2017. Under two of the swap agreements, the Company paid a fixed interest rate (excluding the applicable interest margin) of 0.73% on notional amounts corresponding to borrowings of HK$3.95 billion (approximately $505.1 million) incurred under the Wynn Macau Credit Facilities in exchange for receipts on the same amount at a variable interest rate based on the applicable HIBOR at the time of payment. These interest rate swaps fixed the all-in interest rate on such amounts at 2.23% to 2.98%. Under the third swap agreement, the Company paid a fixed interest rate (excluding the applicable interest margin) of 0.68% on notional amounts corresponding to borrowings of $243.8 million incurred under the Wynn Macau Credit Facilities in exchange for receipts on the same amount at a variable rate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based on the applicable LIBOR at the time of payment. This interest rate swap fixed the all-in interest rate on such amounts at 2.18% to 2.93%.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Casino revenues are measured by the aggregate net difference between gaming wins and losses, with liabilities recorded as customer deposits for funds deposited by customers before gaming play occurs and for chips in the customer's possession. The commissions rebated directly or indirectly through games promoters to customers, cash discounts, other cash incentives and points earned by customers from the Company's loyalty programs are recorded as a reduction to casino revenues. Rooms, food and beverage, entertainment and other operating revenues are recognized when services are performed or events are held.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78"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is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268,023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164,466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131,479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133,984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23,975</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461,878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370,058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342,738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83,884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143,892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113,341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106,840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14,414</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249,254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193,959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173,029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Programs</w:t>
      </w:r>
    </w:p>
    <w:p>
      <w:pPr>
        <w:spacing w:after="0" w:line="225"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Company offers loyalty programs at both its Macau Operations and its Las Vegas Operations. Under the program at its Macau Operations, customers earn points based on their level of table games and slots play, which can be redeemed for free play, gifts and complimentary dining and retail shopping. Under the program at its Las Vegas Operations, customers earn points based on their level of slots play, which can be redeemed for free play. The points are recognized as a liability and as a separate element of the gaming transaction with allocation of the consideration received between the points and gaming transaction. The initial recognition of the point liability is at fair value based on points earned multiplied by redemption value, less an estimate for points not expected to be redeemed. The revenue from the points is recognized when redeemed.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Consolidated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These taxes totaled $2.17 billion, $1.32 billion and $1.15 billion for the years ended December 31, 2017, 2016 and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$37.8 million, $37.0 million and $25.2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years ended December 31, 2017, 2016 and 2015, the Company incurred pre-opening expenses primarily in connection with the development of Wynn Boston Harbor and Wynn Palace.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78"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applicable, the Company will recognize accrued penalties and interest related to unrecognized tax benefits in the provision for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Gains or losses from foreign currency remeasurements are included in other income (expense) in the accompanying Consolidated Statements of Income.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and Accumulated Other Comprehensive Income (Loss)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(loss). Components of the Company's comprehensive income are reported in the accompanying Consolidated Statements of Stockholders' Equity and Consolidated Statements of Comprehensive Income. The balance of accumulated other comprehensive income (loss) consists of currency translation adjustments and net unrealized gains or losses on available-for-sale securities.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presents the changes by component, net of tax and noncontrolling interests, in accumulated other comprehensive income (loss) of the Company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loss on</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investment securities</w:t>
            </w: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period other comprehensive loss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18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1"/>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450,230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439,030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1,879,058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1,879,058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80" w:type="dxa"/>
            <w:vAlign w:val="bottom"/>
            <w:gridSpan w:val="3"/>
          </w:tcPr>
          <w:p>
            <w:pPr>
              <w:spacing w:after="0"/>
              <w:rPr>
                <w:sz w:val="23"/>
                <w:szCs w:val="23"/>
                <w:color w:val="auto"/>
              </w:rPr>
            </w:pPr>
          </w:p>
        </w:tc>
        <w:tc>
          <w:tcPr>
            <w:tcW w:w="360" w:type="dxa"/>
            <w:vAlign w:val="bottom"/>
            <w:gridSpan w:val="2"/>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3120" w:type="dxa"/>
            <w:vAlign w:val="bottom"/>
            <w:tcBorders>
              <w:bottom w:val="single" w:sz="8" w:color="auto"/>
            </w:tcBorders>
            <w:gridSpan w:val="6"/>
            <w:shd w:val="clear" w:color="auto" w:fill="CCEEFF"/>
          </w:tcPr>
          <w:p>
            <w:pPr>
              <w:jc w:val="center"/>
              <w:ind w:left="861"/>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1,106,606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1,102,738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192,823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192,823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1,819,359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1,819,359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747,181</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241,975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195,290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101,163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102,598</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101,855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101,671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 per common share,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 per common share,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4"/>
        </w:trPr>
        <w:tc>
          <w:tcPr>
            <w:tcW w:w="74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3"/>
              </w:rPr>
              <w:t>Anti-dilutive stock options and restricted stock excluded from the calculation of diluted earnings per</w:t>
            </w:r>
          </w:p>
        </w:tc>
        <w:tc>
          <w:tcPr>
            <w:tcW w:w="3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The Company's stock-based employee compensation arrangements are more fully discussed in Note 12, "Stock-Based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w:t>
      </w:r>
      <w:r>
        <w:rPr>
          <w:rFonts w:ascii="Arial" w:cs="Arial" w:eastAsia="Arial" w:hAnsi="Arial"/>
          <w:sz w:val="17"/>
          <w:szCs w:val="17"/>
          <w:color w:val="auto"/>
        </w:rPr>
        <w:t>, which amends the existing guidance related to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The Company adopted the guidance on January 1, 2017 with the following amendments having an impact on its Consolidated Financial Statements:</w:t>
      </w:r>
    </w:p>
    <w:p>
      <w:pPr>
        <w:spacing w:after="0" w:line="171" w:lineRule="exact"/>
        <w:rPr>
          <w:sz w:val="20"/>
          <w:szCs w:val="20"/>
          <w:color w:val="auto"/>
        </w:rPr>
      </w:pPr>
    </w:p>
    <w:p>
      <w:pPr>
        <w:ind w:left="660" w:right="2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Accounting for income taxes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new guidance, income tax benefits and deficiencies are recognized as income tax expense or benefit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and the tax effects of exercised or vested awards are treated as discrete items in the reporting period in which they occur. The amendment was applied prospectively.</w:t>
      </w:r>
    </w:p>
    <w:p>
      <w:pPr>
        <w:spacing w:after="0" w:line="181"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u w:val="single" w:color="auto"/>
          <w:color w:val="auto"/>
        </w:rPr>
        <w:t>Forfeitures.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to make an accounting policy change to account for forfeitures when they occur. The Company applied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using the modified retrospective transition method, which resulted in a cumulative-effect expense adjustment of $2.7 million, net of tax to retained earnings as of December 31, 2016. The adjustment represents the impact of estimated forfeitures on previously recorded compensation expense as of December 31, 2016 from outstanding stock options and unvested share awards under the previous accounting policy.</w:t>
      </w:r>
    </w:p>
    <w:p>
      <w:pPr>
        <w:spacing w:after="0" w:line="154"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Classification of excess tax benefits on the cash flow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new guidance, excess tax benefits will be classified along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cash flows as an operating activity. The amendment was applied prospectively.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 Restricted Cash (Topic 230),</w:t>
      </w:r>
      <w:r>
        <w:rPr>
          <w:rFonts w:ascii="Arial" w:cs="Arial" w:eastAsia="Arial" w:hAnsi="Arial"/>
          <w:sz w:val="18"/>
          <w:szCs w:val="18"/>
          <w:color w:val="auto"/>
        </w:rPr>
        <w:t xml:space="preserve"> which amends the existing guidance relating to the disclosure of restricted cash and restricted cash equivalents on the statement of cash flows. The ASU requires that amounts generally described as restricted cash or restricted cash equivalents should be</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included with cash and cash equivalents when reconciling the beginning-of-period and end-of-period total amounts shown on the statement of cash flows. The ASU will be effective for the Company on January 1, 2018, with early adoption permitted. The Company will adopt this ASU in the first quarter of 2018 and does not expect a material impact on its Consolidated Statements of Cash Flows.</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 (Topic 740),</w:t>
      </w:r>
      <w:r>
        <w:rPr>
          <w:rFonts w:ascii="Arial" w:cs="Arial" w:eastAsia="Arial" w:hAnsi="Arial"/>
          <w:sz w:val="18"/>
          <w:szCs w:val="18"/>
          <w:color w:val="auto"/>
        </w:rPr>
        <w:t xml:space="preserve"> which requires the recognition of the income tax consequences of an intra-entity transfer of an asset, other than inventory, when the transfer occurs, rather than deferring such recognition until the asset is sold to an outside party. The ASU will be effective for the Company on January 1, 2018, with early adoption permitted. The amendments in the new guidance should be adopted on a retrospective basis. The Company will adopt this ASU in the first quarter of 2018 and does not expect a material impact on its Consolidated Financial Statements.</w:t>
      </w:r>
    </w:p>
    <w:p>
      <w:pPr>
        <w:spacing w:after="0" w:line="18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 Classification of Certain Cash Receipts and Cash Payments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230), </w:t>
      </w:r>
      <w:r>
        <w:rPr>
          <w:rFonts w:ascii="Arial" w:cs="Arial" w:eastAsia="Arial" w:hAnsi="Arial"/>
          <w:sz w:val="17"/>
          <w:szCs w:val="17"/>
          <w:color w:val="auto"/>
        </w:rPr>
        <w:t>which clarifies the classification of certain cash receipts and cash payments on the statement of cash flows. In particular, the new guidance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ASU will be effective for the Company on January 1, 2018, with early adoption permitted. The Company will adopt this ASU in the first quarter of 2018 and does not expect a material impact on its Consolidated Statements of Cash Flows.</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amends the existing guidance relating to the definition of a lease, recognition of lease assets and lease liabilities on the balance sheet, and the disclosure of key information about leasing activities. Under the new guidance, lessees will be required to recognize a right-of-use asset and lease liability on the balance sheet, measured on a discounted basis. Operating leases were previously not recognized on the balance sheet.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modified retrospective approach includes a number of optional practical expedients that entities may elect to apply. The ASU will be effective for the Company on January 1, 2019, with early adoption permitted. The Company is currently assessing the impact the guidance will have on its Consolidated Financial Statements and related disclosures.</w:t>
      </w:r>
    </w:p>
    <w:p>
      <w:pPr>
        <w:spacing w:after="0" w:line="18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824-10):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which requires equity investments to be measured at fair value with changes in fair value recognized through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ASU will be effective for the Company on January 1, 2018 with early adoption permitted. The Company will adopt this ASU in the first quarter of 2018 and is currently assessing the impact the adoption of this standard will have on its Consolidated Financial Statements. The Company expects a portion of the change in its Redemption Note fair value currently included in the Consolidated Statements of Income will be recorded in Accumulated Other Comprehensive Income (Loss) on its Consolidated Balance Sheet.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amends the existing revenue recognition guidance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Company will adopt this ASU in the first quarter of 2018 on a full retrospective basis. The Company continues to assess the impact this ASU will have on its Consolidated Financial Statements. Adoption of this standard will change the presentation of, and accounting for, goods and services provided to customers without charge currently included in both gross revenues and promotional allowances in the Consolidated Statements of Income. The total promotional allowances will be netted against gross revenues with the majority of the impact resulting in a decrease in casino revenues and the estimated cost of providing the promotional allowances will no longer be allocated primarily to casino expenses. Additionally, certain commission arrangements with third parties will be reclassified out of operating expenses and netted against revenue. Upon retrospective application on January 1, 2018, management estimates the previously reported net revenue and operating expense amounts for the years ended December 31, 2017 and 2016, will decrease by amounts not expected to exceed $240.0 million and $130.0 million, respectively, primarily due to changes in the accounting for certain commissions. The adoption of this guidance is not expected to have a material impact on the Company's financial condition or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In the first quarter of 2016, the Company identified $21.9 million and $3.7 million of additional interest that should have been capitalized instead of being expensed during the years ended December 31, 2015 and 2014, respectively. Considering both quantitative and qualitative factors, the Company determined the amounts were immaterial to any previously issued financial statements and to the full year results for 2016. Accordingly, the Company corrected these immaterial amounts during the first quarter of the year ended December 31, 2016, resulting in a decrease to interest expense of $25.6 million and increases to net income attributable to Wynn Resorts, Limited of $18.5 million and basic and diluted net income per common share of $0.18. Had these amounts been corrected in the appropriate periods, it would have resulted in a decrease to interest expense of $21.9 million and increases to net income attributable to Wynn Resorts, Limited of $15.8 million and basic and diluted net income per common share of $0.16, for the year ended December 31,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Retail Joint Venture</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December 2016, the Company entered into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consideration of $292.0 million, which consisted of $217.0 million in cash and a $75.0 million interest-free note that matured in full on January 3, 2018. As of December 31, 2017 and 2016, the present value of the note was $75.0 million included in prepaid expenses and other and $72.5 million included in other assets, respectively, on the Consolidated Balance Sheets. The cash proceeds will be used to fund future development opportunities and for general corporate purposes.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w:t>
      </w:r>
    </w:p>
    <w:p>
      <w:pPr>
        <w:spacing w:after="0" w:line="17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November 2017, the Company contributed approximately 74,000 square feet of additional retail space to the Retail Joint Venture, the majority of which is currently under construction at Wynn Las Vegas. The Company expects to open the additional retail space in the second half of 2018. In connection with this transaction, the Company contributed certain assets with a net book value of $25.4 million, consisting primarily of construction in progress for the additional retail space, to the Retail Joint Venture, and received cash of $180.0 million from Crown. The cash proceeds will be used to fund future development opportunities and for general corporate purposes. After this additional transaction, the Company maintains a 50.1% ownership in the Retail Joint Venture and remains the managing member. The Company's responsibilities with respect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Retail Joint Venture include day-to-day business operations, property management services and a role in the leasing decisions of the retail space.</w:t>
      </w:r>
    </w:p>
    <w:p>
      <w:pPr>
        <w:spacing w:after="0" w:line="23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8"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December 31, 2017 and 2016, the Retail Joint Venture had total assets of $59.7 million and $33.6 million, respectively, and total liabilities of $0.9 million and $2.1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available-for-sale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center"/>
              <w:ind w:left="519"/>
              <w:spacing w:after="0"/>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92"/>
              </w:rPr>
              <w:t>unrealized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519"/>
              <w:spacing w:after="0" w:line="149" w:lineRule="exact"/>
              <w:rPr>
                <w:sz w:val="20"/>
                <w:szCs w:val="20"/>
                <w:color w:val="auto"/>
              </w:rPr>
            </w:pPr>
            <w:r>
              <w:rPr>
                <w:rFonts w:ascii="Arial" w:cs="Arial" w:eastAsia="Arial" w:hAnsi="Arial"/>
                <w:sz w:val="14"/>
                <w:szCs w:val="14"/>
                <w:b w:val="1"/>
                <w:bCs w:val="1"/>
                <w:color w:val="auto"/>
                <w:w w:val="92"/>
              </w:rPr>
              <w:t>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cost</w:t>
            </w:r>
          </w:p>
        </w:tc>
        <w:tc>
          <w:tcPr>
            <w:tcW w:w="1380" w:type="dxa"/>
            <w:vAlign w:val="bottom"/>
          </w:tcPr>
          <w:p>
            <w:pPr>
              <w:jc w:val="center"/>
              <w:ind w:left="339"/>
              <w:spacing w:after="0"/>
              <w:rPr>
                <w:sz w:val="20"/>
                <w:szCs w:val="20"/>
                <w:color w:val="auto"/>
              </w:rPr>
            </w:pPr>
            <w:r>
              <w:rPr>
                <w:rFonts w:ascii="Arial" w:cs="Arial" w:eastAsia="Arial" w:hAnsi="Arial"/>
                <w:sz w:val="14"/>
                <w:szCs w:val="14"/>
                <w:b w:val="1"/>
                <w:bCs w:val="1"/>
                <w:color w:val="auto"/>
                <w:w w:val="87"/>
              </w:rPr>
              <w:t>gains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499"/>
              <w:spacing w:after="0"/>
              <w:rPr>
                <w:sz w:val="20"/>
                <w:szCs w:val="20"/>
                <w:color w:val="auto"/>
              </w:rPr>
            </w:pPr>
            <w:r>
              <w:rPr>
                <w:rFonts w:ascii="Arial" w:cs="Arial" w:eastAsia="Arial" w:hAnsi="Arial"/>
                <w:sz w:val="14"/>
                <w:szCs w:val="14"/>
                <w:b w:val="1"/>
                <w:bCs w:val="1"/>
                <w:color w:val="auto"/>
                <w:w w:val="77"/>
              </w:rPr>
              <w:t>losses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center"/>
              <w:ind w:right="29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6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CCEEFF"/>
            </w:tcBorders>
          </w:tcPr>
          <w:p>
            <w:pPr>
              <w:spacing w:after="0"/>
              <w:rPr>
                <w:sz w:val="22"/>
                <w:szCs w:val="22"/>
                <w:color w:val="auto"/>
              </w:rPr>
            </w:pPr>
          </w:p>
        </w:tc>
        <w:tc>
          <w:tcPr>
            <w:tcW w:w="5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46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328,747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327,455</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3780" w:type="dxa"/>
            <w:vAlign w:val="bottom"/>
            <w:tcBorders>
              <w:bottom w:val="single" w:sz="8" w:color="auto"/>
            </w:tcBorders>
            <w:vMerge w:val="continue"/>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Domestic and foreign corporate bonds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245,425</w:t>
            </w:r>
          </w:p>
        </w:tc>
        <w:tc>
          <w:tcPr>
            <w:tcW w:w="120" w:type="dxa"/>
            <w:vAlign w:val="bottom"/>
          </w:tcPr>
          <w:p>
            <w:pPr>
              <w:spacing w:after="0"/>
              <w:rPr>
                <w:sz w:val="21"/>
                <w:szCs w:val="21"/>
                <w:color w:val="auto"/>
              </w:rPr>
            </w:pPr>
          </w:p>
        </w:tc>
        <w:tc>
          <w:tcPr>
            <w:tcW w:w="1380" w:type="dxa"/>
            <w:vAlign w:val="bottom"/>
          </w:tcPr>
          <w:p>
            <w:pPr>
              <w:jc w:val="right"/>
              <w:ind w:right="11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244,724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56,764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57"/>
        </w:trPr>
        <w:tc>
          <w:tcPr>
            <w:tcW w:w="37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302,189</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301,460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investments with unrealized losses as of December 31, 2017,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as of December 31, 2017,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166,773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42,402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327,455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7,582,611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7,623,069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853,738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834,420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2,211,974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 in land</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314,068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316,516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1,016,207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299,686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12,137,438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11,434,936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(3,638,682)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(3,175,305)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8,498,756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8,259,631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expense for the years ended December 31, 2017, 2016, and 2015 was $547.9 million, $398.2 million, and $317.8 million, respectively.</w:t>
      </w:r>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2017 and 2016, construction in progress consisted primarily of costs capitalized, including interest, for the construction of Wynn Boston Harbor.</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Subsequent to December 31, 2017, the Company acquired approximately 38 acres of land on the Las Vegas Strip directly across from Wynn Las Vegas for $336.2 million, approximately 16 acres of which are subject to a ground lease that expires in 2097. The ground lease payments are $3.8 million per year until 2023 and then increase periodically during the term of the lease up to $5.5 million per year from 2068 through 2097. The Company expects to use this land for future development.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Water rights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indefinite-lived intangible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7,787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Finite-lived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Macau gaming concession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42,300</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(29,199)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13,101</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Massachusetts gaming license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92,700</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105,200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92,700</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finite-lived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115,918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105,801</w:t>
            </w:r>
          </w:p>
        </w:tc>
      </w:tr>
      <w:tr>
        <w:trPr>
          <w:trHeight w:val="257"/>
        </w:trPr>
        <w:tc>
          <w:tcPr>
            <w:tcW w:w="8340" w:type="dxa"/>
            <w:vAlign w:val="bottom"/>
          </w:tcPr>
          <w:p>
            <w:pPr>
              <w:ind w:left="520"/>
              <w:spacing w:after="0"/>
              <w:rPr>
                <w:sz w:val="20"/>
                <w:szCs w:val="20"/>
                <w:color w:val="auto"/>
              </w:rPr>
            </w:pPr>
            <w:r>
              <w:rPr>
                <w:rFonts w:ascii="Arial" w:cs="Arial" w:eastAsia="Arial" w:hAnsi="Arial"/>
                <w:sz w:val="18"/>
                <w:szCs w:val="18"/>
                <w:b w:val="1"/>
                <w:bCs w:val="1"/>
                <w:color w:val="auto"/>
              </w:rPr>
              <w:t>Total intangible assets,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123,705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113,588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Water rights and trademarks are indefinite-lived assets and, accordingly, are not amortized. Water rights reflect the fair value allocation determined in the purchase of the property on which Wynn Las Vegas is located in April 2000. The value of the trademarks primarily represents the costs to acquire the "Le Rêve" name.</w:t>
      </w:r>
    </w:p>
    <w:p>
      <w:pPr>
        <w:spacing w:after="0" w:line="181"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The Macau gaming concession is a finite-lived intangible asset that is being amortized over the 20-year life of the concession. The Company expects that amortization of the Macau gaming concession will be $2.4 million each year from 2018 through 2021, and $1.2 million in 2022.</w:t>
      </w:r>
    </w:p>
    <w:p>
      <w:pPr>
        <w:spacing w:after="0" w:line="14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Massachusetts gaming license cost reflects consideration paid to the State of Massachusetts for the license fee and certain costs incurred in connection with and contractually related to obtaining the license. The Company identifies the license as a finite-lived intangible asset and will amortize it over a period of 15 years beginning upon the opening of the resort.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Senior Term Loan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2,306,773</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340,846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WML Finance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189,651</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7/8% Senior Notes, due 2024</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Notes, due 2027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1/4% Senior Notes, due 2021</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America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Senior Term Loan Facility</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1,800,000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3/8% First Mortgage Notes, due 2022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Redemption Price Promissory Note, due 2022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9,785,241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10,323,713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Redemption Note fair value adjustment</w:t>
            </w:r>
          </w:p>
        </w:tc>
        <w:tc>
          <w:tcPr>
            <w:tcW w:w="36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(57,384)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(117,084)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9,628,626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10,125,352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9,565,936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10,125,352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Resorts (Macau) S.A. ("Wynn Macau SA"), an indirect subsidiary of WML. Wynn Macau SA has the ability to upsize the Wynn Macau Credit Facilities by an additional $1 billion in equivalent senior secured loans upon satisfaction of various conditions. In September 2015, the Wynn Macau Credit Facilities were amended, to, among other things increase the borrowing capacity and extend maturity dates. In connection with the amendment, the Company recorded a loss on extinguishment of debt of $2.1 million.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the Company had no borrowings under the Wynn Macau Senior Revolving Credit Facility.</w:t>
      </w:r>
    </w:p>
    <w:p>
      <w:pPr>
        <w:spacing w:after="0" w:line="185"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Borrowings under the Wynn Macau Credit Facilities consist of both United States dollar and Hong Kong dollar tranches and were used to refinance Wynn Macau SA's existing indebtedness and fund the construction and development of Wynn Palace and will be used for general corporate purposes.</w:t>
      </w:r>
    </w:p>
    <w:p>
      <w:pPr>
        <w:spacing w:after="0" w:line="8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Wynn Macau Senior Term Loan Facility is repayable in graduating installments of between 2.50% to 7.33% of the principal amount on a quarterly basis commencing in December 2018, with a final installment of 50% of the principal amount repayable in September 2021. The Wynn Macau Senior Revolving Credit Facility will mature in September 2020, at which time</w:t>
      </w:r>
    </w:p>
    <w:p>
      <w:pPr>
        <w:sectPr>
          <w:pgSz w:w="11900" w:h="16838" w:orient="portrait"/>
          <w:cols w:equalWidth="0" w:num="1">
            <w:col w:w="11420"/>
          </w:cols>
          <w:pgMar w:left="240" w:top="121"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any outstanding borrowings must be repaid. The Wynn Macau Credit Facilities bear interest at LIBOR or HIBOR plus a margin of 1.50% to 2.25% per annum based on Wynn Macau SA's Leverage Ratio (as defined in the Wynn Macau Credit Facilities). As of December 31, 2017 and 2016, the interest rate was 3.16% and 2.76%, respectively. The commitment fee required to be paid for unborrowed amounts under the Wynn Macau Senior Revolving Credit Facility, if any, is between 0.52% and 0.79%, per annum, based on Wynn Macau SA's Leverage Ratio. The annual commitment fee is payable quarterly in arrears and is calculated based on the daily average of the unborrowed amounts.</w:t>
      </w:r>
    </w:p>
    <w:p>
      <w:pPr>
        <w:spacing w:after="0" w:line="14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 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5.25 to 1 for the fiscal year ending December 31, 2017, and an Interest Coverage Ratio (as defined in the Wynn Macau Credit Facilities) of not less than 2.00 to 1 at any time.</w:t>
      </w:r>
    </w:p>
    <w:p>
      <w:pPr>
        <w:spacing w:after="0" w:line="126"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Borrowings under the Wynn Macau Credit Facilities are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0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2017, the guarantee was in the amount of 300 million Macau patacas ("MOP") (approximately $37.3 million) and will remain at such amount until 180 days after the end of the term of the concession agreement in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Company's credit facilities include a HK$3.87 billion (approximately $495.2 million) cash-collateralized revolving credit facility ("WML Finance Credit Facility") under which WML Finance I, Limited, an indirect wholly owned subsidiary of WML, is the borrower. The WML Finance Credit Facility bears interest initially at 1.50% per annum, such rate calculated as the interest rate paid by the lender as the deposit bank for the cash collateral deposited and pledged with the lender plus a margin of 0.40%.</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the Company had no borrowings under the WML Finance Credit Facility.</w:t>
      </w:r>
    </w:p>
    <w:p>
      <w:pPr>
        <w:spacing w:after="0" w:line="18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WML Finance Credit Facility matures in July 2018, at which time any outstanding borrowings must be repaid. Under terms of the agreement, mandatory repayment is required upon a Change in Control or Material Adverse Effect, as defined in the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4 7/8% Senior Notes due 2024 and 5 1/2% Senior Notes due 2027</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20, 2017, WML issued the $600 million 4 7/8% Senior Notes due 2024 (the "2024 WML Notes") and the $750 million of 5 1/2% Senior Notes due 2027 (the "2027 WML Notes" and together with the 2024 WML Notes, the "WML Notes"). WML used the net proceeds from the WML Notes and cash on hand to fund the cost of extinguishing the 5 1/4% Senior Notes due 2021 (the "2021 Notes").</w:t>
      </w:r>
    </w:p>
    <w:p>
      <w:pPr>
        <w:spacing w:after="0" w:line="1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2024 WML Notes bear interest at the rate of 4 7/8% per annum and mature on October 1, 2024. The 2027 WML Notes bear interest at the rate of 5 1/2% per annum and mature on October 1, 2027. Interest on the WML Notes is payable semi-annually in arrears on April 1 and October 1 of each year, beginning on April 1, 2018.</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1" w:right="27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At any time prior to October 1, 2020 and October 1, 2022, WML may redeem the 2024 WML Notes and 2027 WML Notes, respectively, in whole or in part, at a redemption price equal to the greater of (a) 100% of the principal amount of the WML Notes or (b) a "make-whole" amount as determined by an independent investment banker in accordance with the terms of the indentures for the WML Notes, dated as of September 20, 2017 (the "WML Indentures"). In either case, the redemption price would include accrued and unpaid interest. In addition, at any time prior to October 1, 2020, WML may use the net cash proceeds from certain equity offerings to redeem up to 35% of the aggregate principal amount of the 2024 WML Notes and the 2027 WML Notes, at a redemption price equal to 104.875% of the aggregate principal amount of the 2024 WML Notes and 105.5% of the aggregate principal amount of the 2027 WML Notes, as applicable.</w:t>
      </w:r>
    </w:p>
    <w:p>
      <w:pPr>
        <w:spacing w:after="0" w:line="10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or after October 1, 2020 and October 1, 2022, WML may redeem the 2024 WML Notes and 2027 WML Notes, respectively, in whole or in part, at a premium decreasing annually from 102.438% and 102.75%, respectively, of the applicable principal amount to 100% of the applicable principal amount, plus accrued and unpaid interest. If WML undergoes a change of control (as defined in the WML Indentures), it must offer to repurchase the WML Notes at a price equal to 101% of the aggregate principal amount thereof, plus accrued and unpaid interest. In addition, WML may redeem the WML Notes, in whole but not in part, at a redemption price equal to 100% of the principal amount, plus accrued and unpaid interest, in response to any change in or amendment to certain tax laws or tax positions. Further, if a holder or beneficial owner of the WML Notes fails to meet certain requirements imposed by any Gaming Authority (as defined in the WML Indentures), WML may require the holder or beneficial owner to dispose of or redeem its WML Notes.</w:t>
      </w:r>
    </w:p>
    <w:p>
      <w:pPr>
        <w:spacing w:after="0" w:line="8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Upon the occurrence of (1) any event after which none of WML or any of its subsidiaries have such licenses, concessions, subconcessions or other permits or authorizations as necessary to conduct gaming activities in substantially the same scope as it does on the date of the WML Notes issuance,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WML and its subsidiaries, taken as a whole, each holder of the WML Notes will have the right to require WML to repurchase all or any part of such holders' WML Notes at a purchase price in cash equal to 100% of the principal amount thereof, plus accrued and unpaid interest.</w:t>
      </w:r>
    </w:p>
    <w:p>
      <w:pPr>
        <w:spacing w:after="0" w:line="86"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Wynn Macau Credit Facilities and the WML Finance Credit Facility. The WML Notes are not registered under the Securities Act of 1933, as amended (the "Securities Act") and the WML Notes are subject to restrictions on transferability and resale.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Senior Notes due 2021</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September 11, 2017, WML commenced a cash offer for any and all of the outstanding aggregate principal amount of the 2021 Notes. The Company accepted for purchase valid tenders with respect to $946.4 million and paid a tender premium of $27.2 million.</w:t>
      </w:r>
    </w:p>
    <w:p>
      <w:pPr>
        <w:spacing w:after="0" w:line="17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October 20, 2017, WML redeemed the remaining $403.6 million principal amount of the untendered 2021 Notes and discharged the indenture under which the 2021 Notes were issued. The Company paid a premium of $10.6 million related to this redemption.</w:t>
      </w:r>
    </w:p>
    <w:p>
      <w:pPr>
        <w:spacing w:after="0" w:line="170"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In connection with the WML Notes issuance and the 2021 Notes cash tender offer and subsequent redemption, the Company recorded a loss on extinguishment of debt of $33.1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("Wynn America"), an indirect wholly owned subsidiary of Wynn Resorts, Limited.</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April 24, 2017, the Company amended the Wynn America Credit Facilities to, among other things, extend the maturity of portions of the credit facilities. Of the $875 million WA Senior Term Loan Facility I, $69.6 million matures in November 2020 with repayments in quarterly installments of $1.7 million commencing in June 2018 and a final installment of $52.2 million in November 2020, and $805.4 million matures in December 2021 with repayments in quarterly installments of $20.1 million commencing in March 2020 and a final installment of $664.5 million in December 2021. The WA Senior Term Loan Facility II matures in December 2021 with no required repayments until maturity in December 2021. Of the $375 million WA Senior Revolving Credit Facility, $42 million matures in November 2019 and $333 million matures in December 2021. In connection with the amendment, the Company recorded a loss on extinguishment of debt of $1.5 million.</w:t>
      </w:r>
    </w:p>
    <w:p>
      <w:pPr>
        <w:spacing w:after="0" w:line="18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December 31, 2017, the Company had available borrowing capacity of $357.3 million, net of $17.7 million in outstanding letters of credit, under the WA Senior Revolving Credit Facility.</w:t>
      </w:r>
    </w:p>
    <w:p>
      <w:pPr>
        <w:spacing w:after="0" w:line="170"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Subject to certain exceptions, the Wynn America Credit Facilities bear interest at either base rate plus 0.75% per annum or LIBOR plus 1.75% per annum. As of December 31, 2017 and 2016, the interest rate was 3.32% and 2.52%, respectively. The annual fee required to pay for unborrowed amounts, if any, is 0.30% per annum, payable quarterly in arrears, calculated based on the daily average of the unborrowed amounts under such credit facilities.</w:t>
      </w:r>
    </w:p>
    <w:p>
      <w:pPr>
        <w:spacing w:after="0" w:line="14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Wynn Boston Harbor opens, the Maximum Consolidated Senior Secured Net Leverage Ratio is not to exceed 2.75 to 1. Commencing with the fiscal quarter ending December 31, 2015, the Minimum Consolidated EBITDA is not to be less than $200.0 million.</w:t>
      </w:r>
    </w:p>
    <w:p>
      <w:pPr>
        <w:spacing w:after="0" w:line="18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Company has provided a completion guaranty in favor of the lenders under the Wynn America Credit Facilities to support the development of Wynn Boston Harbor.</w:t>
      </w:r>
    </w:p>
    <w:p>
      <w:pPr>
        <w:spacing w:after="0" w:line="17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Wynn America and the guarantors have entered into a security agreement (as amended from time to time)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May 2013, Wynn Las Vegas, LLC and Wynn Las Vegas Capital Corp. ("Capital Corp." and together with Wynn Las Vegas, LLC, the "Issuers") issued the $500 million 4 1/4% Senior Notes due 2023 (the "2023 Notes") pursuant to an indenture, dated as of May 22, 2013 (the "2023 Indenture"), among the Issuers, the Guarantors (as defined below) and U.S. Bank National Association, as trustee (the "Trustee"). The 2023 Notes were issued at par. The Issuers used the net proceeds from the 2023 Notes to cover the cost of extinguishing the 7 7/8% First Mortgage Notes due November 2017.</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2025 Notes and 2027 WLV Notes (both defined below). The 2023 Notes are unsecured, except by the first priority pledge by Wynn Las Vegas Holdings, LLC ("WLVH"), a direct wholly owned subsidiary of Wynn America, of its equity interests in Wynn Las Vegas, LLC. Such equity interests in Wynn Las Vegas, LLC also secure the Issuers' 2025 Notes and 2027 WLV Notes. If Wynn Resorts receives an investment grade rating from one or more ratings agencies, the first priority pledge securing the 2023 Notes will be released.</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jc w:val="both"/>
        <w:ind w:right="20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of interest when due on the 2023 Notes; default in payment of the principal, or premium, if any, when due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February 2015, the Issuers issued the $1.8 billion 5 1/2% Senior Notes due 2025 (the "2025 Notes") pursuant to an indenture, dated as of February 18, 2015 (the "2025 Indenture"), among the Issuers, the Guarantors and the Trustee. The 2025 Notes were issued at par. The Company used the net proceeds from the 2025 Notes to cover the cost of extinguishing the 7 7/8% First Mortgage Notes due May 1, 2020 (the "7 7/8% 2020 Notes") and the 7 3/4% First Mortgage Notes due August 15, 2020 (the "7 3/4% 2020 Notes" and together with the 7 7/8% 2020 Notes, the "2020 Notes") and for general corporate purposes.</w:t>
      </w:r>
    </w:p>
    <w:p>
      <w:pPr>
        <w:spacing w:after="0" w:line="13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the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2023 Notes and 2027 WLV Notes. The 2025 Notes are unsecured, except by the first priority pledge by WLVH of its equity interests in Wynn Las Vegas, LLC. Such equity interests in Wynn Las Vegas, LLC also secure the 2023 Notes and 2027 WLV Notes. If Wynn Resorts receives an investment grade rating from one or more ratings agencies, the first priority pledge securing the 2025 Notes will be released.</w:t>
      </w:r>
    </w:p>
    <w:p>
      <w:pPr>
        <w:spacing w:after="0" w:line="13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2025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effectively subordinated in right of payment to all of such existing and future secured debt (to the extent of the collateral securing such debt).</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jc w:val="both"/>
        <w:ind w:right="200" w:firstLine="432"/>
        <w:spacing w:after="0" w:line="302" w:lineRule="auto"/>
        <w:rPr>
          <w:sz w:val="20"/>
          <w:szCs w:val="20"/>
          <w:color w:val="auto"/>
        </w:rPr>
      </w:pPr>
      <w:r>
        <w:rPr>
          <w:rFonts w:ascii="Arial" w:cs="Arial" w:eastAsia="Arial" w:hAnsi="Arial"/>
          <w:sz w:val="16"/>
          <w:szCs w:val="16"/>
          <w:color w:val="auto"/>
        </w:rPr>
        <w:t>Events of default under the 2025 Indenture include, among others, the following: default for 30 days in the payment of interest when due on the 2025 Notes; default in payment of the principal, or premium, if any, when due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Senior Notes due 2027</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On May 11, 2017, the Issuers issued the $900 million 5 1/4% Senior Notes due 2027 (the "2027 WLV Notes") pursuant to an indenture, dated as of May 11, 2017 (the "2027 Indenture"), among the Issuers, the Guarantors and the Trustee. The 2027 WLV Notes were issued at par. The Issuers used the net proceeds from the 2027 WLV Notes and cash on hand to fund the cost of extinguishing the 5 3/8% First Mortgage Notes due 2022 (the "2022 Notes").</w:t>
      </w:r>
    </w:p>
    <w:p>
      <w:pPr>
        <w:spacing w:after="0" w:line="1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2027 WLV Notes will mature on May 15, 2027 and bear interest at the rate of 5 1/4% per annum. The Issuers may, at their option, redeem the 2027 WLV Notes, in whole or in part, at any time or from time to time prior to their stated maturity. The redemption price for 2027 WLV Notes that are redeemed before February 15, 2027 will be equal to the greater of (a) 100% of the principal amount of the 2027 WLV Notes to be redeemed and (b) a "make-whole" amount described in the 2027 Indenture, plus in either case accrued and unpaid interest, if any, to, but not including, the redemption date. The redemption price for the 2027 WLV Notes that are redeemed on or after February 15, 2027 will be equal to 100% of the principal amount of the 2027 WLV Notes to be redeemed, plus accrued and unpaid interest, if any, to, but not including, the redemption date. In the event of a change of control triggering event, the Issuers will be required to offer to repurchase the 2027 WLV Notes at 101% of the principal amount, plus accrued and unpaid interest, if any, to, but not including, the repurchase date. The 2027 WLV Notes are also subject to mandatory redemption requirements imposed by gaming laws and regulations of gaming authorities in Nevada.</w:t>
      </w:r>
    </w:p>
    <w:p>
      <w:pPr>
        <w:spacing w:after="0" w:line="19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2027 WLV Notes are the Issuers' senior unsecured obligations and rank pari passu in right of payment with the Issuers' 2023 Notes and 2025 Notes and rank equally in right of payment with the Issuers' guarantee of the Wynn America Credit Facilities, and rank senior in right of payment to all of the Issuers' existing and future subordinated debt. The 2027 WLV Notes are effectively subordinated in right of payment to all of the Issuers' existing and future secured debt (to the extent of the value of the collateral securing such debt), and structurally subordinated to all of the liabilities of any of the Issuers' subsidiaries that do not guarantee the 2027 WLV Notes.</w:t>
      </w:r>
    </w:p>
    <w:p>
      <w:pPr>
        <w:spacing w:after="0" w:line="188"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2027 WLV Notes are unsecured, except for the first priority pledge by WLVH of its equity interests in Wynn Las Vegas, LLC. Such equity interests in Wynn Las Vegas, LLC also secure the 2023 Notes and 2025 Notes. If Wynn Resorts, Limited receives an investment grade rating from one or more ratings agencies, the first priority pledge securing the 2027 WLV Notes will be released.</w:t>
      </w:r>
    </w:p>
    <w:p>
      <w:pPr>
        <w:spacing w:after="0" w:line="181"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The 2027 WLV Notes are jointly and severally guaranteed by all of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LLC's obligations under the 2027 Indenture and the 2027 WLV Notes if certain conditions set forth in the 2027 Indenture are met.</w:t>
      </w:r>
    </w:p>
    <w:p>
      <w:pPr>
        <w:spacing w:after="0" w:line="18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Events of default under the 2027 Indenture include, among others, the following: default for 30 days in the payment of interest when due on the 2027 WLV Notes; default in payment of the principal, or premium, if any, when due on the 2027 WLV</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Notes; failure to comply with certain covenants in the 2027 Indenture; and certain events of bankruptcy or insolvency. In the case of an event of default arising from certain events of bankruptcy or insolvency with respect to the Issuers or any Guarantor, all 2027 WLV Notes then outstanding will become due and payable immediately without further action or notice.</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Issuers and certain of their subsidiaries will guarantee and secure their obligations under the Wynn America Credit Facilities with liens on substantially all of their assets, with such liens limiting the amount of such obligations secured to 15% of their Total Assets (as defined in the indenture for the 2025 Notes).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2023 Notes, 2025 Notes and 2027 WLV Notes were offered pursuant to an exemption under the Securities Act. The 2023 Notes, 2025 Notes and 2027 WLV Notes were offered only to qualified institutional buyers in reliance on Rule 144A under the Securities Act or outside the United States to certain persons in reliance on Regulation S under the Securities Act. The 2023 Notes, 2025 Notes and 2027 WLV Notes have not been and will not be registered under the Securities Act or under any state securities laws. Therefore, the 2023 Notes, 2025 Notes and 2027 WLV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May 4, 2017, the Issuers commenced a cash tender offer for any and all of the outstanding 2022 Notes. The Company accepted for purchase valid tenders with respect to $498.0 million and paid a tender premium of $14.6 million.</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June 12, 2017, the Issuers redeemed the remaining $402.0 million of the untendered 2022 Notes and discharged the indenture under which the 2022 Notes were issued. The Company paid a premium of $10.8 million related to this redemption.</w:t>
      </w:r>
    </w:p>
    <w:p>
      <w:pPr>
        <w:spacing w:after="0" w:line="17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In connection with the 2027 WLV Notes issuance and the 2022 Notes cash tender offer and subsequent redemption, the Company recorded a loss on extinguishment of debt of $20.8 million.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February 2015, the Issuers commenced a cash tender offer for any and all of the outstanding 2020 Notes. The Company paid a tender premium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$98.9 million for all valid tenders. In May 2015 and August 2015, the Company redeemed the remaining untendered 2020 Notes and paid a premium of $5.9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connection with the 2025 Notes issuance and the 2020 cash tender offer and subsequent redemptions, the Company recorded a loss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debt of $123.9 million.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240" w:firstLine="405"/>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then-current trading price was appropriate because of, among other things, restrictions on most of the shares held by Aruze under the terms of the Stockholders Agreement (as defined below). Pursuant to its articles of incorporation, the Company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6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recorded the Redemption Note at fair value in accordance with applicable accounting guidance. As of December 31, 2017 and 2016, the fair value of the Redemption Note was $1.88 billion and $1.82 billion, respectively.</w:t>
      </w:r>
    </w:p>
    <w:p>
      <w:pPr>
        <w:spacing w:after="0" w:line="170"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Okada Parties have challenged the redemption of Aruze's shares and the Company is currently involved in litigation with those parties as well as related litigation. See further discussion in Note 14, "Commitments and Contingencies."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a stipulation between the parties, interest payments due on the Redemption Note are payable to the clerk of the court for deposit into the clerks trust account.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Cross Claim</w:t>
      </w:r>
    </w:p>
    <w:p>
      <w:pPr>
        <w:spacing w:after="0" w:line="225"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As further discussed in Note 14, "Commitments and Contingencies," there is a pending cross claim asserted by Elaine P. Wynn against Stephen A. Wynn, former Chairman of the Board and Chief Executive Officer ("Mr. Wynn"), Aruze, Wynn Resorts and Wynn Resorts' General Counsel (the "Wynn Cross Defendants").</w:t>
      </w:r>
    </w:p>
    <w:p>
      <w:pPr>
        <w:spacing w:after="0" w:line="18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and the 2027 Indenture each provides that if any event constitutes a "change of control" under the 2023 Indenture, it will constitute a change of control under the 2025 Indenture and the 2027 Indenture, respectively. If the Stockholders Agreement is determined not to be enforceable pursuant to Elaine P. Wynn's cross claim, Mr. Wynn would not beneficially own or control Elaine P. Wynn's shares, which could increase the likelihood that a change in control may occur under the Wynn Las Vegas, LLC debt documents. Under the 2023 Indenture, the 2025 Indenture and the 2027 Indenture, if (1) a change of control occurs and (2) at any time within 60 days after that occurrence, the 2023 Notes or the 2025 Notes, as applicable, are rated below investment grade by both rating agencies that rate such notes and, in the case of the 2027 Indenture, the ratings of the 2027 WLV Notes have decreased below the ratings assigned to the 2027 WLV Notes on the date they were issued, as described in the 2027 Indenture,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The Wynn Cross Defendants will vigorously defend against the claims asserted against them.</w:t>
      </w:r>
    </w:p>
    <w:p>
      <w:pPr>
        <w:spacing w:after="0" w:line="18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On February 12, 2018, counsel for Mr. Wynn advised the court hearing this matter that Mr. Wynn now agrees that the Stockholders Agreement no longer binds either Mr. Wynn or Elaine P. Wynn. There can be no assurance that the court will concur with the position now taken by Mr. Wynn, or that the Stockholders Agreement will in fact be deemed to no longer bind the parties thereto.</w:t>
      </w:r>
    </w:p>
    <w:p>
      <w:pPr>
        <w:spacing w:after="0" w:line="1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February 16, 2018, the Issuers commenced a solicitation of consents (the "Consent Solicitation") for a proposed amendment (the "Proposed Amendment") to the 2023 Indenture. The Proposed Amendment would conform the definition of change of control relating to ownership of equity interests in the Company to the terms of the 2025 Indenture and 2027 Indenture. Adoption of the Proposed Amendment requires the consent of holders of a majority in aggregate principal amount of the 2023 Notes. The Consent Solicitation will expire on March 6,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management believes the Company was in compliance with all debt covenants.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EE"/>
            </w:tcBorders>
          </w:tcPr>
          <w:p>
            <w:pPr>
              <w:spacing w:after="0"/>
              <w:rPr>
                <w:sz w:val="17"/>
                <w:szCs w:val="17"/>
                <w:color w:val="auto"/>
              </w:rPr>
            </w:pPr>
          </w:p>
        </w:tc>
        <w:tc>
          <w:tcPr>
            <w:tcW w:w="8920" w:type="dxa"/>
            <w:vAlign w:val="bottom"/>
          </w:tcPr>
          <w:p>
            <w:pPr>
              <w:jc w:val="center"/>
              <w:ind w:left="370"/>
              <w:spacing w:after="0" w:line="205" w:lineRule="exact"/>
              <w:rPr>
                <w:sz w:val="20"/>
                <w:szCs w:val="20"/>
                <w:color w:val="auto"/>
              </w:rPr>
            </w:pPr>
            <w:r>
              <w:rPr>
                <w:rFonts w:ascii="Arial" w:cs="Arial" w:eastAsia="Arial" w:hAnsi="Arial"/>
                <w:sz w:val="18"/>
                <w:szCs w:val="18"/>
                <w:b w:val="1"/>
                <w:bCs w:val="1"/>
                <w:color w:val="auto"/>
              </w:rPr>
              <w:t>WYNN RESORTS, LIMITED AND SUBSIDIARIES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892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21"/>
        </w:trPr>
        <w:tc>
          <w:tcPr>
            <w:tcW w:w="9940" w:type="dxa"/>
            <w:vAlign w:val="bottom"/>
            <w:gridSpan w:val="2"/>
          </w:tcPr>
          <w:p>
            <w:pPr>
              <w:ind w:left="260"/>
              <w:spacing w:after="0"/>
              <w:rPr>
                <w:sz w:val="20"/>
                <w:szCs w:val="20"/>
                <w:color w:val="auto"/>
              </w:rPr>
            </w:pPr>
            <w:r>
              <w:rPr>
                <w:rFonts w:ascii="Arial" w:cs="Arial" w:eastAsia="Arial" w:hAnsi="Arial"/>
                <w:sz w:val="18"/>
                <w:szCs w:val="18"/>
                <w:i w:val="1"/>
                <w:iCs w:val="1"/>
                <w:color w:val="auto"/>
              </w:rPr>
              <w:t>Scheduled Maturities of Long-Term Debt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9940" w:type="dxa"/>
            <w:vAlign w:val="bottom"/>
            <w:gridSpan w:val="2"/>
          </w:tcPr>
          <w:p>
            <w:pPr>
              <w:ind w:left="420"/>
              <w:spacing w:after="0"/>
              <w:rPr>
                <w:sz w:val="20"/>
                <w:szCs w:val="20"/>
                <w:color w:val="auto"/>
              </w:rPr>
            </w:pPr>
            <w:r>
              <w:rPr>
                <w:rFonts w:ascii="Arial" w:cs="Arial" w:eastAsia="Arial" w:hAnsi="Arial"/>
                <w:sz w:val="18"/>
                <w:szCs w:val="18"/>
                <w:color w:val="auto"/>
              </w:rPr>
              <w:t>Scheduled maturities of long-term debt as of December 31, 2017 were as follows (in thousands):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62,690</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2019</w:t>
            </w:r>
          </w:p>
        </w:tc>
        <w:tc>
          <w:tcPr>
            <w:tcW w:w="8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282,816</w:t>
            </w:r>
          </w:p>
        </w:tc>
      </w:tr>
      <w:tr>
        <w:trPr>
          <w:trHeight w:val="27"/>
        </w:trPr>
        <w:tc>
          <w:tcPr>
            <w:tcW w:w="10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616,879</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2021</w:t>
            </w:r>
          </w:p>
        </w:tc>
        <w:tc>
          <w:tcPr>
            <w:tcW w:w="8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2,336,413</w:t>
            </w:r>
          </w:p>
        </w:tc>
      </w:tr>
      <w:tr>
        <w:trPr>
          <w:trHeight w:val="27"/>
        </w:trPr>
        <w:tc>
          <w:tcPr>
            <w:tcW w:w="10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1,936,443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4,550,000</w:t>
            </w:r>
          </w:p>
        </w:tc>
      </w:tr>
      <w:tr>
        <w:trPr>
          <w:trHeight w:val="27"/>
        </w:trPr>
        <w:tc>
          <w:tcPr>
            <w:tcW w:w="1020" w:type="dxa"/>
            <w:vAlign w:val="bottom"/>
            <w:tcBorders>
              <w:bottom w:val="single" w:sz="8" w:color="CCEEFF"/>
            </w:tcBorders>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9,785,241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 and original issue discounts and premium, net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(99,231)</w:t>
            </w:r>
          </w:p>
        </w:tc>
      </w:tr>
      <w:tr>
        <w:trPr>
          <w:trHeight w:val="27"/>
        </w:trPr>
        <w:tc>
          <w:tcPr>
            <w:tcW w:w="10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Redemption Note fair value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(57,384)</w:t>
            </w:r>
          </w:p>
        </w:tc>
      </w:tr>
      <w:tr>
        <w:trPr>
          <w:trHeight w:val="237"/>
        </w:trPr>
        <w:tc>
          <w:tcPr>
            <w:tcW w:w="10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9,628,626</w:t>
            </w:r>
          </w:p>
        </w:tc>
      </w:tr>
      <w:tr>
        <w:trPr>
          <w:trHeight w:val="27"/>
        </w:trPr>
        <w:tc>
          <w:tcPr>
            <w:tcW w:w="10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estimated fair value of the Company's long-term debt, excluding the Redemption Note, as of December 31, 2017 and 2016,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$7.95 billion and $8.33 billion, respectively, compared to its carrying value, excluding debt issuance costs and original issue discount and premium, of $7.85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and $8.39 billion, respectively. The estimated fair value of the Company's long-term debt, excluding the Redemption Note, is based on recent trades,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and indicative pricing from market information (Level 2 inputs). See Note 2, "Summary of Significant Accounting Policies" for discussion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the Redemption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Share Redemption</w:t>
      </w:r>
    </w:p>
    <w:p>
      <w:pPr>
        <w:spacing w:after="0" w:line="225"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then-current trading price was appropriate because of, among other things, restrictions on most of the shares which were subject to the terms of an existing stockholder agreement. Pursuant to its articles of incorporation, the Company issued the Redemption Note to Aruze, a former stockholder and related party, in redemption of the shares. The Okada Parties have challenged the redemption of Aruze's shares and the Company is currently involved in litigation with those parties as well as related stockholder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periodically provides services to Mr. Wynn and certain executive officers and directors of the Company, including the personal use of employees, construction work and other personal services, for which Mr. Wynn, the officers and directors reimburse the Company. Mr. Wynn also reimburses the Company for personal usage of aircraft (subject to a $250,000 credit per calendar year) pursuant to a time-sharing agreement. Mr. Wynn and officers and directors have deposits with the Company to prepay any such items, which are replenished on an ongoing basis as needed. As of December 31, 2017 and 2016, Mr. Wynn and the officers and directors had a net deposit balance with the Company of $0.4 million and $0.3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4"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Mr. Wynn currently leases property at Wynn Las Vegas for use as his personal residence and pays Wynn Las Vegas, LLC annual rent at its fair market value of the accommodations based on independent third-party expert opinions of value. Pursuant to the 2013 Second Amended and Restated Agreement of Lease, as amended (the "Second A&amp;R Lease"), Mr. Wynn leased three fairway villas as his personal residence and paid $525,000 per year from November 5, 2013 through February 28, 2015, and $559,295 per year from March 1, 2015 through November 3, 2016. In December 2016, Mr. Wynn and Wynn Las Vegas, LLC replaced the Second A&amp;R Lease with a Third Amended and Restated Agreement of Lease, which was effective November 3, 2016 (the "Third A&amp;R Lease"), to reduce the space leased to Mr. Wynn as his personal residence and to adjust the annual rent paid to $305,680 per year. The lease, including each amendment and restatement, have been approved by the Audit Committee of the Board of Directors of Wynn Resorts and provides that Wynn Las Vegas, LLC pays for all capital improvements to the villas; certain services for, and maintenance of, the villas are included in the annual rent. The Third A&amp;R Lease will terminate no later than June 1, 2018, pursuant to the separation agreement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Purchase</w:t>
      </w:r>
    </w:p>
    <w:p>
      <w:pPr>
        <w:spacing w:after="0" w:line="225"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In May 2010, the Company entered into an employment agreement with Linda Chen, who is the Chief Operating Officer of Wynn Macau SA. The term of the employment agreement is through February 24, 2020. Under the terms of the employment agreement, the Company purchased a home in Macau for use by Ms. Chen and has made renovations to the home with total costs of $10.0 million through December 31, 2017.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or (c) at a price based on the applicable Discount Percentage in the event</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Plane Option Agreement</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was exercisable upon 30 days written notice and at a price equal to the book value of such aircraft, and terminated on February 6,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surname and Mr. Wynn's persona in connection with its casino resorts.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Pursuant to the separation agreement described below, if the Company ceases to use the "Wynn" surname and trademark, the Company will assign all of its right, title, and interest in the "Wynn" trademark to Mr. Wynn and terminate the Surname Rights Agreement.</w:t>
      </w:r>
    </w:p>
    <w:p>
      <w:pPr>
        <w:spacing w:after="0" w:line="1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From March 1, 2015 to September 30, 2015, Wynn Resorts Development, LLC, a direct subsidiary of the Company ("WRD"), was party to a consulting agreement with a consulting firm of which Clark T. Randt, Jr., current member of the Company's Board of Directors, is the president and sole owner, pursuant to which Ambassador Randt provided advice to WRD. The consulting agreement was terminated in connection with Ambassador Randt joining the Company's Board of Directors. WRD paid the consulting firm $0.6 million in fees and reimbursed expenses under the consulting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225" w:lineRule="exact"/>
        <w:rPr>
          <w:sz w:val="20"/>
          <w:szCs w:val="20"/>
          <w:color w:val="auto"/>
        </w:rPr>
      </w:pPr>
    </w:p>
    <w:p>
      <w:pPr>
        <w:ind w:right="60" w:firstLine="459"/>
        <w:spacing w:after="0" w:line="279" w:lineRule="auto"/>
        <w:rPr>
          <w:sz w:val="20"/>
          <w:szCs w:val="20"/>
          <w:color w:val="auto"/>
        </w:rPr>
      </w:pPr>
      <w:r>
        <w:rPr>
          <w:rFonts w:ascii="Arial" w:cs="Arial" w:eastAsia="Arial" w:hAnsi="Arial"/>
          <w:sz w:val="17"/>
          <w:szCs w:val="17"/>
          <w:color w:val="auto"/>
        </w:rPr>
        <w:t>On February 6, 2018, Mr. Wynn resigned as Chairman of the Board of Directors and Chief Executive Officer of the Company and on February 15, 2018, Mr. Wynn entered into a separation agreement with the Company specifying the terms of his termination of service with the Company (the "Separation Agreement"). The Separation Agreement terminates Mr. Wynn's employment agreement with the Company and confirms that Mr. Wynn is not entitled to any severance payment or other compensation from the Company under his employment agreement.</w:t>
      </w:r>
    </w:p>
    <w:p>
      <w:pPr>
        <w:spacing w:after="0" w:line="171" w:lineRule="exact"/>
        <w:rPr>
          <w:sz w:val="20"/>
          <w:szCs w:val="20"/>
          <w:color w:val="auto"/>
        </w:rPr>
      </w:pPr>
    </w:p>
    <w:p>
      <w:pPr>
        <w:ind w:right="160" w:firstLine="459"/>
        <w:spacing w:after="0" w:line="270" w:lineRule="auto"/>
        <w:rPr>
          <w:sz w:val="20"/>
          <w:szCs w:val="20"/>
          <w:color w:val="auto"/>
        </w:rPr>
      </w:pPr>
      <w:r>
        <w:rPr>
          <w:rFonts w:ascii="Arial" w:cs="Arial" w:eastAsia="Arial" w:hAnsi="Arial"/>
          <w:sz w:val="17"/>
          <w:szCs w:val="17"/>
          <w:color w:val="auto"/>
        </w:rPr>
        <w:t>Under the Separation Agreement, Mr. Wynn agrees not to compete against the Company for a period of two years and to provide reasonable cooperation and assistance to the Company in connection with any private litigation or arbitration and to the Board of Directors of the Company or any committee of the Board of Directors in connection with any investigation by the Company related to his service with the Company. The Separation Agreement provides that (i) Mr. Wynn's lease of his personal residence at Wynn Las Vegas will terminate not later than June 1, 2018 and until such date Mr. Wynn shall continue to pay rent at its fair market value as described above, unless Mr. Wynn elects to terminate the lease before such date, (ii) Mr. Wynn's current healthcare coverage will terminate on December 31, 2018, and (iii) administrative support for Mr. Wynn will terminate on May 31, 2018. Additionally, in order to conduct any sales of Company shares in an orderly fashion in the event that Mr. Wynn is permitted to and elects to sell any shares that he owns, the Company has agreed to enter into a registration rights agreement with Mr. Wynn, with Mr. Wynn to reimburse the Company for its reasonable expenses. Pursuant to such registration rights agreement, Mr. Wynn may not sell during any quarter after the date of such agreement more than one-third of the Company shares he holds as of the date of such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640" w:firstLine="432"/>
        <w:spacing w:after="0" w:line="259" w:lineRule="auto"/>
        <w:rPr>
          <w:sz w:val="20"/>
          <w:szCs w:val="20"/>
          <w:color w:val="auto"/>
        </w:rPr>
      </w:pPr>
      <w:r>
        <w:rPr>
          <w:rFonts w:ascii="Arial" w:cs="Arial" w:eastAsia="Arial" w:hAnsi="Arial"/>
          <w:sz w:val="18"/>
          <w:szCs w:val="18"/>
          <w:color w:val="auto"/>
        </w:rPr>
        <w:t>The Company's Board of Directors has authorized an equity repurchase program. As of December 31, 2017, the Company had $1.0 billion in repurchase authority under the program, which may include repurchases from time to time through open market purchases or negotiated transactions, depending on market conditions. During the years ended December 31, 2017, 2016 and 2015, no repurchases were made under the equity repurchase program.</w:t>
      </w:r>
    </w:p>
    <w:p>
      <w:pPr>
        <w:spacing w:after="0" w:line="18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During the years ended December 31, 2017, 2016 and 2015, the Company withheld a total of 148,413 shares, 198,942 shares and 50,869 shares, respectively, in satisfaction of tax withholding obligations on vested restricted stock.</w:t>
      </w:r>
    </w:p>
    <w:p>
      <w:pPr>
        <w:spacing w:after="0" w:line="170"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In each quarter of 2017 and 2016, the Company paid a cash dividend of $0.50 per share. During the years ended December 31, 2017 and 2016, the Company recorded $204.5 million and $202.2 million as a reduction of retained earnings from cash dividends declared.</w:t>
      </w:r>
    </w:p>
    <w:p>
      <w:pPr>
        <w:spacing w:after="0" w:line="147" w:lineRule="exact"/>
        <w:rPr>
          <w:sz w:val="20"/>
          <w:szCs w:val="20"/>
          <w:color w:val="auto"/>
        </w:rPr>
      </w:pPr>
    </w:p>
    <w:p>
      <w:pPr>
        <w:jc w:val="both"/>
        <w:ind w:left="60" w:firstLine="405"/>
        <w:spacing w:after="0" w:line="264" w:lineRule="auto"/>
        <w:rPr>
          <w:sz w:val="20"/>
          <w:szCs w:val="20"/>
          <w:color w:val="auto"/>
        </w:rPr>
      </w:pPr>
      <w:r>
        <w:rPr>
          <w:rFonts w:ascii="Arial" w:cs="Arial" w:eastAsia="Arial" w:hAnsi="Arial"/>
          <w:sz w:val="18"/>
          <w:szCs w:val="18"/>
          <w:color w:val="auto"/>
        </w:rPr>
        <w:t>In the first quarter of 2015, the Company paid a cash dividend of $1.50 per share. In each of the second, third and fourth quarters of 2015, the Company paid a cash dividend of $0.50 per share. During the year ended December 31, 2015, the Company recorded $304.4 million as a reduction of retained earnings from cash dividends declared.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w:t>
      </w:r>
    </w:p>
    <w:p>
      <w:pPr>
        <w:spacing w:after="0" w:line="225"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6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Aruze's 24,549,222 shares of Wynn Resorts' common stock. For more information, see Note 14,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October 2009, WML, an indirect wholly owned subsidiary of the Company and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15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On September 15, 2017, WML paid a dividend of HK$0.21 per share for a total of $139.4 million. The Company's share of this dividend was $100.6 million with a reduction of $38.8 million to noncontrolling interests in the accompanying Consolidated Balance Sheets.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June 20, 2017, WML paid a dividend of HK$0.42 per share for a total of $279.9 million. The Company's share of this dividend was $202.0 million with a reduction of $77.9 million to noncontrolling interests in the accompanying Consolidated Balance Sheets.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April 27, 2016, WML paid a dividend of HK$0.60 per share for a total of $401.9 million. The Company's share of this dividend was $290.1 million with a reduction of $111.8 million to noncontrolling interests in the accompanying Consolidated Balance Sheets.</w:t>
      </w:r>
    </w:p>
    <w:p>
      <w:pPr>
        <w:spacing w:after="0" w:line="17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March 31, 2015, WML paid a dividend of HK$1.05 per share for a total of $702.6 million. The Company's share of this dividend was $507.1 million with a reduction of $195.5 million to noncontrolling interests in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Joint Venture</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December 2016, the Company sold a 49.9% interest in the Retail Joint Venture to Crown for consideration of $292.0 million. In November 2017, the Company contributed additional retail space to the Retail Joint Venture and received cash of $180.0 million from Crown. For more information on these transactions, see Note 3, "Retail Joint Venture." In connection with these transactions, the Company recorded $15.9 million and $13.2 million of noncontrolling interests in the accompanying Consolidated Balance Sheets during the years ended December 31, 2016 and 2017, respectively. Distributions from the Retail Joint Venture to Crown during the year ended December 31, 2017 resulted in an $11.4 million decrease to noncontrolling interests in the accompanying Consolidated Balance Sheets.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For the years ended December 31, 2017 and 2016, there was no employer matching cap. For the year ended December 31, 2015, there was a one-time annual matching cap per employee of $1,200. During the years ended December 31, 2017, 2016 and 2015, the Company recorded matching contribution expenses of $6.1 million, $6.1 million and $3.2 million, respectively.</w:t>
      </w:r>
    </w:p>
    <w:p>
      <w:pPr>
        <w:spacing w:after="0" w:line="19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During the years ended December 31, 2017, 2016 and 2015, the Company recorded matching contribution expenses of $15.8 million, $12.9 million and $11.2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Wynn Las Vegas, LLC contributes to a multi-employer defined benefit pension plan for certain of its union employees under the terms of the Southern Nevada Culinary and Bartenders Union collective-bargaining agreement, which expires in July 2021. The legal name of the multi-employer pension plan is the Southern Nevada Culinary and Bartenders Pension Plan (the "Plan") (EIN: 88-6016617 Plan Number: 1). The Company recorded expenses of $11.5 million, $9.3 million and $9.4 million for contributions to the Plan for the years ended December 31, 2017, 2016 and 2015, respectively. For the 2016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2016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Company's 2002 Stock Incentive Plan, as amended and restated (the "WRL 2002 Plan"), allowed it to grant stock options and nonvested shares of Wynn Resorts' common stock to eligible directors, officers, employees, and consultants of the Company. Under the WRL 2002 Plan, a maximum of 12,750,000 shares of the Company's common stock was reserved for issuance.</w:t>
      </w:r>
    </w:p>
    <w:p>
      <w:pPr>
        <w:spacing w:after="0" w:line="18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17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December 31, 2017, the Company had an aggregate of 3,179,113 shares of its common stock available for grant as share-based awards under the Omnibus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under the Omnibus Plan for the year ended December 31,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1,306,260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(661,800)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2017</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644,460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73.93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61,846,602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Fully vested and expected to vest as of December 31, 2017</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644,460</w:t>
            </w:r>
          </w:p>
        </w:tc>
        <w:tc>
          <w:tcPr>
            <w:tcW w:w="40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73.93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9"/>
              </w:rPr>
              <w:t>61,846,602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as of December 31, 2017</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458,010</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40,980,802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14"/>
          </w:tcPr>
          <w:p>
            <w:pPr>
              <w:ind w:left="440"/>
              <w:spacing w:after="0"/>
              <w:rPr>
                <w:sz w:val="20"/>
                <w:szCs w:val="20"/>
                <w:color w:val="auto"/>
              </w:rPr>
            </w:pPr>
            <w:r>
              <w:rPr>
                <w:rFonts w:ascii="Arial" w:cs="Arial" w:eastAsia="Arial" w:hAnsi="Arial"/>
                <w:sz w:val="18"/>
                <w:szCs w:val="18"/>
                <w:color w:val="auto"/>
                <w:w w:val="91"/>
              </w:rPr>
              <w:t>The following is provided for stock options under the Omnibus Plan (in thousands, except weighted average grant date fair value):</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31.83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50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29,716</w:t>
            </w: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700"/>
              <w:spacing w:after="0"/>
              <w:rPr>
                <w:sz w:val="20"/>
                <w:szCs w:val="20"/>
                <w:color w:val="auto"/>
              </w:rPr>
            </w:pPr>
            <w:r>
              <w:rPr>
                <w:rFonts w:ascii="Arial" w:cs="Arial" w:eastAsia="Arial" w:hAnsi="Arial"/>
                <w:sz w:val="18"/>
                <w:szCs w:val="18"/>
                <w:color w:val="auto"/>
              </w:rPr>
              <w:t>1,684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from the exercise of stock options</w:t>
            </w:r>
          </w:p>
        </w:tc>
        <w:tc>
          <w:tcPr>
            <w:tcW w:w="150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61,506</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3,026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December 31, 2017, there was $3.6 million of unamortized compensation expense related to stock options, which is expected to be recognized over a weighted average period of 1.29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Nonvested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nonvested share activity under the Omnibus Plan for the year ended December 31,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January 1, 2017</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706,341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197.94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460,584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98.21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the share awards under the Omnibus Plan (in thousands, except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109.28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shares vested</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45,801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39,380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22,877</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As of December 31, 2017, there was $37.4 million of unamortized compensation expense related to nonvested shares, which is expected to be recognized over a weighted average period of 3.77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 Plan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WML adopted a stock incentive plan, effective September 16, 2009, for the grant of stock options to purchase shares of WML to eligible directors and employees of its subsidiaries (the "Share Option Plan"). The Share Option Plan is administered by WML's Board of Directors, which has the discretion on the vesting and service requirements, exercise price, performance targets to exercise if applicable and other conditions, subject to certain limits. A maximum of 518,750,000 shares have been reserved for issuance under the Share Option Plan. As of December 31, 2017, there were 511,738,000 shares available for issuance under the Share Option Plan.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stock option activity under the Share Option Plan for the year ended December 31, 2017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6,290,000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1,208,000</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2.26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as of December 31, 2017</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7,006,000</w:t>
            </w:r>
          </w:p>
        </w:tc>
        <w:tc>
          <w:tcPr>
            <w:tcW w:w="1160" w:type="dxa"/>
            <w:vAlign w:val="bottom"/>
            <w:tcBorders>
              <w:bottom w:val="single" w:sz="8" w:color="CCEEFF"/>
            </w:tcBorders>
            <w:gridSpan w:val="2"/>
          </w:tcPr>
          <w:p>
            <w:pPr>
              <w:jc w:val="right"/>
              <w:ind w:right="848"/>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85"/>
              </w:rPr>
              <w:t>2.32</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b w:val="1"/>
                <w:bCs w:val="1"/>
                <w:color w:val="auto"/>
              </w:rPr>
              <w:t>6,539,606</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Fully vested and expected to vest as of December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7,006,000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6,539,606</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Exercisable as of December 31, 2017</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3,074,000</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2.66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1,932,866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stock options under the Share Option Plan (in thousands, except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from the exercise of stock options</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December 31, 2017, there was $1.4 million of unamortized compensation expense related to stock options, which is expected to be recognized over a weighted average period of 1.6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Award Plan</w:t>
      </w:r>
    </w:p>
    <w:p>
      <w:pPr>
        <w:spacing w:after="0" w:line="225" w:lineRule="exact"/>
        <w:rPr>
          <w:sz w:val="20"/>
          <w:szCs w:val="20"/>
          <w:color w:val="auto"/>
        </w:rPr>
      </w:pPr>
    </w:p>
    <w:p>
      <w:pPr>
        <w:jc w:val="both"/>
        <w:ind w:right="20" w:firstLine="405"/>
        <w:spacing w:after="0" w:line="276" w:lineRule="auto"/>
        <w:rPr>
          <w:sz w:val="20"/>
          <w:szCs w:val="20"/>
          <w:color w:val="auto"/>
        </w:rPr>
      </w:pPr>
      <w:r>
        <w:rPr>
          <w:rFonts w:ascii="Arial" w:cs="Arial" w:eastAsia="Arial" w:hAnsi="Arial"/>
          <w:sz w:val="17"/>
          <w:szCs w:val="17"/>
          <w:color w:val="auto"/>
        </w:rPr>
        <w:t>On June 30, 2014, the Company's majority-owned subsidiary, WML, approved and adopted the WML Employee Ownership Scheme (the "Share Award Plan"). The Share Award Plan allows for the grant of nonvested shares of WML's common stock to eligible employees. The Share Award Plan is administered by WML's Board of Directors and has been mandated under the plan to allot, issue and process the transfer of a maximum of 50,000,000 shares. The Board of Directors has discretion on the vesting and service requirements, exercise price and other conditions, subject to certain limits. As of December 31, 2017, there were 34,838,793 shares available for issuance under the Share Award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nonvested share activity under the Share Award Plan for the year ended December 31, 2017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Nonvested as of January 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14,009,134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2,726,097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(1,574,024)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Nonvested as of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11,842,707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provided for share awards under the Share Award Plan (in thousands, except weighted average grant date fair value):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Fair value of shares vested</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6,884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color w:val="auto"/>
        </w:rPr>
        <w:t>As of December 31, 2017, there was $11.7 million of unamortized compensation expense, which is expected to be recognized over a weighted average period of 2.53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Compensation Cost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is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Pre-opening expenses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38,475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44,051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38,825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For the year ended December 31, 2017, the Company recorded $23.7 million of stock-based compensation expense associated with these awards and issued $21.9 million of immediately vested shares in December 2017 and $1.8 million of immediately vested shares in January 2018 to settle this liability. For the year ended December 31, 2016, the Company recorded $19.2 million of stock-based compensation expense associated with these awards and issued immediately vested shares in January 2017 to settle this liability.</w:t>
      </w:r>
    </w:p>
    <w:p>
      <w:pPr>
        <w:spacing w:after="0" w:line="12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During the years ended December 31, 2017, 2016 and 2015, the Company recognized income tax benefits in the Consolidated Statements of Income of $10.8 million, $10.4 million and $8.3 million, respectively, related to stock-based compensation expense. Additionally, during the years ended December 31, 2017, 2016 and 2015, the Company realized tax benefits of $25.4 million, $6.7 million and $6.7 million, respectively, related to stock option exercises and restricted stock vesting that occurred in those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Company uses the Black-Scholes option pricing model to determine the estimated fair value for stock options.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Omnibus Plan and the Hong Kong Exchange Fund rates for stock options issued under the Share Option Plan,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stock options granted under the Omnibus Plan was estimated on the date of grant using the following weighted average assumptions:</w:t>
      </w:r>
    </w:p>
    <w:p>
      <w:pPr>
        <w:spacing w:after="0" w:line="25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stock options granted under WML's Share Option Plan was estimated on the date of grant using the following weighted average assumptions: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income before taxes for domestic and foreign operations consisted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90,206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Foreign</w:t>
            </w:r>
          </w:p>
        </w:tc>
        <w:tc>
          <w:tcPr>
            <w:tcW w:w="3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470,063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219,697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311,127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560,269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310,597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289,247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104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(benefit) provision attributable to income before income taxes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(19,856)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2,044</w:t>
            </w:r>
          </w:p>
        </w:tc>
      </w:tr>
      <w:tr>
        <w:trPr>
          <w:trHeight w:val="27"/>
        </w:trPr>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(18,131)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1,225</w:t>
            </w: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4,100</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37"/>
        </w:trPr>
        <w:tc>
          <w:tcPr>
            <w:tcW w:w="6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(310,854)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6,356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6,498</w:t>
            </w:r>
          </w:p>
        </w:tc>
      </w:tr>
      <w:tr>
        <w:trPr>
          <w:trHeight w:val="27"/>
        </w:trPr>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(328,985)</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7,723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760" w:type="dxa"/>
            <w:vAlign w:val="bottom"/>
            <w:gridSpan w:val="8"/>
          </w:tcPr>
          <w:p>
            <w:pPr>
              <w:ind w:left="440"/>
              <w:spacing w:after="0"/>
              <w:rPr>
                <w:sz w:val="20"/>
                <w:szCs w:val="20"/>
                <w:color w:val="auto"/>
              </w:rPr>
            </w:pPr>
            <w:r>
              <w:rPr>
                <w:rFonts w:ascii="Arial" w:cs="Arial" w:eastAsia="Arial" w:hAnsi="Arial"/>
                <w:sz w:val="18"/>
                <w:szCs w:val="18"/>
                <w:color w:val="auto"/>
                <w:w w:val="91"/>
              </w:rPr>
              <w:t>The income tax (benefit) provision differs from that computed at the federal statutory corporate tax rate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6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Foreign tax credits, net of valuation allowance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Non-taxable foreign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Foreign tax rate differential</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rate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Repatriation of foreign earnings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97.9 %</w:t>
            </w:r>
          </w:p>
        </w:tc>
      </w:tr>
      <w:tr>
        <w:trPr>
          <w:trHeight w:val="27"/>
        </w:trPr>
        <w:tc>
          <w:tcPr>
            <w:tcW w:w="6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Effective tax rate</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November 2010, Wynn Macau SA received an exemption from Macau's 12% Complementary Tax on casino gaming profits, thereby exempting the casino gaming profits of Wynn Macau SA through December 31, 2015. In October 2015, Wynn Macau SA received an additional five-year exemption, effective January 1, 2016, from Macau's Complementary Tax on casino gaming profits through December 31, 2020. Accordingly, for the years ended December 31, 2017, 2016 and 2015, the Company was exempted from the payment of $63.0 million, $27.3 million and $41.6 million in such taxes or $0.61, $0.27 and $0.41 per diluted share, respectively. The Company's non-gaming profits remain subject to the Macau Complementary Tax and its casino winnings remain subject to the Macau special gaming tax and other levies in accordance with its concession agreement.</w:t>
      </w:r>
    </w:p>
    <w:p>
      <w:pPr>
        <w:spacing w:after="0" w:line="16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July 2011, Wynn Macau SA received an extension of its agreement with the Macau government that provides for an annual payment of MOP 15.5 million (approximately $1.9 million) as complementary tax otherwise due by stockholders of Wynn Macau SA on dividend distributions through 2015. In August 2016, Wynn Macau SA received an extension of the agreement for an additional five years applicable to tax years 2016 through 2020. The extension agreement provides for an annual payment of MOP 12.8 million (approximately $1.6 million). As a result of the stockholder dividend tax agreements, income tax expense includes $1.6 million for each of the years ended December 31, 2017 and 2016 and $1.9 million for the year ended December 31, 2015.</w:t>
      </w:r>
    </w:p>
    <w:p>
      <w:pPr>
        <w:spacing w:after="0" w:line="15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("FTC") up to 35% of foreign source income. In February 2010, the Company and the IRS entered into a Pre-Filing Agreement ("PFA") providing that the Macau special gaming tax qualifies as a tax paid in lieu of an income tax and could be claimed as a U.S. FTC.</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 xml:space="preserve">In December 2017, the U.S. Tax Cuts and Jobs Act ("U.S tax reform") was enacted. Also in December 2017, the SEC staff issued Staff Accounting Bulletin 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which allows the Company to record provisional amounts during a measurement period not to extend beyond one year from the</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enactment date. For the year ended December 31, 2017, the Company recorded a provisional net tax benefit of $339.9 million. The provisional net tax benefit primarily consists of a $273.9 million provisional tax benefit from the increase in the foreign tax credit carryovers, net of valuation allowance, generated as a result of the deemed repatriation of deferred foreign income as well as a $66.0 million provisional tax benefit resulting from the revaluation of the Company's net deferred tax liabilities due to the decrease in the U.S. corporate tax rate from 35% to 21%. This provisional net tax benefit is based on the Company's initial analysis of the U.S. tax reform and may be adjusted over the next 12 months as the Company collects additional information and evaluates any regulatory guidance. Any subsequent adjustment to this amount will be recorded to the current income tax expense in the period in which the amount is determined.</w:t>
      </w:r>
    </w:p>
    <w:p>
      <w:pPr>
        <w:spacing w:after="0" w:line="1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years ended December 31, 2017, 2016 and 2015, the Company recognized tax benefits of $746.6 million, $170.5 million and $264.1 million, respectively (net of valuation allowance and uncertain tax positions), for FTCs generated from the earnings of Wynn Macau SA.</w:t>
      </w:r>
    </w:p>
    <w:p>
      <w:pPr>
        <w:spacing w:after="0" w:line="17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Accounting standards require recognition of a future tax benefit to the extent that realization of such benefit is more likely than not; otherwise, a valuation allowance is applied. During the years ended December 31, 2017 and 2016, the aggregate valuation allowance for deferred tax assets increased by $103.7 million and decreased by $44.2 million, respectively. The 2017 increase is primarily related to FTC carryforwards and other foreign deferred tax assets that are not considered more likely than not realizable. The 2016 decrease is primarily related to a release of valuation allowance on prior year FTCs expected to be utilized as a result of the sale of a 49.9% ownership interest in Retail Joint Venture.</w:t>
      </w:r>
    </w:p>
    <w:p>
      <w:pPr>
        <w:spacing w:after="0" w:line="173" w:lineRule="exact"/>
        <w:rPr>
          <w:sz w:val="20"/>
          <w:szCs w:val="20"/>
          <w:color w:val="auto"/>
        </w:rPr>
      </w:pPr>
    </w:p>
    <w:p>
      <w:pPr>
        <w:jc w:val="both"/>
        <w:ind w:right="520" w:firstLine="432"/>
        <w:spacing w:after="0" w:line="286" w:lineRule="auto"/>
        <w:rPr>
          <w:sz w:val="20"/>
          <w:szCs w:val="20"/>
          <w:color w:val="auto"/>
        </w:rPr>
      </w:pPr>
      <w:r>
        <w:rPr>
          <w:rFonts w:ascii="Arial" w:cs="Arial" w:eastAsia="Arial" w:hAnsi="Arial"/>
          <w:sz w:val="17"/>
          <w:szCs w:val="17"/>
          <w:color w:val="auto"/>
        </w:rPr>
        <w:t>The Company recorded tax benefits resulting from the exercise of nonqualified stock options and the value of vested restricted stock and accrued dividends of $2.6 million, $0.8 million and $0.4 million for the years ended December 31, 2017, 2016 and 2015, respectively, in excess of the amounts reported for such items as compensation costs under accounting standards related to stock-based compensation.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tax effects of significant temporary differences representing net deferred tax assets and liabilities consisted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3,616,872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3,269,781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inventories, 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tax credit carryforwards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Intangibles and related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7,958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3,646,883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3,364,203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(3,273,292)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(3,201,406)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373,591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162,797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liabilities—U.S.: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Redemption Note fair value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insurance, maintenance and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(229,358)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assets—Foreign: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96,146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(85,317)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10,829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(10,829)</w:t>
            </w:r>
          </w:p>
        </w:tc>
      </w:tr>
      <w:tr>
        <w:trPr>
          <w:trHeight w:val="297"/>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240,533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of December 31, 2017, the Company had FTC carryforwards (net of uncertain tax positions) of $3.62 billion. Of this amount, $590.6 million will expire in 2018, $110.9 million in 2019, $530.4 million in 2020, $540.3 million in 2021, $756.0 million in 2023, $710.7 million in 2024, $47.2 million in 2025 and $330.8 million in 2027. The Company has no U.S. tax loss carryforwards. The Company incurred foreign tax losses of $319.1 million, $317.3 million and $124.4 million during the tax years ended December 31, 2017, 2016 and 2015, respectively. These foreign tax loss carryforwards expire in 2020, 2019 and 2018, respectively.</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assessing the need for a valuation allowance, the Company considered whether it is more likely than not that the deferred tax assets will be realized. The ultimate realization of deferred tax assets is dependent upon the generation of future taxable income. In the assessment of the valuation allowance, appropriate consideration was given to all positive and negative evidence including recent operating profitability, forecast of future earnings and the duration of statutory carryforward periods.</w:t>
      </w:r>
    </w:p>
    <w:p>
      <w:pPr>
        <w:spacing w:after="0" w:line="18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As of December 31, 2017 and 2016, the Company had valuation allowances of $3.27 billion and $3.20 billion, respectively, provided on FTCs expected to expire unutilized and valuation allowances of $3.5 million and $4.4 million provided on other U.S. deferred tax assets. As of December 31, 2017 and 2016, the Company had valuation allowances of $117.2 million and $85.3 million, respectively, provided on its foreign deferred tax assets.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based on tax positions of the current year</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Lapses in statutes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95,236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90,523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88,314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As of December 31, 2017, 2016 and 2015, unrecognized tax benefits of $95.2 million, $90.3 million and $88.3 million, respectively, were recorded as reductions in deferred income taxes, net. As of December 31, 2016, $0.2 million of unrecognized tax benefits were recorded in other long-term liabilities. The Company had no unrecognized tax benefits recorded in other long-term liabilities as of December 31, 2017 and 2015.</w:t>
      </w:r>
    </w:p>
    <w:p>
      <w:pPr>
        <w:spacing w:after="0" w:line="166"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As of December 31, 2017, 2016 and 2015, $26.9 million, $22.6 million and $20.9 million, respectively, of unrecognized tax benefits would, if recognized, impact the effective tax rate.</w:t>
      </w:r>
    </w:p>
    <w:p>
      <w:pPr>
        <w:spacing w:after="0" w:line="17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each of the years ended December 31, 2017 and 2016, the Company recognized $0.9 million in interest in the provision for income taxes. During the year ended 2015, the Company recognized $0 interest and penalties.</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anticipates that the 2013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$4.0 million over the next 12 months.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2013 domestic income tax returns remain subject to examination by the IRS to the extent tax attributes carryforward to future years. The Company's 2014 to 2016 domestic income tax returns also remain subject to examination by the IRS. The Company's 2013 to 2016 Macau income tax returns remain subject to examination by the Financial Services Bureau.</w:t>
      </w:r>
    </w:p>
    <w:p>
      <w:pPr>
        <w:spacing w:after="0" w:line="18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has participated in the IRS Compliance Assurance Program ("CAP") for the 2012 through 2017 tax years and will continue to participate in the IRS CAP for the 2018 tax year.</w:t>
      </w:r>
    </w:p>
    <w:p>
      <w:pPr>
        <w:spacing w:after="0" w:line="170"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In February 2016, 2017 and 2018 the Company received notification that the IRS completed its examination of the Company's 2014, 2015 and 2016 U.S. income tax returns, respectively. There were no changes in its unrecognized tax benefits as a result of the completion of these examinations.</w:t>
      </w:r>
    </w:p>
    <w:p>
      <w:pPr>
        <w:spacing w:after="0" w:line="12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December 2015, the Financial Services Bureau completed an examination of the 2012 Macau income tax return of Wynn Macau SA. On December 31, 2015, the statute of limitations for the 2010 Macau Complementary Tax return expired. As a result of the exam settlement and the expiration of the statute of limitations for the Macau Complementary Tax return, the total amount of unrecognized tax benefits decreased by $3.6 million.</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December 31, 2016, the statute of limitations for the 2011 Macau Complementary tax return expired. As a result of the expiration of the statute of limitations for the Macau Complementary Tax return, the total amount of unrecognized tax benefits decreased by $3.7 million.</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December 31, 2017, the statute of limitations for the 2012 Macau Complementary tax return expired. As a result of the expiration of the statute of limitations for the Macau Complementary Tax return, the total amount of unrecognized tax benefits decreased by $3.8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In March 2017, the Financial Services Bureau commenced an examination of the 2013 and 2014 Macau income tax returns of Wynn Macau SA. As of December 31, 2017, based upon the current status of the examination, no changes to the unrecognized tax benefits are required.</w:t>
      </w:r>
    </w:p>
    <w:p>
      <w:pPr>
        <w:spacing w:after="0" w:line="14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July 2017, the Financial Services Bureau commenced an examination of the 2013 and 2014 Macau income tax returns of Palo. In February 2018, the Financial Services Bureau concluded its examination with no changes.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Boston Harbor Development</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Wynn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is the lessor under leases for retail space at its resorts. The lease agreements include minimum base rents with contingent rental clauses primarily based on percentage of net sales exceeding minimum base rents.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40"/>
              <w:spacing w:after="0"/>
              <w:rPr>
                <w:sz w:val="20"/>
                <w:szCs w:val="20"/>
                <w:color w:val="auto"/>
              </w:rPr>
            </w:pPr>
            <w:r>
              <w:rPr>
                <w:rFonts w:ascii="Arial" w:cs="Arial" w:eastAsia="Arial" w:hAnsi="Arial"/>
                <w:sz w:val="18"/>
                <w:szCs w:val="18"/>
                <w:color w:val="auto"/>
                <w:w w:val="97"/>
              </w:rPr>
              <w:t>The following table presents the future minimum rentals to be received under the operating leases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9"/>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108,101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114,577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115,499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53,902</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165,704</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future minimum rentals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590,727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total future minimum rentals do not include contingent rentals. Contingent rentals were $38.6 million, $34.6 million and $48.6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Company is the lessee under leases for office space, warehouse facilities, certain office equipment and various parcels of land, including the land that Wynn Macau and Wynn Palace are built on. As of December 31, 2017, capital leases reflected in property and equipment, net on the Consolidated Balance Sheet were $16.6 million. The future minimum lease payments for capital leases are discounted to their present value in the table below and are included in other long-term liabilities on the Consolidated Balance Sheet.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the Company was obligated under non-cancelable leases to make future minimum lease payments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6"/>
                <w:szCs w:val="16"/>
                <w:color w:val="auto"/>
              </w:rPr>
            </w:pPr>
          </w:p>
        </w:tc>
        <w:tc>
          <w:tcPr>
            <w:tcW w:w="19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Pr>
          <w:p>
            <w:pPr>
              <w:spacing w:after="0"/>
              <w:rPr>
                <w:sz w:val="16"/>
                <w:szCs w:val="16"/>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17,449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11,294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69,045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67,732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minimum lease payments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139,246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72,677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(56,161)</w:t>
            </w:r>
          </w:p>
        </w:tc>
        <w:tc>
          <w:tcPr>
            <w:tcW w:w="0" w:type="dxa"/>
            <w:vAlign w:val="bottom"/>
          </w:tcPr>
          <w:p>
            <w:pPr>
              <w:spacing w:after="0" w:line="20" w:lineRule="exact"/>
              <w:rPr>
                <w:sz w:val="1"/>
                <w:szCs w:val="1"/>
                <w:color w:val="auto"/>
              </w:rPr>
            </w:pPr>
          </w:p>
        </w:tc>
      </w:tr>
      <w:tr>
        <w:trPr>
          <w:trHeight w:val="230"/>
        </w:trPr>
        <w:tc>
          <w:tcPr>
            <w:tcW w:w="6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16,516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2017, 2016 and 2015 was $18.3 million, $17.9 million and $16.4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2017, the Company was obligated to make future payments of $65.8 million, $45.4 million, $18.7 million, $4.8 million and $2.9 million during the years ending December 2018, 2019, 2020, 2021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 has additional commitments for gaming tax payments in Macau and performance and other miscellaneous contracts. As of December 31, 2017, the Company was obligated under these arrangements, to make future minimum payments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91,637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38,569</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minimum payments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319,124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above table does not include community payments associated with the continuing operations of Wynn Boston Harbor, which commence upon the opening of the resort. These amounts are approximately $10.6 million per year with minimal annual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the Company had outstanding letters of credit of $17.7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the Okada Parties are "unsuitable persons" under Article VII of the Company's articles of incorporation. On that same day, Wynn Resorts redeemed and canceled Aruze's 24,549,222 shares of Wynn Resorts' common stock, and,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For additional information on the redemption and the Redemption Note, see Note 7, "Long-term Debt" and Note 9,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90" w:lineRule="exact"/>
        <w:rPr>
          <w:sz w:val="20"/>
          <w:szCs w:val="20"/>
          <w:color w:val="auto"/>
        </w:rPr>
      </w:pPr>
    </w:p>
    <w:p>
      <w:pPr>
        <w:ind w:right="160" w:firstLine="432"/>
        <w:spacing w:after="0" w:line="269" w:lineRule="auto"/>
        <w:rPr>
          <w:sz w:val="20"/>
          <w:szCs w:val="20"/>
          <w:color w:val="auto"/>
        </w:rPr>
      </w:pPr>
      <w:r>
        <w:rPr>
          <w:rFonts w:ascii="Arial" w:cs="Arial" w:eastAsia="Arial" w:hAnsi="Arial"/>
          <w:sz w:val="17"/>
          <w:szCs w:val="17"/>
          <w:color w:val="auto"/>
        </w:rPr>
        <w:t>On March 12, 2012,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P. Wynn (the "Stockholders Agreement").</w:t>
      </w:r>
    </w:p>
    <w:p>
      <w:pPr>
        <w:spacing w:after="0" w:line="102"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On June 19, 2012, Elaine P. Wynn asserted a cross claim against Mr. Wynn and Aruze seeking a declaration that (1) any and all of Elaine P.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P. Wynn. On May 17, 2017, Elaine P.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P.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P. Wynn to the Board of Directors and seeks unspecified monetary damages from Mr. Wynn and the Wynn Cross Defendants. On July 10, 2017, the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court denied Wynn Resorts' and Wynn Resorts' General Counsel's motions to dismiss, and on July 24, 2017, the court denied Wynn Resorts' motion to sever.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Wynn Cross Defendants will vigorously defend against the claims asserted against them.</w:t>
      </w:r>
    </w:p>
    <w:p>
      <w:pPr>
        <w:spacing w:after="0" w:line="13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and the 2027 Indenture each provides that if any event constitutes a "change of control" under the 2023 Indenture, it will constitute a change of control under the 2025 Indenture and the 2027 Indenture, respectively. If the Stockholders Agreement is determined not to be enforceable pursuant to Elaine P. Wynn's cross claim, Mr. Wynn would not beneficially own or control Elaine P. Wynn's shares, which could increase the likelihood that a change in control may occur under the Wynn Las Vegas, LLC debt documents. Under the 2023 Indenture, the 2025 Indenture and the 2027 Indenture, if (1) a change of control occurs and (2) at any time within 60 days after that occurrence, the 2023 Notes or the 2025 Notes, as applicable, are rated below investment grade by both rating agencies that rate such notes and, in the case of the 2027 Indenture, the ratings of the 2027 WLV Notes have decreased below the ratings assigned to the 2027 WLV Notes on the date they were issued as described in the 2027 Indenture,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73"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February 12, 2018, counsel for Mr. Wynn advised the court hearing this matter that Mr. Wynn now agrees that the Stockholders Agreement no longer binds either Mr. Wynn or Elaine P. Wynn. There can be no assurance that the court will concur with the position now taken by Mr. Wynn, or that the Stockholders Agreement will in fact be deemed to no longer bind the parties thereto.</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February 16, 2018, the Issuers commenced a Consent Solicitation for a Proposed Amendment to the 2023 Indenture. The Proposed Amendment would conform the definition of change of control relating to ownership of equity interests in the Company to the terms of the 2025 Indenture and 2027 Indenture. Adoption of the Proposed Amendment requires the consent of holders of a majority in aggregate principal amount of the 2023 Notes. The Consent Solicitation will expire on March 6, 2018.</w:t>
      </w:r>
    </w:p>
    <w:p>
      <w:pPr>
        <w:spacing w:after="0" w:line="106"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Fact discovery closed in November 2017 and expert discovery closed in January 2018. In February 2018, the court ruled upon the parties' various motions for summary judgment and, among other rulings, entered summary judgment in favor of the Wynn Parties and against the Okada Parties related to their claims that the terms of the Redemption Note violated the Articles or were otherwise unconscionable. Trial is scheduled to begin in April 2018.</w:t>
      </w:r>
    </w:p>
    <w:p>
      <w:pPr>
        <w:spacing w:after="0" w:line="14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13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believes the action commenced by Mr. Okada is without merit and will vigorously defend itself against the claims pleaded against it. Management has determined that based on proceedings to date, it is currently unable to determine the probability of the outcome of this action or the range of reasonably possible loss, if any.</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121" w:right="29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On July 11, 2017, the Macau Court dismissed all claims by the Okada Parties as unfounded, fined the Okada Parties as vexatious litigants,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w:t>
      </w:r>
    </w:p>
    <w:p>
      <w:pPr>
        <w:spacing w:after="0" w:line="101"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The Company believes the action commenced by the Okada Parties is without merit and will vigorously defend itself against the claims pleaded against it. Management has determined that based on proceedings to date, it is currently unable to determine the probability of the outcome of this action or the range of reasonably possible loss, if 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 Related to Redemption Action</w:t>
      </w:r>
    </w:p>
    <w:p>
      <w:pPr>
        <w:spacing w:after="0" w:line="22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"Derivative Plaintiffs"). The Derivative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Derivative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Derivative Plaintiffs seek unspecified monetary damages (compensatory and punitive), disgorgement, reformation of corporate governance procedures, an order directing the Company to internally investigate the donation, as well as attorney's fees and costs. On June 18, 2014, the court entered a stipulation between the parties that provides for a stay of the action and directs the parties, within 45 days of the conclusion of the Redemption Action, to discuss how the derivative action should proceed and to file a joint report with the court.</w:t>
      </w:r>
    </w:p>
    <w:p>
      <w:pPr>
        <w:spacing w:after="0" w:line="92"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color w:val="auto"/>
        </w:rPr>
        <w:t>The defendants in these actions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w:t>
      </w:r>
    </w:p>
    <w:p>
      <w:pPr>
        <w:spacing w:after="0" w:line="225"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197"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oral argument is scheduled for April 5, 2018.</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phase.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above complaint. The MGC retained private legal representation at its own nontaxpayer-funded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Related to Mr. Wynn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Investigations: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26, 2018, the Company's Board of Directors formed a Special Committee comprised solely of independent directors to investigate allegations of inappropriate personal conduct by Mr. Wynn in the workplace. On February 12, 2018, the Special Committee announced that its review was expanded to include a comprehensive review of the Company's internal policies and procedures with the goal of employing best practices to maintain a safe and respectful workplace for all employees. Gaming regulators in Massachusetts and Nevada are reviewing these matters, including suitability with respect to the Company and its related licensees, and the Company is cooperating with these regulatory reviews. The gaming regulator in Macau is monitoring and reviewing the situation, and the Company is cooperating.</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Stockholder Actions:</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Six stockholder derivative actions have been filed on behalf of the Company in state and federal court located in Clark County, Nevada against certain members of the Company's Board of Directors and, in some cases, the Company's General Counsel. Specifically, (i) on February 6, 2018, Norfolk County Retirement System filed a stockholder derivative action against certain current and former members of the Company's Board of Directors and the Company's General Counsel; (ii) on February 15, 2018, Operating Engineers Construction Industry and Miscellaneous Pension Fund filed a stockholder derivative action against certain current and former members of the Company's Board of Directors; (iii) on February 15, 2018, Boynton Beach Municipal Firefighters' Pension Trust Fund and the Firemen's Retirement System of St. Louis filed a stockholder derivative action against certain current and former members of the Company's Board of Directors and the Company's General Counsel; (iv) on February 15, 2018, Rickey A. Broussard filed a stockholder derivative action against certain current and former members of the Company's Board of Directors and the Company's General Counsel, (v) on February 22, 2018, Thomas P. DiNapoli, Comptroller of the State of New York, as Administrative Head of the New York State and Local Retirement System and trustee of the New York State Common Retirement Fund filed a shareholder derivative action against certain current and former members of the Company's Board of Directors and the Company's General Counsel and (vi) on February 22, 2018, Erste-Sparinvest Kapitalanlagegesellschaft M.B.H. filed a shareholder derivative action against certain current and former members of the Company's Board of Directors and the Company's General Counsel. Each of the complaints alleges, among other things, breach of fiduciary duties in failing to detect, prevent and remedy alleged inappropriate personal conduct by Mr. Wynn in the workplace. Each of the actions seeks to recover for the Company unspecified damages, including restitution and disgorgement of profits, and also seeks to recover attorneys' fees, costs and related expenses for the plaintiff.</w:t>
      </w:r>
    </w:p>
    <w:p>
      <w:pPr>
        <w:spacing w:after="0" w:line="16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On February 20, 2018, a securities class action was filed against the Company and certain current and former officers of the Company in the United States District Court, Southern District of New York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capital expenditures and assets for its Wynn Boston Harbor development project. Other Macau primarily represents the Company's Macau holding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2,485,804</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2,264,087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2,463,092</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2,139,154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583,336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4,624,958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2,847,423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2,463,092</w:t>
            </w:r>
          </w:p>
        </w:tc>
        <w:tc>
          <w:tcPr>
            <w:tcW w:w="0" w:type="dxa"/>
            <w:vAlign w:val="bottom"/>
          </w:tcPr>
          <w:p>
            <w:pPr>
              <w:spacing w:after="0"/>
              <w:rPr>
                <w:sz w:val="1"/>
                <w:szCs w:val="1"/>
                <w:color w:val="auto"/>
              </w:rPr>
            </w:pPr>
          </w:p>
        </w:tc>
      </w:tr>
      <w:tr>
        <w:trPr>
          <w:trHeight w:val="243"/>
        </w:trPr>
        <w:tc>
          <w:tcPr>
            <w:tcW w:w="500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1,681,410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1,618,874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1,612,791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6,306,368</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4,466,297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4,075,883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8"/>
                <w:szCs w:val="18"/>
                <w:color w:val="auto"/>
              </w:rPr>
              <w:t>(1)</w:t>
            </w:r>
          </w:p>
        </w:tc>
        <w:tc>
          <w:tcPr>
            <w:tcW w:w="1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760,752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681,509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708,623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527,583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1,288,335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784,545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708,623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474,782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477,166</w:t>
            </w:r>
          </w:p>
        </w:tc>
        <w:tc>
          <w:tcPr>
            <w:tcW w:w="0" w:type="dxa"/>
            <w:vAlign w:val="bottom"/>
          </w:tcPr>
          <w:p>
            <w:pPr>
              <w:spacing w:after="0"/>
              <w:rPr>
                <w:sz w:val="1"/>
                <w:szCs w:val="1"/>
                <w:color w:val="auto"/>
              </w:rPr>
            </w:pP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1,810,732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1,259,327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1,185,789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26,692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154,717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77,623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404,730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322,629</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43,971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43,218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38,286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755,167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737,665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526,975</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1,055,565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521,662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658,814</w:t>
            </w:r>
          </w:p>
        </w:tc>
        <w:tc>
          <w:tcPr>
            <w:tcW w:w="0" w:type="dxa"/>
            <w:vAlign w:val="bottom"/>
          </w:tcPr>
          <w:p>
            <w:pPr>
              <w:spacing w:after="0"/>
              <w:rPr>
                <w:sz w:val="1"/>
                <w:szCs w:val="1"/>
                <w:color w:val="auto"/>
              </w:rPr>
            </w:pPr>
          </w:p>
        </w:tc>
      </w:tr>
      <w:tr>
        <w:trPr>
          <w:trHeight w:val="22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1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(289,365)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(300,906)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65,043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52,041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(126,004)</w:t>
            </w:r>
          </w:p>
        </w:tc>
        <w:tc>
          <w:tcPr>
            <w:tcW w:w="0" w:type="dxa"/>
            <w:vAlign w:val="bottom"/>
          </w:tcPr>
          <w:p>
            <w:pPr>
              <w:spacing w:after="0"/>
              <w:rPr>
                <w:sz w:val="1"/>
                <w:szCs w:val="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7"/>
        </w:trPr>
        <w:tc>
          <w:tcPr>
            <w:tcW w:w="5000" w:type="dxa"/>
            <w:vAlign w:val="bottom"/>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(495,296)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(211,065)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(369,567)</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560,269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310,597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289,247</w:t>
            </w:r>
          </w:p>
        </w:tc>
        <w:tc>
          <w:tcPr>
            <w:tcW w:w="0" w:type="dxa"/>
            <w:vAlign w:val="bottom"/>
          </w:tcPr>
          <w:p>
            <w:pPr>
              <w:spacing w:after="0"/>
              <w:rPr>
                <w:sz w:val="1"/>
                <w:szCs w:val="1"/>
                <w:color w:val="auto"/>
              </w:rPr>
            </w:pP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Benefit (provision) for income taxes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328,985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889,254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302,469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281,524</w:t>
            </w:r>
          </w:p>
        </w:tc>
        <w:tc>
          <w:tcPr>
            <w:tcW w:w="0" w:type="dxa"/>
            <w:vAlign w:val="bottom"/>
          </w:tcPr>
          <w:p>
            <w:pPr>
              <w:spacing w:after="0"/>
              <w:rPr>
                <w:sz w:val="1"/>
                <w:szCs w:val="1"/>
                <w:color w:val="auto"/>
              </w:rPr>
            </w:pPr>
          </w:p>
        </w:tc>
      </w:tr>
      <w:tr>
        <w:trPr>
          <w:trHeight w:val="243"/>
        </w:trPr>
        <w:tc>
          <w:tcPr>
            <w:tcW w:w="500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(142,073)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747,181</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241,975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195,290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21" w:right="77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980" w:hanging="972"/>
        <w:spacing w:after="0" w:line="267"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"Adjusted Property EBITDA" is net income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121" w:right="31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Macau Operations: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Wynn Macau</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43,510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68,744</w:t>
            </w:r>
          </w:p>
        </w:tc>
      </w:tr>
      <w:tr>
        <w:trPr>
          <w:trHeight w:val="243"/>
        </w:trPr>
        <w:tc>
          <w:tcPr>
            <w:tcW w:w="6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Wynn Palace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107,405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838,271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1,566,090</w:t>
            </w:r>
          </w:p>
        </w:tc>
      </w:tr>
      <w:tr>
        <w:trPr>
          <w:trHeight w:val="27"/>
        </w:trPr>
        <w:tc>
          <w:tcPr>
            <w:tcW w:w="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Macau Operations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150,915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881,819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1,634,834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Las Vegas Operations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139,893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106,373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117,011</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Boston Harbor</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71,841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101,690</w:t>
            </w:r>
          </w:p>
        </w:tc>
      </w:tr>
      <w:tr>
        <w:trPr>
          <w:trHeight w:val="27"/>
        </w:trPr>
        <w:tc>
          <w:tcPr>
            <w:tcW w:w="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935,474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1,225,943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1,921,240</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93"/>
        </w:trPr>
        <w:tc>
          <w:tcPr>
            <w:tcW w:w="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Macau Operations: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Wynn Macau</w:t>
            </w: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1,271,544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1,331,312</w:t>
            </w:r>
          </w:p>
        </w:tc>
      </w:tr>
      <w:tr>
        <w:trPr>
          <w:trHeight w:val="243"/>
        </w:trPr>
        <w:tc>
          <w:tcPr>
            <w:tcW w:w="60" w:type="dxa"/>
            <w:vAlign w:val="bottom"/>
          </w:tcPr>
          <w:p>
            <w:pPr>
              <w:spacing w:after="0"/>
              <w:rPr>
                <w:sz w:val="21"/>
                <w:szCs w:val="21"/>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Wynn Palace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4,017,494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4,317,458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3,439,041</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Macau</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174,769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570,959</w:t>
            </w:r>
          </w:p>
        </w:tc>
      </w:tr>
      <w:tr>
        <w:trPr>
          <w:trHeight w:val="237"/>
        </w:trPr>
        <w:tc>
          <w:tcPr>
            <w:tcW w:w="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b w:val="1"/>
                <w:bCs w:val="1"/>
                <w:color w:val="auto"/>
              </w:rPr>
              <w:t>Total Macau Operations</w:t>
            </w: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5,463,807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5,508,055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5,341,312</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3,266,390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3,275,780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3,145,713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Wynn Boston Harbor</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1,060,530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419,001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185,853</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2,891,012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2,750,721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1,786,281</w:t>
            </w:r>
          </w:p>
        </w:tc>
      </w:tr>
      <w:tr>
        <w:trPr>
          <w:trHeight w:val="237"/>
        </w:trPr>
        <w:tc>
          <w:tcPr>
            <w:tcW w:w="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12,681,739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11,953,557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10,459,159</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0"/>
        </w:trPr>
        <w:tc>
          <w:tcPr>
            <w:tcW w:w="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66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Macau</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4,613,950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4,973,854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4,324,743</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4,083,555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3,442,842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3,337,356</w:t>
            </w:r>
          </w:p>
        </w:tc>
      </w:tr>
      <w:tr>
        <w:trPr>
          <w:trHeight w:val="237"/>
        </w:trPr>
        <w:tc>
          <w:tcPr>
            <w:tcW w:w="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8,697,505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8,416,696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7,662,099</w:t>
            </w:r>
          </w:p>
        </w:tc>
      </w:tr>
      <w:tr>
        <w:trPr>
          <w:trHeight w:val="27"/>
        </w:trPr>
        <w:tc>
          <w:tcPr>
            <w:tcW w:w="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29"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following tables (in thousands, except per share data) present selected quarterly financial information for 2017 and 2016,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 2017</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 (1)</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1,475,680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1,529,261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6,306,368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249,930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246,889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257,327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301,419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1,055,565</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889,254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100,816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79,767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491,682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747,181</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7.28</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2016</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Third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4,466,297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158,298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147,539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76,931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138,894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521,662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302,469</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75,221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70,391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113,800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241,975</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2.38</w:t>
            </w:r>
          </w:p>
        </w:tc>
      </w:tr>
    </w:tbl>
    <w:p>
      <w:pPr>
        <w:spacing w:after="0" w:line="170" w:lineRule="exact"/>
        <w:rPr>
          <w:sz w:val="20"/>
          <w:szCs w:val="20"/>
          <w:color w:val="auto"/>
        </w:rPr>
      </w:pPr>
    </w:p>
    <w:p>
      <w:pPr>
        <w:ind w:right="20" w:firstLine="8"/>
        <w:spacing w:after="0" w:line="250" w:lineRule="auto"/>
        <w:tabs>
          <w:tab w:leader="none" w:pos="21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recorded a provisional income tax benefit of $339.9 million related to the enactment of U.S. tax reform. See Item 8—"Financial Statements and Supplementary Data," Note 13, "Income Taxes."</w:t>
      </w: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40" w:firstLine="440"/>
        <w:spacing w:after="0" w:line="269" w:lineRule="auto"/>
        <w:tabs>
          <w:tab w:leader="none" w:pos="857"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2017,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82" w:lineRule="exact"/>
        <w:rPr>
          <w:rFonts w:ascii="Arial" w:cs="Arial" w:eastAsia="Arial" w:hAnsi="Arial"/>
          <w:sz w:val="17"/>
          <w:szCs w:val="17"/>
          <w:color w:val="auto"/>
        </w:rPr>
      </w:pPr>
    </w:p>
    <w:p>
      <w:pPr>
        <w:ind w:right="260" w:firstLine="440"/>
        <w:spacing w:after="0" w:line="277" w:lineRule="auto"/>
        <w:tabs>
          <w:tab w:leader="none" w:pos="68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2017. In making this assessment, management used the criteria set forth by the Committee of Sponsoring Organizations of the Treadway Commission (2013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our assessment, management believes that, as of December 31, 2017, the Company's internal control over financial reporting was effective.</w:t>
      </w:r>
    </w:p>
    <w:p>
      <w:pPr>
        <w:spacing w:after="0" w:line="248"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The Company's independent registered public accounting firm has issued an audit report on our internal control over financial reporting. This report appears under "Report of Independent Registered Public Accounting Firm on Internal Control Over Financial Reporting."</w:t>
      </w:r>
    </w:p>
    <w:p>
      <w:pPr>
        <w:spacing w:after="0" w:line="147" w:lineRule="exact"/>
        <w:rPr>
          <w:sz w:val="20"/>
          <w:szCs w:val="20"/>
          <w:color w:val="auto"/>
        </w:rPr>
      </w:pPr>
    </w:p>
    <w:p>
      <w:pPr>
        <w:ind w:right="640" w:firstLine="440"/>
        <w:spacing w:after="0" w:line="277" w:lineRule="auto"/>
        <w:tabs>
          <w:tab w:leader="none" w:pos="85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not been any changes in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such term is defined in Rules 13a-15(f) and 15d-15(f) under the Exchange Act) during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fourth fiscal quarter to which this report relates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121" w:right="29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2018 Annual Stockholder Meeting to be filed with the Securities and Exchange Commission within 120 days after December 31, 2017 (the "2018 Proxy Statement") under the captions "Election of Directors," "Executive Officers," "Corporate Governance" and "Section 16(a) Beneficial Ownership Reporting Compliance," and is incorporated herein by reference.</w:t>
      </w:r>
    </w:p>
    <w:p>
      <w:pPr>
        <w:spacing w:after="0" w:line="187" w:lineRule="exact"/>
        <w:rPr>
          <w:sz w:val="20"/>
          <w:szCs w:val="20"/>
          <w:color w:val="auto"/>
        </w:rPr>
      </w:pPr>
    </w:p>
    <w:p>
      <w:pPr>
        <w:ind w:right="420" w:firstLine="432"/>
        <w:spacing w:after="0" w:line="257"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http://www.wynnresorts.com under the heading "Corporate Governance" within four business days following such amendment or waiver or as otherwise required by the Nasdaq listing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2018 Proxy Statement under the captions "Director Compensation," "Compensation Discussion and Analysis" and "Executive Compensation Tables,"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be Issued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Upon</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Warrants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Rights</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644,460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73.93</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3,179,113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644,460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73.93</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3,179,113</w:t>
            </w:r>
          </w:p>
        </w:tc>
        <w:tc>
          <w:tcPr>
            <w:tcW w:w="0" w:type="dxa"/>
            <w:vAlign w:val="bottom"/>
          </w:tcPr>
          <w:p>
            <w:pPr>
              <w:spacing w:after="0"/>
              <w:rPr>
                <w:sz w:val="1"/>
                <w:szCs w:val="1"/>
                <w:color w:val="auto"/>
              </w:rPr>
            </w:pPr>
          </w:p>
        </w:tc>
      </w:tr>
      <w:tr>
        <w:trPr>
          <w:trHeight w:val="60"/>
        </w:trPr>
        <w:tc>
          <w:tcPr>
            <w:tcW w:w="6740" w:type="dxa"/>
            <w:vAlign w:val="bottom"/>
            <w:tcBorders>
              <w:bottom w:val="single" w:sz="8" w:color="CCEEFF"/>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Certain information required by this item will be contained in the 2018 Proxy Statement under the caption "Certain Beneficial Ownership and Management,"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2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2018 Proxy Statement under the caption "Certain Relationships and Related Transactions," and "Corporate Governance,"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2018 Proxy Statement under the caption "Ratification of Appointment of Independent Auditors,"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7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Balance Sheets as of December 31, 2017 and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2017, 2016 and 2015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2017, 2016 and 2015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2017, 2016 and 2015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2017, 2016 and 2015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Quarterly Financial Information (Unaudited)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122" w:right="29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Provision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(Benefit)</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Write-offs,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w:t>
            </w: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Net of</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Recoveries</w:t>
            </w: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54,742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74,678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67,057</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Additions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 valuation allowance: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3,286,723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112,543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3,390,467</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3,330,878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3,286,723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3,296,789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52,759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3,330,878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3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121" w:right="135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Incorporated by Reference</w:t>
            </w:r>
          </w:p>
        </w:tc>
      </w:tr>
      <w:tr>
        <w:trPr>
          <w:trHeight w:val="166"/>
        </w:trPr>
        <w:tc>
          <w:tcPr>
            <w:tcW w:w="980" w:type="dxa"/>
            <w:vAlign w:val="bottom"/>
          </w:tcPr>
          <w:p>
            <w:pPr>
              <w:jc w:val="center"/>
              <w:ind w:right="191"/>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9"/>
        </w:trPr>
        <w:tc>
          <w:tcPr>
            <w:tcW w:w="980" w:type="dxa"/>
            <w:vAlign w:val="bottom"/>
          </w:tcPr>
          <w:p>
            <w:pPr>
              <w:jc w:val="center"/>
              <w:ind w:right="191"/>
              <w:spacing w:after="0"/>
              <w:rPr>
                <w:sz w:val="20"/>
                <w:szCs w:val="20"/>
                <w:color w:val="auto"/>
              </w:rPr>
            </w:pPr>
            <w:r>
              <w:rPr>
                <w:rFonts w:ascii="Arial" w:cs="Arial" w:eastAsia="Arial" w:hAnsi="Arial"/>
                <w:sz w:val="14"/>
                <w:szCs w:val="14"/>
                <w:b w:val="1"/>
                <w:bCs w:val="1"/>
                <w:color w:val="auto"/>
                <w:w w:val="97"/>
              </w:rPr>
              <w:t>No.</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gridSpan w:val="21"/>
          </w:tcPr>
          <w:p>
            <w:pPr>
              <w:ind w:left="76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Filing Date</w:t>
            </w:r>
          </w:p>
        </w:tc>
      </w:tr>
      <w:tr>
        <w:trPr>
          <w:trHeight w:val="203"/>
        </w:trPr>
        <w:tc>
          <w:tcPr>
            <w:tcW w:w="980" w:type="dxa"/>
            <w:vAlign w:val="bottom"/>
          </w:tcPr>
          <w:p>
            <w:pPr>
              <w:jc w:val="center"/>
              <w:ind w:right="191"/>
              <w:spacing w:after="0" w:line="202" w:lineRule="exact"/>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17"/>
                <w:szCs w:val="17"/>
                <w:color w:val="auto"/>
              </w:rPr>
            </w:pPr>
          </w:p>
        </w:tc>
        <w:tc>
          <w:tcPr>
            <w:tcW w:w="524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Third Amended and Restated Articles of Incorporation of the Registrant.</w:t>
              </w:r>
            </w:hyperlink>
          </w:p>
        </w:tc>
        <w:tc>
          <w:tcPr>
            <w:tcW w:w="2620" w:type="dxa"/>
            <w:vAlign w:val="bottom"/>
            <w:gridSpan w:val="17"/>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1"/>
              </w:rPr>
              <w:t>5/8/2015</w:t>
            </w: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rPr>
            </w:pPr>
            <w:hyperlink r:id="rId63">
              <w:r>
                <w:rPr>
                  <w:rFonts w:ascii="Arial" w:cs="Arial" w:eastAsia="Arial" w:hAnsi="Arial"/>
                  <w:sz w:val="18"/>
                  <w:szCs w:val="18"/>
                  <w:color w:val="0000FF"/>
                </w:rPr>
                <w:t>Eighth Amended and Restated Bylaws of the Registrant.</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11/6/2015</w:t>
            </w: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21"/>
                <w:szCs w:val="21"/>
                <w:color w:val="auto"/>
              </w:rPr>
            </w:pPr>
          </w:p>
        </w:tc>
        <w:tc>
          <w:tcPr>
            <w:tcW w:w="6780" w:type="dxa"/>
            <w:vAlign w:val="bottom"/>
            <w:tcBorders>
              <w:bottom w:val="single" w:sz="8" w:color="0000FF"/>
            </w:tcBorders>
            <w:gridSpan w:val="14"/>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 xml:space="preserve">Specimen certificate for shares of Common Stock, </w:t>
              </w:r>
              <w:r>
                <w:rPr>
                  <w:rFonts w:ascii="Arial" w:cs="Arial" w:eastAsia="Arial" w:hAnsi="Arial"/>
                  <w:sz w:val="18"/>
                  <w:szCs w:val="18"/>
                  <w:u w:val="single" w:color="auto"/>
                  <w:color w:val="0000FF"/>
                  <w:w w:val="89"/>
                </w:rPr>
                <w:t>$</w:t>
              </w:r>
              <w:r>
                <w:rPr>
                  <w:rFonts w:ascii="Arial" w:cs="Arial" w:eastAsia="Arial" w:hAnsi="Arial"/>
                  <w:sz w:val="18"/>
                  <w:szCs w:val="18"/>
                  <w:color w:val="0000FF"/>
                  <w:w w:val="89"/>
                </w:rPr>
                <w:t>0.01 par value per share of the Registrant.</w:t>
              </w:r>
            </w:hyperlink>
          </w:p>
        </w:tc>
        <w:tc>
          <w:tcPr>
            <w:tcW w:w="1080" w:type="dxa"/>
            <w:vAlign w:val="bottom"/>
            <w:gridSpan w:val="15"/>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10/7/2002</w:t>
            </w: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4.4</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Indenture, dated as of March 12, 2012, by and among Wynn Las Vegas, LLC, Wynn Las Vegas Capital</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3/13/2012</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Corp., the Guarantors named therein and U.S. Bank National Association, as trustee.</w:t>
              </w:r>
            </w:hyperlink>
          </w:p>
        </w:tc>
        <w:tc>
          <w:tcPr>
            <w:tcW w:w="1300" w:type="dxa"/>
            <w:vAlign w:val="bottom"/>
            <w:tcBorders>
              <w:top w:val="single" w:sz="8" w:color="0000FF"/>
            </w:tcBorders>
            <w:gridSpan w:val="8"/>
          </w:tcPr>
          <w:p>
            <w:pPr>
              <w:spacing w:after="0"/>
              <w:rPr>
                <w:sz w:val="17"/>
                <w:szCs w:val="17"/>
                <w:color w:val="auto"/>
              </w:rPr>
            </w:pPr>
          </w:p>
        </w:tc>
        <w:tc>
          <w:tcPr>
            <w:tcW w:w="46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4.5</w:t>
            </w:r>
          </w:p>
        </w:tc>
        <w:tc>
          <w:tcPr>
            <w:tcW w:w="40" w:type="dxa"/>
            <w:vAlign w:val="bottom"/>
          </w:tcPr>
          <w:p>
            <w:pPr>
              <w:spacing w:after="0"/>
              <w:rPr>
                <w:sz w:val="21"/>
                <w:szCs w:val="21"/>
                <w:color w:val="auto"/>
              </w:rPr>
            </w:pPr>
          </w:p>
        </w:tc>
        <w:tc>
          <w:tcPr>
            <w:tcW w:w="7280" w:type="dxa"/>
            <w:vAlign w:val="bottom"/>
            <w:tcBorders>
              <w:bottom w:val="single" w:sz="8" w:color="0000FF"/>
            </w:tcBorders>
            <w:gridSpan w:val="17"/>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Indenture, dated as of May 22, 2013, by and among Wynn Las Vegas, LLC, Wynn Las Vegas Capital</w:t>
              </w:r>
            </w:hyperlink>
          </w:p>
        </w:tc>
        <w:tc>
          <w:tcPr>
            <w:tcW w:w="580" w:type="dxa"/>
            <w:vAlign w:val="bottom"/>
            <w:gridSpan w:val="12"/>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5/22/2013</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Corp., the Guarantors named therein and U.S. Bank National Association, as trustee.</w:t>
              </w:r>
            </w:hyperlink>
          </w:p>
        </w:tc>
        <w:tc>
          <w:tcPr>
            <w:tcW w:w="1760" w:type="dxa"/>
            <w:vAlign w:val="bottom"/>
            <w:gridSpan w:val="16"/>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4.6</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Indenture, dated as of February 18, 2015, by and among Wynn Las Vegas, LLC, Wynn Las Vegas Capital</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2/18/2015</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Corp., the Guarantors named therein and U.S. Bank National Association, as trustee.</w:t>
              </w:r>
            </w:hyperlink>
          </w:p>
        </w:tc>
        <w:tc>
          <w:tcPr>
            <w:tcW w:w="1480" w:type="dxa"/>
            <w:vAlign w:val="bottom"/>
            <w:tcBorders>
              <w:top w:val="single" w:sz="8" w:color="0000FF"/>
            </w:tcBorders>
            <w:gridSpan w:val="15"/>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4.7</w:t>
            </w:r>
          </w:p>
        </w:tc>
        <w:tc>
          <w:tcPr>
            <w:tcW w:w="40" w:type="dxa"/>
            <w:vAlign w:val="bottom"/>
          </w:tcPr>
          <w:p>
            <w:pPr>
              <w:spacing w:after="0"/>
              <w:rPr>
                <w:sz w:val="21"/>
                <w:szCs w:val="21"/>
                <w:color w:val="auto"/>
              </w:rPr>
            </w:pPr>
          </w:p>
        </w:tc>
        <w:tc>
          <w:tcPr>
            <w:tcW w:w="7560" w:type="dxa"/>
            <w:vAlign w:val="bottom"/>
            <w:tcBorders>
              <w:bottom w:val="single" w:sz="8" w:color="0000FF"/>
            </w:tcBorders>
            <w:gridSpan w:val="27"/>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Supplemental Indenture, dated as of February 18, 2015, to Indenture, dated as of March 12, 2012, by and</w:t>
              </w:r>
            </w:hyperlink>
          </w:p>
        </w:tc>
        <w:tc>
          <w:tcPr>
            <w:tcW w:w="300" w:type="dxa"/>
            <w:vAlign w:val="bottom"/>
            <w:gridSpan w:val="2"/>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3/2/2015</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among Wynn Las Vegas, LLC, Wynn Las Vegas Capital Corp., the Guarantors named therein and U.S.</w:t>
              </w:r>
            </w:hyperlink>
          </w:p>
        </w:tc>
        <w:tc>
          <w:tcPr>
            <w:tcW w:w="48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9"/>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Bank National Association, as trustee.</w:t>
              </w:r>
            </w:hyperlink>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4.8</w:t>
            </w:r>
          </w:p>
        </w:tc>
        <w:tc>
          <w:tcPr>
            <w:tcW w:w="40" w:type="dxa"/>
            <w:vAlign w:val="bottom"/>
          </w:tcPr>
          <w:p>
            <w:pPr>
              <w:spacing w:after="0"/>
              <w:rPr>
                <w:sz w:val="21"/>
                <w:szCs w:val="21"/>
                <w:color w:val="auto"/>
              </w:rPr>
            </w:pPr>
          </w:p>
        </w:tc>
        <w:tc>
          <w:tcPr>
            <w:tcW w:w="7440" w:type="dxa"/>
            <w:vAlign w:val="bottom"/>
            <w:tcBorders>
              <w:bottom w:val="single" w:sz="8" w:color="0000FF"/>
            </w:tcBorders>
            <w:gridSpan w:val="23"/>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Supplemental Indenture, dated as of February 18, 2015, to Indenture, dated as of May 22, 2013, by and</w:t>
              </w:r>
            </w:hyperlink>
          </w:p>
        </w:tc>
        <w:tc>
          <w:tcPr>
            <w:tcW w:w="420" w:type="dxa"/>
            <w:vAlign w:val="bottom"/>
            <w:gridSpan w:val="6"/>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3/2/2015</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among Wynn Las Vegas, LLC, Wynn Las Vegas Capital Corp., the Guarantors named therein and U.S.</w:t>
              </w:r>
            </w:hyperlink>
          </w:p>
        </w:tc>
        <w:tc>
          <w:tcPr>
            <w:tcW w:w="48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9"/>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Bank National Association, as trustee.</w:t>
              </w:r>
            </w:hyperlink>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7"/>
              </w:rPr>
              <w:t>4.9</w:t>
            </w:r>
          </w:p>
        </w:tc>
        <w:tc>
          <w:tcPr>
            <w:tcW w:w="40" w:type="dxa"/>
            <w:vAlign w:val="bottom"/>
          </w:tcPr>
          <w:p>
            <w:pPr>
              <w:spacing w:after="0"/>
              <w:rPr>
                <w:sz w:val="21"/>
                <w:szCs w:val="21"/>
                <w:color w:val="auto"/>
              </w:rPr>
            </w:pPr>
          </w:p>
        </w:tc>
        <w:tc>
          <w:tcPr>
            <w:tcW w:w="7260" w:type="dxa"/>
            <w:vAlign w:val="bottom"/>
            <w:tcBorders>
              <w:bottom w:val="single" w:sz="8" w:color="0000FF"/>
            </w:tcBorders>
            <w:gridSpan w:val="16"/>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Indenture, dated as of May 11, 2017, by and among Wynn Las Vegas, LLC, Wynn Las Vegas Capital</w:t>
              </w:r>
            </w:hyperlink>
          </w:p>
        </w:tc>
        <w:tc>
          <w:tcPr>
            <w:tcW w:w="600" w:type="dxa"/>
            <w:vAlign w:val="bottom"/>
            <w:gridSpan w:val="13"/>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5/11/2017</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70">
              <w:r>
                <w:rPr>
                  <w:rFonts w:ascii="Arial" w:cs="Arial" w:eastAsia="Arial" w:hAnsi="Arial"/>
                  <w:sz w:val="18"/>
                  <w:szCs w:val="18"/>
                  <w:color w:val="0000FF"/>
                  <w:w w:val="89"/>
                </w:rPr>
                <w:t>Corp., the Guarantors named therein and U.S. Bank National Association, as trustee.</w:t>
              </w:r>
            </w:hyperlink>
          </w:p>
        </w:tc>
        <w:tc>
          <w:tcPr>
            <w:tcW w:w="1760" w:type="dxa"/>
            <w:vAlign w:val="bottom"/>
            <w:gridSpan w:val="16"/>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5"/>
              </w:rPr>
              <w:t>4.10</w:t>
            </w:r>
          </w:p>
        </w:tc>
        <w:tc>
          <w:tcPr>
            <w:tcW w:w="40" w:type="dxa"/>
            <w:vAlign w:val="bottom"/>
          </w:tcPr>
          <w:p>
            <w:pPr>
              <w:spacing w:after="0"/>
              <w:rPr>
                <w:sz w:val="21"/>
                <w:szCs w:val="21"/>
                <w:color w:val="auto"/>
              </w:rPr>
            </w:pPr>
          </w:p>
        </w:tc>
        <w:tc>
          <w:tcPr>
            <w:tcW w:w="7380" w:type="dxa"/>
            <w:vAlign w:val="bottom"/>
            <w:tcBorders>
              <w:bottom w:val="single" w:sz="8" w:color="0000FF"/>
            </w:tcBorders>
            <w:gridSpan w:val="20"/>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Indenture, dated as of September 20, 2017, by and between Wynn Macau, Limited and Deutsche Bank</w:t>
              </w:r>
            </w:hyperlink>
          </w:p>
        </w:tc>
        <w:tc>
          <w:tcPr>
            <w:tcW w:w="480" w:type="dxa"/>
            <w:vAlign w:val="bottom"/>
            <w:gridSpan w:val="9"/>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11/8/2017</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Trust Company Americas, as trustee, relating to senior notes due 2024.</w:t>
              </w:r>
            </w:hyperlink>
          </w:p>
        </w:tc>
        <w:tc>
          <w:tcPr>
            <w:tcW w:w="2740" w:type="dxa"/>
            <w:vAlign w:val="bottom"/>
            <w:gridSpan w:val="18"/>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85"/>
              </w:rPr>
              <w:t>4.11</w:t>
            </w:r>
          </w:p>
        </w:tc>
        <w:tc>
          <w:tcPr>
            <w:tcW w:w="40" w:type="dxa"/>
            <w:vAlign w:val="bottom"/>
          </w:tcPr>
          <w:p>
            <w:pPr>
              <w:spacing w:after="0"/>
              <w:rPr>
                <w:sz w:val="21"/>
                <w:szCs w:val="21"/>
                <w:color w:val="auto"/>
              </w:rPr>
            </w:pPr>
          </w:p>
        </w:tc>
        <w:tc>
          <w:tcPr>
            <w:tcW w:w="7380" w:type="dxa"/>
            <w:vAlign w:val="bottom"/>
            <w:tcBorders>
              <w:bottom w:val="single" w:sz="8" w:color="0000FF"/>
            </w:tcBorders>
            <w:gridSpan w:val="20"/>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Indenture, dated as of September 20, 2017, by and between Wynn Macau, Limited and Deutsche Bank</w:t>
              </w:r>
            </w:hyperlink>
          </w:p>
        </w:tc>
        <w:tc>
          <w:tcPr>
            <w:tcW w:w="480" w:type="dxa"/>
            <w:vAlign w:val="bottom"/>
            <w:gridSpan w:val="9"/>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11/8/2017</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gridSpan w:val="29"/>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Trust Company Americas, as trustee, relating to senior notes due 2027.</w:t>
              </w:r>
            </w:hyperlink>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+10.1.1.0</w:t>
            </w:r>
          </w:p>
        </w:tc>
        <w:tc>
          <w:tcPr>
            <w:tcW w:w="40" w:type="dxa"/>
            <w:vAlign w:val="bottom"/>
          </w:tcPr>
          <w:p>
            <w:pPr>
              <w:spacing w:after="0"/>
              <w:rPr>
                <w:sz w:val="21"/>
                <w:szCs w:val="21"/>
                <w:color w:val="auto"/>
              </w:rPr>
            </w:pPr>
          </w:p>
        </w:tc>
        <w:tc>
          <w:tcPr>
            <w:tcW w:w="7100" w:type="dxa"/>
            <w:vAlign w:val="bottom"/>
            <w:tcBorders>
              <w:bottom w:val="single" w:sz="8" w:color="0000FF"/>
            </w:tcBorders>
            <w:gridSpan w:val="15"/>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Employment Agreement, dated as of October 4, 2002, by and between Wynn Resorts, Limited and</w:t>
              </w:r>
            </w:hyperlink>
          </w:p>
        </w:tc>
        <w:tc>
          <w:tcPr>
            <w:tcW w:w="760" w:type="dxa"/>
            <w:vAlign w:val="bottom"/>
            <w:gridSpan w:val="14"/>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10/7/2002</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Stephen A. Wynn.</w:t>
              </w:r>
            </w:hyperlink>
          </w:p>
        </w:tc>
        <w:tc>
          <w:tcPr>
            <w:tcW w:w="6540" w:type="dxa"/>
            <w:vAlign w:val="bottom"/>
            <w:gridSpan w:val="27"/>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+10.1.1.1</w:t>
            </w:r>
          </w:p>
        </w:tc>
        <w:tc>
          <w:tcPr>
            <w:tcW w:w="40" w:type="dxa"/>
            <w:vAlign w:val="bottom"/>
          </w:tcPr>
          <w:p>
            <w:pPr>
              <w:spacing w:after="0"/>
              <w:rPr>
                <w:sz w:val="21"/>
                <w:szCs w:val="21"/>
                <w:color w:val="auto"/>
              </w:rPr>
            </w:pPr>
          </w:p>
        </w:tc>
        <w:tc>
          <w:tcPr>
            <w:tcW w:w="7360" w:type="dxa"/>
            <w:vAlign w:val="bottom"/>
            <w:tcBorders>
              <w:bottom w:val="single" w:sz="8" w:color="0000FF"/>
            </w:tcBorders>
            <w:gridSpan w:val="19"/>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First Amendment to Employment Agreement, dated as of August 6, 2004, by and between Stephen A.</w:t>
              </w:r>
            </w:hyperlink>
          </w:p>
        </w:tc>
        <w:tc>
          <w:tcPr>
            <w:tcW w:w="500" w:type="dxa"/>
            <w:vAlign w:val="bottom"/>
            <w:gridSpan w:val="10"/>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11/4/2004</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Wynn and Wynn Resorts, Limited.</w:t>
              </w:r>
            </w:hyperlink>
          </w:p>
        </w:tc>
        <w:tc>
          <w:tcPr>
            <w:tcW w:w="5360" w:type="dxa"/>
            <w:vAlign w:val="bottom"/>
            <w:gridSpan w:val="23"/>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+10.1.1.2</w:t>
            </w:r>
          </w:p>
        </w:tc>
        <w:tc>
          <w:tcPr>
            <w:tcW w:w="40" w:type="dxa"/>
            <w:vAlign w:val="bottom"/>
          </w:tcPr>
          <w:p>
            <w:pPr>
              <w:spacing w:after="0"/>
              <w:rPr>
                <w:sz w:val="21"/>
                <w:szCs w:val="21"/>
                <w:color w:val="auto"/>
              </w:rPr>
            </w:pPr>
          </w:p>
        </w:tc>
        <w:tc>
          <w:tcPr>
            <w:tcW w:w="7460" w:type="dxa"/>
            <w:vAlign w:val="bottom"/>
            <w:tcBorders>
              <w:bottom w:val="single" w:sz="8" w:color="0000FF"/>
            </w:tcBorders>
            <w:gridSpan w:val="24"/>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Second Amendment to Employment Agreement between Wynn Resorts, Limited and Stephen A. Wynn</w:t>
              </w:r>
            </w:hyperlink>
          </w:p>
        </w:tc>
        <w:tc>
          <w:tcPr>
            <w:tcW w:w="400" w:type="dxa"/>
            <w:vAlign w:val="bottom"/>
            <w:gridSpan w:val="5"/>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3/1/2007</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75">
              <w:r>
                <w:rPr>
                  <w:rFonts w:ascii="Arial" w:cs="Arial" w:eastAsia="Arial" w:hAnsi="Arial"/>
                  <w:sz w:val="18"/>
                  <w:szCs w:val="18"/>
                  <w:color w:val="0000FF"/>
                  <w:w w:val="87"/>
                </w:rPr>
                <w:t>dated January 31, 2007.</w:t>
              </w:r>
            </w:hyperlink>
          </w:p>
        </w:tc>
        <w:tc>
          <w:tcPr>
            <w:tcW w:w="6140" w:type="dxa"/>
            <w:vAlign w:val="bottom"/>
            <w:gridSpan w:val="26"/>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+10.1.1.3</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Third Amendment to Employment Agreement, dated as of September 11, 2008, between Wynn Resorts,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9/15/2008</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Limited and Stephen A. Wynn.</w:t>
              </w:r>
            </w:hyperlink>
          </w:p>
        </w:tc>
        <w:tc>
          <w:tcPr>
            <w:tcW w:w="5240" w:type="dxa"/>
            <w:vAlign w:val="bottom"/>
            <w:tcBorders>
              <w:top w:val="single" w:sz="8" w:color="0000FF"/>
            </w:tcBorders>
            <w:gridSpan w:val="21"/>
          </w:tcPr>
          <w:p>
            <w:pPr>
              <w:spacing w:after="0"/>
              <w:rPr>
                <w:sz w:val="17"/>
                <w:szCs w:val="17"/>
                <w:color w:val="auto"/>
              </w:rPr>
            </w:pPr>
          </w:p>
        </w:tc>
        <w:tc>
          <w:tcPr>
            <w:tcW w:w="38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+10.1.1.4</w:t>
            </w:r>
          </w:p>
        </w:tc>
        <w:tc>
          <w:tcPr>
            <w:tcW w:w="40" w:type="dxa"/>
            <w:vAlign w:val="bottom"/>
          </w:tcPr>
          <w:p>
            <w:pPr>
              <w:spacing w:after="0"/>
              <w:rPr>
                <w:sz w:val="21"/>
                <w:szCs w:val="21"/>
                <w:color w:val="auto"/>
              </w:rPr>
            </w:pPr>
          </w:p>
        </w:tc>
        <w:tc>
          <w:tcPr>
            <w:tcW w:w="7540" w:type="dxa"/>
            <w:vAlign w:val="bottom"/>
            <w:tcBorders>
              <w:bottom w:val="single" w:sz="8" w:color="0000FF"/>
            </w:tcBorders>
            <w:gridSpan w:val="26"/>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Fourth Amendment to Employment Agreement, dated as of December 31, 2008, between Wynn Resorts,</w:t>
              </w:r>
            </w:hyperlink>
          </w:p>
        </w:tc>
        <w:tc>
          <w:tcPr>
            <w:tcW w:w="320" w:type="dxa"/>
            <w:vAlign w:val="bottom"/>
            <w:gridSpan w:val="3"/>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3/2/2009</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Limited and Stephen A. Wynn.</w:t>
              </w:r>
            </w:hyperlink>
          </w:p>
        </w:tc>
        <w:tc>
          <w:tcPr>
            <w:tcW w:w="5620" w:type="dxa"/>
            <w:vAlign w:val="bottom"/>
            <w:gridSpan w:val="25"/>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+10.1.1.5</w:t>
            </w:r>
          </w:p>
        </w:tc>
        <w:tc>
          <w:tcPr>
            <w:tcW w:w="40" w:type="dxa"/>
            <w:vAlign w:val="bottom"/>
          </w:tcPr>
          <w:p>
            <w:pPr>
              <w:spacing w:after="0"/>
              <w:rPr>
                <w:sz w:val="21"/>
                <w:szCs w:val="21"/>
                <w:color w:val="auto"/>
              </w:rPr>
            </w:pPr>
          </w:p>
        </w:tc>
        <w:tc>
          <w:tcPr>
            <w:tcW w:w="7460" w:type="dxa"/>
            <w:vAlign w:val="bottom"/>
            <w:tcBorders>
              <w:bottom w:val="single" w:sz="8" w:color="0000FF"/>
            </w:tcBorders>
            <w:gridSpan w:val="24"/>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Amendment to Employment Agreement, dated as of February 16, 2009, by and between Wynn Resorts,</w:t>
              </w:r>
            </w:hyperlink>
          </w:p>
        </w:tc>
        <w:tc>
          <w:tcPr>
            <w:tcW w:w="400" w:type="dxa"/>
            <w:vAlign w:val="bottom"/>
            <w:gridSpan w:val="5"/>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5/11/2009</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Limited and Stephen A. Wynn.</w:t>
              </w:r>
            </w:hyperlink>
          </w:p>
        </w:tc>
        <w:tc>
          <w:tcPr>
            <w:tcW w:w="5620" w:type="dxa"/>
            <w:vAlign w:val="bottom"/>
            <w:gridSpan w:val="25"/>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+10.1.1.6</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6"/>
              </w:rPr>
            </w:pPr>
            <w:hyperlink r:id="rId79">
              <w:r>
                <w:rPr>
                  <w:rFonts w:ascii="Arial" w:cs="Arial" w:eastAsia="Arial" w:hAnsi="Arial"/>
                  <w:sz w:val="18"/>
                  <w:szCs w:val="18"/>
                  <w:color w:val="0000FF"/>
                  <w:w w:val="96"/>
                </w:rPr>
                <w:t>Sixth Amendment to Employment Agreement, dated as of February 24, 2011, between Wynn Resorts,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89"/>
              </w:rPr>
              <w:t>2/28/2011</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Limited and Stephen A. Wynn.</w:t>
              </w:r>
            </w:hyperlink>
          </w:p>
        </w:tc>
        <w:tc>
          <w:tcPr>
            <w:tcW w:w="5100" w:type="dxa"/>
            <w:vAlign w:val="bottom"/>
            <w:tcBorders>
              <w:top w:val="single" w:sz="8" w:color="0000FF"/>
            </w:tcBorders>
            <w:gridSpan w:val="14"/>
          </w:tcPr>
          <w:p>
            <w:pPr>
              <w:spacing w:after="0"/>
              <w:rPr>
                <w:sz w:val="17"/>
                <w:szCs w:val="17"/>
                <w:color w:val="auto"/>
              </w:rPr>
            </w:pPr>
          </w:p>
        </w:tc>
        <w:tc>
          <w:tcPr>
            <w:tcW w:w="52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+10.1.1.7</w:t>
            </w:r>
          </w:p>
        </w:tc>
        <w:tc>
          <w:tcPr>
            <w:tcW w:w="40" w:type="dxa"/>
            <w:vAlign w:val="bottom"/>
          </w:tcPr>
          <w:p>
            <w:pPr>
              <w:spacing w:after="0"/>
              <w:rPr>
                <w:sz w:val="21"/>
                <w:szCs w:val="21"/>
                <w:color w:val="auto"/>
              </w:rPr>
            </w:pPr>
          </w:p>
        </w:tc>
        <w:tc>
          <w:tcPr>
            <w:tcW w:w="7460" w:type="dxa"/>
            <w:vAlign w:val="bottom"/>
            <w:tcBorders>
              <w:bottom w:val="single" w:sz="8" w:color="0000FF"/>
            </w:tcBorders>
            <w:gridSpan w:val="24"/>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Seventh Amendment to Employment Agreement, dated as of January 15, 2015, between Wynn Resorts,</w:t>
              </w:r>
            </w:hyperlink>
          </w:p>
        </w:tc>
        <w:tc>
          <w:tcPr>
            <w:tcW w:w="400" w:type="dxa"/>
            <w:vAlign w:val="bottom"/>
            <w:gridSpan w:val="5"/>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3/2/2015</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Limited and Stephen A. Wynn.</w:t>
              </w:r>
            </w:hyperlink>
          </w:p>
        </w:tc>
        <w:tc>
          <w:tcPr>
            <w:tcW w:w="5620" w:type="dxa"/>
            <w:vAlign w:val="bottom"/>
            <w:gridSpan w:val="25"/>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+10.1.2.0</w:t>
            </w:r>
          </w:p>
        </w:tc>
        <w:tc>
          <w:tcPr>
            <w:tcW w:w="40" w:type="dxa"/>
            <w:vAlign w:val="bottom"/>
          </w:tcPr>
          <w:p>
            <w:pPr>
              <w:spacing w:after="0"/>
              <w:rPr>
                <w:sz w:val="21"/>
                <w:szCs w:val="21"/>
                <w:color w:val="auto"/>
              </w:rPr>
            </w:pPr>
          </w:p>
        </w:tc>
        <w:tc>
          <w:tcPr>
            <w:tcW w:w="7420" w:type="dxa"/>
            <w:vAlign w:val="bottom"/>
            <w:tcBorders>
              <w:bottom w:val="single" w:sz="8" w:color="0000FF"/>
            </w:tcBorders>
            <w:gridSpan w:val="22"/>
          </w:tcPr>
          <w:p>
            <w:pPr>
              <w:spacing w:after="0"/>
              <w:rPr>
                <w:rFonts w:ascii="Arial" w:cs="Arial" w:eastAsia="Arial" w:hAnsi="Arial"/>
                <w:sz w:val="18"/>
                <w:szCs w:val="18"/>
                <w:color w:val="0000FF"/>
                <w:w w:val="89"/>
              </w:rPr>
            </w:pPr>
            <w:hyperlink r:id="rId81">
              <w:r>
                <w:rPr>
                  <w:rFonts w:ascii="Arial" w:cs="Arial" w:eastAsia="Arial" w:hAnsi="Arial"/>
                  <w:sz w:val="18"/>
                  <w:szCs w:val="18"/>
                  <w:color w:val="0000FF"/>
                  <w:w w:val="89"/>
                </w:rPr>
                <w:t>Amended and Restated Employment Agreement, dated as of February 28, 2017, by and between Wynn</w:t>
              </w:r>
            </w:hyperlink>
          </w:p>
        </w:tc>
        <w:tc>
          <w:tcPr>
            <w:tcW w:w="440" w:type="dxa"/>
            <w:vAlign w:val="bottom"/>
            <w:gridSpan w:val="7"/>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5/4/2017</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Resorts, Limited and Matt Maddox.</w:t>
              </w:r>
            </w:hyperlink>
          </w:p>
        </w:tc>
        <w:tc>
          <w:tcPr>
            <w:tcW w:w="5280" w:type="dxa"/>
            <w:vAlign w:val="bottom"/>
            <w:gridSpan w:val="22"/>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+10.1.3.0</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7"/>
              </w:rPr>
            </w:pPr>
            <w:hyperlink r:id="rId82">
              <w:r>
                <w:rPr>
                  <w:rFonts w:ascii="Arial" w:cs="Arial" w:eastAsia="Arial" w:hAnsi="Arial"/>
                  <w:sz w:val="18"/>
                  <w:szCs w:val="18"/>
                  <w:color w:val="0000FF"/>
                  <w:w w:val="97"/>
                </w:rPr>
                <w:t>Employment Agreement, dated as of April 24, 2007, by and between Wynn Resorts, Limited and Kim</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3/1/2010</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82">
              <w:r>
                <w:rPr>
                  <w:rFonts w:ascii="Arial" w:cs="Arial" w:eastAsia="Arial" w:hAnsi="Arial"/>
                  <w:sz w:val="18"/>
                  <w:szCs w:val="18"/>
                  <w:color w:val="0000FF"/>
                  <w:w w:val="86"/>
                </w:rPr>
                <w:t>Sinatra.</w:t>
              </w:r>
            </w:hyperlink>
          </w:p>
        </w:tc>
        <w:tc>
          <w:tcPr>
            <w:tcW w:w="6780" w:type="dxa"/>
            <w:vAlign w:val="bottom"/>
            <w:tcBorders>
              <w:top w:val="single" w:sz="8" w:color="0000FF"/>
            </w:tcBorders>
            <w:gridSpan w:val="17"/>
          </w:tcPr>
          <w:p>
            <w:pPr>
              <w:spacing w:after="0"/>
              <w:rPr>
                <w:sz w:val="17"/>
                <w:szCs w:val="17"/>
                <w:color w:val="auto"/>
              </w:rPr>
            </w:pPr>
          </w:p>
        </w:tc>
        <w:tc>
          <w:tcPr>
            <w:tcW w:w="52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980" w:type="dxa"/>
            <w:vAlign w:val="bottom"/>
          </w:tcPr>
          <w:p>
            <w:pPr>
              <w:jc w:val="center"/>
              <w:ind w:right="191"/>
              <w:spacing w:after="0"/>
              <w:rPr>
                <w:sz w:val="20"/>
                <w:szCs w:val="20"/>
                <w:color w:val="auto"/>
              </w:rPr>
            </w:pPr>
            <w:r>
              <w:rPr>
                <w:rFonts w:ascii="Arial" w:cs="Arial" w:eastAsia="Arial" w:hAnsi="Arial"/>
                <w:sz w:val="18"/>
                <w:szCs w:val="18"/>
                <w:color w:val="auto"/>
                <w:w w:val="92"/>
              </w:rPr>
              <w:t>+10.1.3.1</w:t>
            </w:r>
          </w:p>
        </w:tc>
        <w:tc>
          <w:tcPr>
            <w:tcW w:w="40" w:type="dxa"/>
            <w:vAlign w:val="bottom"/>
          </w:tcPr>
          <w:p>
            <w:pPr>
              <w:spacing w:after="0"/>
              <w:rPr>
                <w:sz w:val="21"/>
                <w:szCs w:val="21"/>
                <w:color w:val="auto"/>
              </w:rPr>
            </w:pPr>
          </w:p>
        </w:tc>
        <w:tc>
          <w:tcPr>
            <w:tcW w:w="7860" w:type="dxa"/>
            <w:vAlign w:val="bottom"/>
            <w:gridSpan w:val="29"/>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First Amendment to Employment Agreement, dated as of December 31, 2008, by and between Wynn</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ind w:left="11"/>
              <w:spacing w:after="0"/>
              <w:rPr>
                <w:sz w:val="20"/>
                <w:szCs w:val="20"/>
                <w:color w:val="auto"/>
              </w:rPr>
            </w:pPr>
            <w:r>
              <w:rPr>
                <w:rFonts w:ascii="Arial" w:cs="Arial" w:eastAsia="Arial" w:hAnsi="Arial"/>
                <w:sz w:val="18"/>
                <w:szCs w:val="18"/>
                <w:color w:val="auto"/>
                <w:w w:val="91"/>
              </w:rPr>
              <w:t>3/1/2010</w:t>
            </w: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Resorts, Limited and Kim Sinatra.</w:t>
              </w:r>
            </w:hyperlink>
          </w:p>
        </w:tc>
        <w:tc>
          <w:tcPr>
            <w:tcW w:w="580" w:type="dxa"/>
            <w:vAlign w:val="bottom"/>
            <w:gridSpan w:val="12"/>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507"/>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Borders>
              <w:top w:val="single" w:sz="8" w:color="0000FF"/>
            </w:tcBorders>
            <w:gridSpan w:val="5"/>
          </w:tcPr>
          <w:p>
            <w:pPr>
              <w:spacing w:after="0"/>
              <w:rPr>
                <w:sz w:val="24"/>
                <w:szCs w:val="24"/>
                <w:color w:val="auto"/>
              </w:rPr>
            </w:pPr>
          </w:p>
        </w:tc>
        <w:tc>
          <w:tcPr>
            <w:tcW w:w="2640" w:type="dxa"/>
            <w:vAlign w:val="bottom"/>
            <w:gridSpan w:val="5"/>
          </w:tcPr>
          <w:p>
            <w:pPr>
              <w:jc w:val="right"/>
              <w:ind w:right="4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+10.1.3.2</w:t>
            </w:r>
          </w:p>
        </w:tc>
        <w:tc>
          <w:tcPr>
            <w:tcW w:w="7460" w:type="dxa"/>
            <w:vAlign w:val="bottom"/>
            <w:tcBorders>
              <w:bottom w:val="single" w:sz="8" w:color="0000FF"/>
            </w:tcBorders>
            <w:gridSpan w:val="26"/>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Amendment to Employment Agreement, dated as of February 12, 2009, by and between Wynn Resorts,</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8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Limited and Kim Sinatra.</w:t>
              </w:r>
            </w:hyperlink>
          </w:p>
        </w:tc>
        <w:tc>
          <w:tcPr>
            <w:tcW w:w="5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+10.1.3.3</w:t>
            </w:r>
          </w:p>
        </w:tc>
        <w:tc>
          <w:tcPr>
            <w:tcW w:w="7520" w:type="dxa"/>
            <w:vAlign w:val="bottom"/>
            <w:tcBorders>
              <w:bottom w:val="single" w:sz="8" w:color="0000FF"/>
            </w:tcBorders>
            <w:gridSpan w:val="29"/>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Second Amendment to Employment Agreement, dated as of November 30, 2009, by and between Wynn</w:t>
              </w:r>
            </w:hyperlink>
          </w:p>
        </w:tc>
        <w:tc>
          <w:tcPr>
            <w:tcW w:w="1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Resorts, Limited and Kim Sinatra.</w:t>
              </w:r>
            </w:hyperlink>
          </w:p>
        </w:tc>
        <w:tc>
          <w:tcPr>
            <w:tcW w:w="52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+10.1.3.4</w:t>
            </w:r>
          </w:p>
        </w:tc>
        <w:tc>
          <w:tcPr>
            <w:tcW w:w="7500" w:type="dxa"/>
            <w:vAlign w:val="bottom"/>
            <w:tcBorders>
              <w:bottom w:val="single" w:sz="8" w:color="0000FF"/>
            </w:tcBorders>
            <w:gridSpan w:val="28"/>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Third Amendment to Employment Agreement, dated as of May 5, 2014, by and between Wynn Resorts,</w:t>
              </w:r>
            </w:hyperlink>
          </w:p>
        </w:tc>
        <w:tc>
          <w:tcPr>
            <w:tcW w:w="2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8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Limited and Kim Sinatra.</w:t>
              </w:r>
            </w:hyperlink>
          </w:p>
        </w:tc>
        <w:tc>
          <w:tcPr>
            <w:tcW w:w="5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+10.1.3.5</w:t>
            </w:r>
          </w:p>
        </w:tc>
        <w:tc>
          <w:tcPr>
            <w:tcW w:w="7080" w:type="dxa"/>
            <w:vAlign w:val="bottom"/>
            <w:tcBorders>
              <w:bottom w:val="single" w:sz="8" w:color="0000FF"/>
            </w:tcBorders>
            <w:gridSpan w:val="16"/>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Fourth Amendment to Employment Agreement, dated as of April 27, 2015, by and between Wynn</w:t>
              </w:r>
            </w:hyperlink>
          </w:p>
        </w:tc>
        <w:tc>
          <w:tcPr>
            <w:tcW w:w="6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Resorts, Limited and Kim Sinatra.</w:t>
              </w:r>
            </w:hyperlink>
          </w:p>
        </w:tc>
        <w:tc>
          <w:tcPr>
            <w:tcW w:w="52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+10.1.3.6</w:t>
            </w:r>
          </w:p>
        </w:tc>
        <w:tc>
          <w:tcPr>
            <w:tcW w:w="7420" w:type="dxa"/>
            <w:vAlign w:val="bottom"/>
            <w:tcBorders>
              <w:bottom w:val="single" w:sz="8" w:color="0000FF"/>
            </w:tcBorders>
            <w:gridSpan w:val="24"/>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Amended and Restated Employment Agreement, dated as of February 28, 2017, by and between Wynn</w:t>
              </w:r>
            </w:hyperlink>
          </w:p>
        </w:tc>
        <w:tc>
          <w:tcPr>
            <w:tcW w:w="2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Resorts, Limited and Kim Sinatra.</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+10.1.4.0</w:t>
            </w:r>
          </w:p>
        </w:tc>
        <w:tc>
          <w:tcPr>
            <w:tcW w:w="7520" w:type="dxa"/>
            <w:vAlign w:val="bottom"/>
            <w:tcBorders>
              <w:bottom w:val="single" w:sz="8" w:color="0000FF"/>
            </w:tcBorders>
            <w:gridSpan w:val="29"/>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Employment Agreement, dated as of August 31, 2005, by and between Wynn Resorts, Limited and John</w:t>
              </w:r>
            </w:hyperlink>
          </w:p>
        </w:tc>
        <w:tc>
          <w:tcPr>
            <w:tcW w:w="1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Strzemp.</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+10.1.4.1</w:t>
            </w: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continue"/>
          </w:tcPr>
          <w:p>
            <w:pPr>
              <w:spacing w:after="0"/>
              <w:rPr>
                <w:sz w:val="24"/>
                <w:szCs w:val="24"/>
                <w:color w:val="auto"/>
              </w:rPr>
            </w:pPr>
          </w:p>
        </w:tc>
        <w:tc>
          <w:tcPr>
            <w:tcW w:w="7660" w:type="dxa"/>
            <w:vAlign w:val="bottom"/>
            <w:tcBorders>
              <w:bottom w:val="single" w:sz="8" w:color="0000FF"/>
            </w:tcBorders>
            <w:gridSpan w:val="32"/>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First Amendment to Employment Agreement, dated as of March 26, 2008, by and between Wynn Resorts,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Limited and John Strzemp.</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+10.1.4.2</w:t>
            </w: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continue"/>
          </w:tcPr>
          <w:p>
            <w:pPr>
              <w:spacing w:after="0"/>
              <w:rPr>
                <w:sz w:val="24"/>
                <w:szCs w:val="24"/>
                <w:color w:val="auto"/>
              </w:rPr>
            </w:pPr>
          </w:p>
        </w:tc>
        <w:tc>
          <w:tcPr>
            <w:tcW w:w="7500" w:type="dxa"/>
            <w:vAlign w:val="bottom"/>
            <w:tcBorders>
              <w:bottom w:val="single" w:sz="8" w:color="0000FF"/>
            </w:tcBorders>
            <w:gridSpan w:val="28"/>
          </w:tcPr>
          <w:p>
            <w:pPr>
              <w:spacing w:after="0"/>
              <w:rPr>
                <w:rFonts w:ascii="Arial" w:cs="Arial" w:eastAsia="Arial" w:hAnsi="Arial"/>
                <w:sz w:val="18"/>
                <w:szCs w:val="18"/>
                <w:color w:val="0000FF"/>
                <w:w w:val="89"/>
              </w:rPr>
            </w:pPr>
            <w:hyperlink r:id="rId91">
              <w:r>
                <w:rPr>
                  <w:rFonts w:ascii="Arial" w:cs="Arial" w:eastAsia="Arial" w:hAnsi="Arial"/>
                  <w:sz w:val="18"/>
                  <w:szCs w:val="18"/>
                  <w:color w:val="0000FF"/>
                  <w:w w:val="89"/>
                </w:rPr>
                <w:t>Second Amendment to Employment Agreement, dated as of December 31, 2008, by and between Wynn</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Resorts, Limited and John Strzemp.</w:t>
              </w:r>
            </w:hyperlink>
          </w:p>
        </w:tc>
        <w:tc>
          <w:tcPr>
            <w:tcW w:w="51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+10.1.4.3</w:t>
            </w:r>
          </w:p>
        </w:tc>
        <w:tc>
          <w:tcPr>
            <w:tcW w:w="7460" w:type="dxa"/>
            <w:vAlign w:val="bottom"/>
            <w:tcBorders>
              <w:bottom w:val="single" w:sz="8" w:color="0000FF"/>
            </w:tcBorders>
            <w:gridSpan w:val="26"/>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Amendment to Employment Agreement, dated as of February 12, 2009, by and between Wynn Resorts,</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Limited and John Strzemp.</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+10.1.4.4</w:t>
            </w: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continue"/>
          </w:tcPr>
          <w:p>
            <w:pPr>
              <w:spacing w:after="0"/>
              <w:rPr>
                <w:sz w:val="24"/>
                <w:szCs w:val="24"/>
                <w:color w:val="auto"/>
              </w:rPr>
            </w:pPr>
          </w:p>
        </w:tc>
        <w:tc>
          <w:tcPr>
            <w:tcW w:w="7700" w:type="dxa"/>
            <w:vAlign w:val="bottom"/>
            <w:gridSpan w:val="33"/>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Fourth Amendment to Employment Agreement, dated as of March 23, 2009, by and between Wynn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Resorts, Limited and John Strzemp.</w:t>
              </w:r>
            </w:hyperlink>
          </w:p>
        </w:tc>
        <w:tc>
          <w:tcPr>
            <w:tcW w:w="4580" w:type="dxa"/>
            <w:vAlign w:val="bottom"/>
            <w:tcBorders>
              <w:top w:val="single" w:sz="8" w:color="0000FF"/>
            </w:tcBorders>
            <w:gridSpan w:val="6"/>
          </w:tcPr>
          <w:p>
            <w:pPr>
              <w:spacing w:after="0"/>
              <w:rPr>
                <w:sz w:val="17"/>
                <w:szCs w:val="17"/>
                <w:color w:val="auto"/>
              </w:rPr>
            </w:pPr>
          </w:p>
        </w:tc>
        <w:tc>
          <w:tcPr>
            <w:tcW w:w="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+10.1.4.5</w:t>
            </w:r>
          </w:p>
        </w:tc>
        <w:tc>
          <w:tcPr>
            <w:tcW w:w="7240" w:type="dxa"/>
            <w:vAlign w:val="bottom"/>
            <w:tcBorders>
              <w:bottom w:val="single" w:sz="8" w:color="0000FF"/>
            </w:tcBorders>
            <w:gridSpan w:val="19"/>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Fifth Amendment to Employment Agreement, dated as of February 25, 2013, by and between Wynn</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Resorts, Limited and John Strzemp.</w:t>
              </w:r>
            </w:hyperlink>
          </w:p>
        </w:tc>
        <w:tc>
          <w:tcPr>
            <w:tcW w:w="51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+10.1.4.6</w:t>
            </w:r>
          </w:p>
        </w:tc>
        <w:tc>
          <w:tcPr>
            <w:tcW w:w="7380" w:type="dxa"/>
            <w:vAlign w:val="bottom"/>
            <w:tcBorders>
              <w:bottom w:val="single" w:sz="8" w:color="0000FF"/>
            </w:tcBorders>
            <w:gridSpan w:val="22"/>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Sixth Amendment to Employment Agreement, dated as of September 10, 2013, by and between Wynn</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Resorts, Limited and John Strzemp.</w:t>
              </w:r>
            </w:hyperlink>
          </w:p>
        </w:tc>
        <w:tc>
          <w:tcPr>
            <w:tcW w:w="51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+10.1.5.0</w:t>
            </w:r>
          </w:p>
        </w:tc>
        <w:tc>
          <w:tcPr>
            <w:tcW w:w="7280" w:type="dxa"/>
            <w:vAlign w:val="bottom"/>
            <w:tcBorders>
              <w:bottom w:val="single" w:sz="8" w:color="0000FF"/>
            </w:tcBorders>
            <w:gridSpan w:val="20"/>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Employment Agreement, dated as of November 7, 2013, by and between Wynn Resorts, Limited and</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96" w:lineRule="exact"/>
              <w:rPr>
                <w:rFonts w:ascii="Arial" w:cs="Arial" w:eastAsia="Arial" w:hAnsi="Arial"/>
                <w:sz w:val="18"/>
                <w:szCs w:val="18"/>
                <w:color w:val="0000FF"/>
                <w:w w:val="86"/>
              </w:rPr>
            </w:pPr>
            <w:hyperlink r:id="rId96">
              <w:r>
                <w:rPr>
                  <w:rFonts w:ascii="Arial" w:cs="Arial" w:eastAsia="Arial" w:hAnsi="Arial"/>
                  <w:sz w:val="18"/>
                  <w:szCs w:val="18"/>
                  <w:color w:val="0000FF"/>
                  <w:w w:val="86"/>
                </w:rPr>
                <w:t>Stephen Cootey.</w:t>
              </w:r>
            </w:hyperlink>
          </w:p>
        </w:tc>
        <w:tc>
          <w:tcPr>
            <w:tcW w:w="65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+10.1.5.1</w:t>
            </w:r>
          </w:p>
        </w:tc>
        <w:tc>
          <w:tcPr>
            <w:tcW w:w="7660" w:type="dxa"/>
            <w:vAlign w:val="bottom"/>
            <w:tcBorders>
              <w:bottom w:val="single" w:sz="8" w:color="0000FF"/>
            </w:tcBorders>
            <w:gridSpan w:val="32"/>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First Amendment to Employment Agreement, dated as of January 6, 2014, by and between Wynn Resorts,</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1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Limited and Stephen Cootey.</w:t>
              </w:r>
            </w:hyperlink>
          </w:p>
        </w:tc>
        <w:tc>
          <w:tcPr>
            <w:tcW w:w="5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+10.1.5.2</w:t>
            </w:r>
          </w:p>
        </w:tc>
        <w:tc>
          <w:tcPr>
            <w:tcW w:w="7400" w:type="dxa"/>
            <w:vAlign w:val="bottom"/>
            <w:tcBorders>
              <w:bottom w:val="single" w:sz="8" w:color="0000FF"/>
            </w:tcBorders>
            <w:gridSpan w:val="23"/>
          </w:tcPr>
          <w:p>
            <w:pPr>
              <w:spacing w:after="0"/>
              <w:rPr>
                <w:rFonts w:ascii="Arial" w:cs="Arial" w:eastAsia="Arial" w:hAnsi="Arial"/>
                <w:sz w:val="18"/>
                <w:szCs w:val="18"/>
                <w:color w:val="0000FF"/>
                <w:w w:val="89"/>
              </w:rPr>
            </w:pPr>
            <w:hyperlink r:id="rId98">
              <w:r>
                <w:rPr>
                  <w:rFonts w:ascii="Arial" w:cs="Arial" w:eastAsia="Arial" w:hAnsi="Arial"/>
                  <w:sz w:val="18"/>
                  <w:szCs w:val="18"/>
                  <w:color w:val="0000FF"/>
                  <w:w w:val="89"/>
                </w:rPr>
                <w:t>Second Amendment to Employment Agreement, dated as of February 24, 2015, by and between Wynn</w:t>
              </w:r>
            </w:hyperlink>
          </w:p>
        </w:tc>
        <w:tc>
          <w:tcPr>
            <w:tcW w:w="3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gridSpan w:val="33"/>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Resorts, Limited and Stephen Cootey.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+10.1.5.3</w:t>
            </w:r>
          </w:p>
        </w:tc>
        <w:tc>
          <w:tcPr>
            <w:tcW w:w="7700" w:type="dxa"/>
            <w:vAlign w:val="bottom"/>
            <w:tcBorders>
              <w:bottom w:val="single" w:sz="8" w:color="0000FF"/>
            </w:tcBorders>
            <w:gridSpan w:val="33"/>
          </w:tcPr>
          <w:p>
            <w:pPr>
              <w:spacing w:after="0"/>
              <w:rPr>
                <w:rFonts w:ascii="Arial" w:cs="Arial" w:eastAsia="Arial" w:hAnsi="Arial"/>
                <w:sz w:val="18"/>
                <w:szCs w:val="18"/>
                <w:color w:val="0000FF"/>
                <w:w w:val="89"/>
              </w:rPr>
            </w:pPr>
            <w:hyperlink r:id="rId99">
              <w:r>
                <w:rPr>
                  <w:rFonts w:ascii="Arial" w:cs="Arial" w:eastAsia="Arial" w:hAnsi="Arial"/>
                  <w:sz w:val="18"/>
                  <w:szCs w:val="18"/>
                  <w:color w:val="0000FF"/>
                  <w:w w:val="89"/>
                </w:rPr>
                <w:t>Separation Agreement and Release, dated as of February 22, 2017, by and between Wynn Resorts, Limited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80" w:type="dxa"/>
            <w:vAlign w:val="bottom"/>
            <w:tcBorders>
              <w:bottom w:val="single" w:sz="8" w:color="0000FF"/>
            </w:tcBorders>
            <w:gridSpan w:val="5"/>
          </w:tcPr>
          <w:p>
            <w:pPr>
              <w:spacing w:after="0" w:line="196" w:lineRule="exact"/>
              <w:rPr>
                <w:rFonts w:ascii="Arial" w:cs="Arial" w:eastAsia="Arial" w:hAnsi="Arial"/>
                <w:sz w:val="18"/>
                <w:szCs w:val="18"/>
                <w:color w:val="0000FF"/>
                <w:w w:val="86"/>
              </w:rPr>
            </w:pPr>
            <w:hyperlink r:id="rId99">
              <w:r>
                <w:rPr>
                  <w:rFonts w:ascii="Arial" w:cs="Arial" w:eastAsia="Arial" w:hAnsi="Arial"/>
                  <w:sz w:val="18"/>
                  <w:szCs w:val="18"/>
                  <w:color w:val="0000FF"/>
                  <w:w w:val="86"/>
                </w:rPr>
                <w:t>and Stephen Cootey.</w:t>
              </w:r>
            </w:hyperlink>
          </w:p>
        </w:tc>
        <w:tc>
          <w:tcPr>
            <w:tcW w:w="62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92"/>
              </w:rPr>
              <w:t>+10.1.6.0</w:t>
            </w:r>
          </w:p>
        </w:tc>
        <w:tc>
          <w:tcPr>
            <w:tcW w:w="7700" w:type="dxa"/>
            <w:vAlign w:val="bottom"/>
            <w:gridSpan w:val="33"/>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Employment Agreement, dated as of January 27, 2017 by and between Wynn Resorts, Limited and Craig</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Billings.</w:t>
              </w:r>
            </w:hyperlink>
          </w:p>
        </w:tc>
        <w:tc>
          <w:tcPr>
            <w:tcW w:w="6920" w:type="dxa"/>
            <w:vAlign w:val="bottom"/>
            <w:tcBorders>
              <w:top w:val="single" w:sz="8" w:color="0000FF"/>
            </w:tcBorders>
            <w:gridSpan w:val="29"/>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+10.2.0</w:t>
            </w:r>
          </w:p>
        </w:tc>
        <w:tc>
          <w:tcPr>
            <w:tcW w:w="5580" w:type="dxa"/>
            <w:vAlign w:val="bottom"/>
            <w:tcBorders>
              <w:bottom w:val="single" w:sz="8" w:color="0000FF"/>
            </w:tcBorders>
            <w:gridSpan w:val="14"/>
          </w:tcPr>
          <w:p>
            <w:pPr>
              <w:spacing w:after="0"/>
              <w:rPr>
                <w:rFonts w:ascii="Arial" w:cs="Arial" w:eastAsia="Arial" w:hAnsi="Arial"/>
                <w:sz w:val="18"/>
                <w:szCs w:val="18"/>
                <w:color w:val="0000FF"/>
                <w:w w:val="89"/>
              </w:rPr>
            </w:pPr>
            <w:hyperlink r:id="rId101">
              <w:r>
                <w:rPr>
                  <w:rFonts w:ascii="Arial" w:cs="Arial" w:eastAsia="Arial" w:hAnsi="Arial"/>
                  <w:sz w:val="18"/>
                  <w:szCs w:val="18"/>
                  <w:color w:val="0000FF"/>
                  <w:w w:val="89"/>
                </w:rPr>
                <w:t>Amended and Restated 2014 Omnibus Incentive Plan, dated January 1, 2017.</w:t>
              </w:r>
            </w:hyperlink>
          </w:p>
        </w:tc>
        <w:tc>
          <w:tcPr>
            <w:tcW w:w="212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10.3.1.0</w:t>
            </w:r>
          </w:p>
        </w:tc>
        <w:tc>
          <w:tcPr>
            <w:tcW w:w="7640" w:type="dxa"/>
            <w:vAlign w:val="bottom"/>
            <w:tcBorders>
              <w:bottom w:val="single" w:sz="8" w:color="0000FF"/>
            </w:tcBorders>
            <w:gridSpan w:val="31"/>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Amended and Restated Stockholders Agreement, dated January 6, 2010, by and among Stephen A. Wynn,</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Elaine P. Wynn and Aruze USA, Inc.</w:t>
              </w:r>
            </w:hyperlink>
          </w:p>
        </w:tc>
        <w:tc>
          <w:tcPr>
            <w:tcW w:w="49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10.3.1.1</w:t>
            </w:r>
          </w:p>
        </w:tc>
        <w:tc>
          <w:tcPr>
            <w:tcW w:w="7700" w:type="dxa"/>
            <w:vAlign w:val="bottom"/>
            <w:gridSpan w:val="33"/>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Waiver and Consent, dated November 24, 2010, by and among Aruze USA, Inc., Stephen A. Wynn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4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Elaine P. Wynn.</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10.3.1.2</w:t>
            </w:r>
          </w:p>
        </w:tc>
        <w:tc>
          <w:tcPr>
            <w:tcW w:w="7700" w:type="dxa"/>
            <w:vAlign w:val="bottom"/>
            <w:gridSpan w:val="33"/>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Waiver and Consent, dated December 15, 2010, by and among Aruze USA, Inc., Stephen A. Wynn and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4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Elaine P. Wynn.</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10.3.2.0</w:t>
            </w:r>
          </w:p>
        </w:tc>
        <w:tc>
          <w:tcPr>
            <w:tcW w:w="7700" w:type="dxa"/>
            <w:vAlign w:val="bottom"/>
            <w:gridSpan w:val="33"/>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Second Amended and Restated Shareholders' Agreement, dated as of January 14, 2016, by and among</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20" w:type="dxa"/>
            <w:vAlign w:val="bottom"/>
            <w:gridSpan w:val="11"/>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5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w:anchor="page131">
              <w:r>
                <w:rPr>
                  <w:rFonts w:ascii="Arial" w:cs="Arial" w:eastAsia="Arial" w:hAnsi="Arial"/>
                  <w:sz w:val="18"/>
                  <w:szCs w:val="18"/>
                  <w:color w:val="0000FF"/>
                  <w:w w:val="91"/>
                </w:rPr>
                <w:t>Wynn Resorts (Macau), Ltd., Wynn Resorts International, Ltd., Chen Chi Ling Linda and Wynn Resorts</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31">
              <w:r>
                <w:rPr>
                  <w:rFonts w:ascii="Arial" w:cs="Arial" w:eastAsia="Arial" w:hAnsi="Arial"/>
                  <w:sz w:val="18"/>
                  <w:szCs w:val="18"/>
                  <w:color w:val="0000FF"/>
                  <w:w w:val="90"/>
                </w:rPr>
                <w:t>(Macau), S.A.</w:t>
              </w:r>
            </w:hyperlink>
          </w:p>
        </w:tc>
        <w:tc>
          <w:tcPr>
            <w:tcW w:w="66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10.4.1.0</w:t>
            </w:r>
          </w:p>
        </w:tc>
        <w:tc>
          <w:tcPr>
            <w:tcW w:w="7280" w:type="dxa"/>
            <w:vAlign w:val="bottom"/>
            <w:tcBorders>
              <w:bottom w:val="single" w:sz="8" w:color="0000FF"/>
            </w:tcBorders>
            <w:gridSpan w:val="20"/>
          </w:tcPr>
          <w:p>
            <w:pPr>
              <w:spacing w:after="0"/>
              <w:rPr>
                <w:rFonts w:ascii="Arial" w:cs="Arial" w:eastAsia="Arial" w:hAnsi="Arial"/>
                <w:sz w:val="18"/>
                <w:szCs w:val="18"/>
                <w:color w:val="0000FF"/>
                <w:w w:val="89"/>
              </w:rPr>
            </w:pPr>
            <w:hyperlink r:id="rId105">
              <w:r>
                <w:rPr>
                  <w:rFonts w:ascii="Arial" w:cs="Arial" w:eastAsia="Arial" w:hAnsi="Arial"/>
                  <w:sz w:val="18"/>
                  <w:szCs w:val="18"/>
                  <w:color w:val="0000FF"/>
                  <w:w w:val="89"/>
                </w:rPr>
                <w:t>Concession Contract for the Operation of Games of Chance or Other Games in Casinos in the Macau</w:t>
              </w:r>
            </w:hyperlink>
          </w:p>
        </w:tc>
        <w:tc>
          <w:tcPr>
            <w:tcW w:w="4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5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Special Administrative Region, dated June 24, 2002, between the Macau Special Administrative Region</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4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and Wynn Resorts (Macau), S.A. (English translation of Portuguese version of Concession Agreement).</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10.4.1.1</w:t>
            </w:r>
          </w:p>
        </w:tc>
        <w:tc>
          <w:tcPr>
            <w:tcW w:w="7220" w:type="dxa"/>
            <w:vAlign w:val="bottom"/>
            <w:tcBorders>
              <w:bottom w:val="single" w:sz="8" w:color="0000FF"/>
            </w:tcBorders>
            <w:gridSpan w:val="18"/>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Concession Contract for Operating Casino Gaming or Other Forms of Gaming in the Macao Special</w:t>
              </w:r>
            </w:hyperlink>
          </w:p>
        </w:tc>
        <w:tc>
          <w:tcPr>
            <w:tcW w:w="4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70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Administrative Region, dated June 24, 2002, between the Macau Special Administrative Region and Wynn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4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Resorts (Macau), S.A. (English translation of Chinese version of Concession Agreement).</w:t>
              </w:r>
            </w:hyperlink>
          </w:p>
        </w:tc>
        <w:tc>
          <w:tcPr>
            <w:tcW w:w="12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ind w:right="230"/>
              <w:spacing w:after="0"/>
              <w:rPr>
                <w:sz w:val="20"/>
                <w:szCs w:val="20"/>
                <w:color w:val="auto"/>
              </w:rPr>
            </w:pPr>
            <w:r>
              <w:rPr>
                <w:rFonts w:ascii="Arial" w:cs="Arial" w:eastAsia="Arial" w:hAnsi="Arial"/>
                <w:sz w:val="18"/>
                <w:szCs w:val="18"/>
                <w:color w:val="auto"/>
                <w:w w:val="89"/>
              </w:rPr>
              <w:t>10.4.1.2</w:t>
            </w:r>
          </w:p>
        </w:tc>
        <w:tc>
          <w:tcPr>
            <w:tcW w:w="7700" w:type="dxa"/>
            <w:vAlign w:val="bottom"/>
            <w:gridSpan w:val="33"/>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Unofficial English translation of Land Concession Contract between the Macau Special Administrative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4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Region and Wynn Resorts (Macau), S.A.</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3/1/2010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3/1/2010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8/8/2014</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8/7/2015</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5/4/2017</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2/28/2014</w:t>
            </w:r>
          </w:p>
        </w:tc>
      </w:tr>
      <w:tr>
        <w:trPr>
          <w:trHeight w:val="54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8/8/2014</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8/8/2014</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3/2/2015</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5/4/2017</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5/4/2017</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2/24/2017</w:t>
            </w:r>
          </w:p>
        </w:tc>
      </w:tr>
      <w:tr>
        <w:trPr>
          <w:trHeight w:val="27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1/6/2010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8"/>
              </w:rPr>
              <w:t>11/26/2010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230"/>
              <w:spacing w:after="0"/>
              <w:rPr>
                <w:sz w:val="20"/>
                <w:szCs w:val="20"/>
                <w:color w:val="auto"/>
              </w:rPr>
            </w:pPr>
            <w:r>
              <w:rPr>
                <w:rFonts w:ascii="Arial" w:cs="Arial" w:eastAsia="Arial" w:hAnsi="Arial"/>
                <w:sz w:val="18"/>
                <w:szCs w:val="18"/>
                <w:color w:val="auto"/>
                <w:w w:val="90"/>
              </w:rPr>
              <w:t>12/15/2010</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rPr>
              <w:t>*</w:t>
            </w:r>
          </w:p>
        </w:tc>
      </w:tr>
      <w:tr>
        <w:trPr>
          <w:trHeight w:val="70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8/20/2002</w:t>
            </w:r>
          </w:p>
        </w:tc>
      </w:tr>
      <w:tr>
        <w:trPr>
          <w:trHeight w:val="70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9"/>
              </w:rPr>
              <w:t>9/18/2002</w:t>
            </w:r>
          </w:p>
        </w:tc>
      </w:tr>
      <w:tr>
        <w:trPr>
          <w:trHeight w:val="70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1"/>
              </w:rPr>
              <w:t>8/3/2004</w:t>
            </w:r>
          </w:p>
        </w:tc>
      </w:tr>
    </w:tbl>
    <w:p>
      <w:pPr>
        <w:spacing w:after="0" w:line="389" w:lineRule="exact"/>
        <w:rPr>
          <w:sz w:val="20"/>
          <w:szCs w:val="20"/>
          <w:color w:val="auto"/>
        </w:rPr>
      </w:pPr>
    </w:p>
    <w:p>
      <w:pPr>
        <w:sectPr>
          <w:pgSz w:w="11900" w:h="16838" w:orient="portrait"/>
          <w:cols w:equalWidth="0" w:num="2">
            <w:col w:w="8900" w:space="480"/>
            <w:col w:w="1820"/>
          </w:cols>
          <w:pgMar w:left="240" w:top="121" w:right="459" w:bottom="1440" w:gutter="0" w:footer="0" w:header="0"/>
        </w:sectPr>
      </w:pP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200"/>
          </w:cols>
          <w:pgMar w:left="240" w:top="121" w:right="459" w:bottom="1440" w:gutter="0" w:footer="0" w:header="0"/>
          <w:type w:val="continuous"/>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80" w:hanging="960"/>
        <w:spacing w:after="0" w:line="286"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10.4.1.3</w:t>
      </w:r>
      <w:r>
        <w:rPr>
          <w:sz w:val="20"/>
          <w:szCs w:val="20"/>
          <w:color w:val="auto"/>
        </w:rPr>
        <w:tab/>
      </w:r>
      <w:hyperlink r:id="rId108">
        <w:r>
          <w:rPr>
            <w:rFonts w:ascii="Arial" w:cs="Arial" w:eastAsia="Arial" w:hAnsi="Arial"/>
            <w:sz w:val="17"/>
            <w:szCs w:val="17"/>
            <w:u w:val="single" w:color="auto"/>
            <w:color w:val="0000FF"/>
          </w:rPr>
          <w:t>Land Concession Contract, published on May 2, 2012, by and among Palo Real Estate Company Limited,</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Wynn Resorts (Macau), S.A. and the Macau Special Administrative Region of the People's Republic of</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China (translated to English from traditional Chinese and Portuguese).</w:t>
        </w:r>
      </w:hyperlink>
    </w:p>
    <w:p>
      <w:pPr>
        <w:spacing w:after="0" w:line="3" w:lineRule="exact"/>
        <w:rPr>
          <w:rFonts w:ascii="Arial" w:cs="Arial" w:eastAsia="Arial" w:hAnsi="Arial"/>
          <w:sz w:val="17"/>
          <w:szCs w:val="17"/>
          <w:u w:val="single" w:color="auto"/>
          <w:color w:val="0000FF"/>
        </w:rPr>
      </w:pPr>
    </w:p>
    <w:p>
      <w:pPr>
        <w:ind w:left="1200" w:right="40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10.4.1.4</w:t>
      </w:r>
      <w:r>
        <w:rPr>
          <w:sz w:val="20"/>
          <w:szCs w:val="20"/>
          <w:color w:val="auto"/>
        </w:rPr>
        <w:tab/>
      </w:r>
      <w:hyperlink r:id="rId109">
        <w:r>
          <w:rPr>
            <w:rFonts w:ascii="Arial" w:cs="Arial" w:eastAsia="Arial" w:hAnsi="Arial"/>
            <w:sz w:val="18"/>
            <w:szCs w:val="18"/>
            <w:u w:val="single" w:color="auto"/>
            <w:color w:val="0000FF"/>
          </w:rPr>
          <w:t>Bank Guarantee Reimbursement Agreement, dated as of September 14, 2004, between Wynn Resorts</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(Macau), S.A. and Banco Nacional Ultramarino.</w:t>
        </w:r>
      </w:hyperlink>
    </w:p>
    <w:p>
      <w:pPr>
        <w:spacing w:after="0" w:line="8" w:lineRule="exact"/>
        <w:rPr>
          <w:sz w:val="20"/>
          <w:szCs w:val="20"/>
          <w:color w:val="auto"/>
        </w:rPr>
      </w:pPr>
    </w:p>
    <w:p>
      <w:pPr>
        <w:ind w:left="1200" w:right="36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10.5.1.0</w:t>
      </w:r>
      <w:r>
        <w:rPr>
          <w:sz w:val="20"/>
          <w:szCs w:val="20"/>
          <w:color w:val="auto"/>
        </w:rPr>
        <w:tab/>
      </w:r>
      <w:hyperlink r:id="rId110">
        <w:r>
          <w:rPr>
            <w:rFonts w:ascii="Arial" w:cs="Arial" w:eastAsia="Arial" w:hAnsi="Arial"/>
            <w:sz w:val="18"/>
            <w:szCs w:val="18"/>
            <w:u w:val="single" w:color="auto"/>
            <w:color w:val="0000FF"/>
          </w:rPr>
          <w:t>Surname Rights Agreement, dated as of August 6, 2004, by and between Stephen A. Wynn and Wynn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Resorts Holdings, LLC.</w:t>
        </w:r>
      </w:hyperlink>
    </w:p>
    <w:p>
      <w:pPr>
        <w:spacing w:after="0" w:line="8" w:lineRule="exact"/>
        <w:rPr>
          <w:sz w:val="20"/>
          <w:szCs w:val="20"/>
          <w:color w:val="auto"/>
        </w:rPr>
      </w:pPr>
    </w:p>
    <w:p>
      <w:pPr>
        <w:ind w:left="1200" w:right="40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10.5.1.1</w:t>
      </w:r>
      <w:r>
        <w:rPr>
          <w:sz w:val="20"/>
          <w:szCs w:val="20"/>
          <w:color w:val="auto"/>
        </w:rPr>
        <w:tab/>
      </w:r>
      <w:hyperlink r:id="rId111">
        <w:r>
          <w:rPr>
            <w:rFonts w:ascii="Arial" w:cs="Arial" w:eastAsia="Arial" w:hAnsi="Arial"/>
            <w:sz w:val="18"/>
            <w:szCs w:val="18"/>
            <w:u w:val="single" w:color="auto"/>
            <w:color w:val="0000FF"/>
          </w:rPr>
          <w:t>Rights of Publicity License, dated as of August 6, 2004, by and between Stephen A. Wynn and Wynn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Resorts Holdings, LLC.</w:t>
        </w:r>
      </w:hyperlink>
    </w:p>
    <w:p>
      <w:pPr>
        <w:spacing w:after="0" w:line="8" w:lineRule="exact"/>
        <w:rPr>
          <w:sz w:val="20"/>
          <w:szCs w:val="20"/>
          <w:color w:val="auto"/>
        </w:rPr>
      </w:pPr>
    </w:p>
    <w:p>
      <w:pPr>
        <w:ind w:left="1200" w:right="28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10.5.2.0</w:t>
      </w:r>
      <w:r>
        <w:rPr>
          <w:sz w:val="20"/>
          <w:szCs w:val="20"/>
          <w:color w:val="auto"/>
        </w:rPr>
        <w:tab/>
      </w:r>
      <w:hyperlink r:id="rId112">
        <w:r>
          <w:rPr>
            <w:rFonts w:ascii="Arial" w:cs="Arial" w:eastAsia="Arial" w:hAnsi="Arial"/>
            <w:sz w:val="18"/>
            <w:szCs w:val="18"/>
            <w:u w:val="single" w:color="auto"/>
            <w:color w:val="0000FF"/>
          </w:rPr>
          <w:t>Intellectual Property License Agreement, dated as of December 14, 2004, by and among Wynn Resorts</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Holdings, Wynn Resorts, Limited and Wynn Las Vegas, LLC.</w:t>
        </w:r>
      </w:hyperlink>
    </w:p>
    <w:p>
      <w:pPr>
        <w:spacing w:after="0" w:line="8" w:lineRule="exact"/>
        <w:rPr>
          <w:sz w:val="20"/>
          <w:szCs w:val="20"/>
          <w:color w:val="auto"/>
        </w:rPr>
      </w:pPr>
    </w:p>
    <w:p>
      <w:pPr>
        <w:ind w:left="1200" w:right="26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10.5.2.1</w:t>
      </w:r>
      <w:r>
        <w:rPr>
          <w:sz w:val="20"/>
          <w:szCs w:val="20"/>
          <w:color w:val="auto"/>
        </w:rPr>
        <w:tab/>
      </w:r>
      <w:hyperlink r:id="rId113">
        <w:r>
          <w:rPr>
            <w:rFonts w:ascii="Arial" w:cs="Arial" w:eastAsia="Arial" w:hAnsi="Arial"/>
            <w:sz w:val="18"/>
            <w:szCs w:val="18"/>
            <w:u w:val="single" w:color="auto"/>
            <w:color w:val="0000FF"/>
          </w:rPr>
          <w:t>Intellectual Property License Agreement, dated as of September 19, 2009, by and among Wynn Resorts</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Holdings, LLC, Wynn Resorts, Limited and Wynn Macau, Limited.</w:t>
        </w:r>
      </w:hyperlink>
    </w:p>
    <w:p>
      <w:pPr>
        <w:spacing w:after="0" w:line="8" w:lineRule="exact"/>
        <w:rPr>
          <w:sz w:val="20"/>
          <w:szCs w:val="20"/>
          <w:color w:val="auto"/>
        </w:rPr>
      </w:pPr>
    </w:p>
    <w:p>
      <w:pPr>
        <w:ind w:left="1200" w:right="140" w:hanging="960"/>
        <w:spacing w:after="0" w:line="317"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10.5.2.2</w:t>
      </w:r>
      <w:r>
        <w:rPr>
          <w:sz w:val="20"/>
          <w:szCs w:val="20"/>
          <w:color w:val="auto"/>
        </w:rPr>
        <w:tab/>
      </w:r>
      <w:hyperlink r:id="rId114">
        <w:r>
          <w:rPr>
            <w:rFonts w:ascii="Arial" w:cs="Arial" w:eastAsia="Arial" w:hAnsi="Arial"/>
            <w:sz w:val="16"/>
            <w:szCs w:val="16"/>
            <w:u w:val="single" w:color="auto"/>
            <w:color w:val="0000FF"/>
          </w:rPr>
          <w:t>Amended and Restated Intellectual Property License Agreement, dated as of September 19, 2009, by and</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among Wynn Resorts Holdings, LLC, Wynn Resorts, Limited and Wynn Resorts (Macau), S.A.</w:t>
        </w:r>
      </w:hyperlink>
    </w:p>
    <w:p>
      <w:pPr>
        <w:ind w:left="1200" w:right="44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10.5.2.3</w:t>
      </w:r>
      <w:r>
        <w:rPr>
          <w:sz w:val="20"/>
          <w:szCs w:val="20"/>
          <w:color w:val="auto"/>
        </w:rPr>
        <w:tab/>
      </w:r>
      <w:hyperlink r:id="rId115">
        <w:r>
          <w:rPr>
            <w:rFonts w:ascii="Arial" w:cs="Arial" w:eastAsia="Arial" w:hAnsi="Arial"/>
            <w:sz w:val="18"/>
            <w:szCs w:val="18"/>
            <w:u w:val="single" w:color="auto"/>
            <w:color w:val="0000FF"/>
          </w:rPr>
          <w:t>2015 Intellectual Property License Agreement, dated as of February 26, 2015, by and between Wynn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Resorts Holdings, LLC, Wynn Resorts, Limited and Wynn Las Vegas, LLC.</w:t>
        </w:r>
      </w:hyperlink>
    </w:p>
    <w:p>
      <w:pPr>
        <w:spacing w:after="0" w:line="8" w:lineRule="exact"/>
        <w:rPr>
          <w:sz w:val="20"/>
          <w:szCs w:val="20"/>
          <w:color w:val="auto"/>
        </w:rPr>
      </w:pPr>
    </w:p>
    <w:p>
      <w:pPr>
        <w:ind w:left="1200" w:right="34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10.5.2.4</w:t>
      </w:r>
      <w:r>
        <w:rPr>
          <w:sz w:val="20"/>
          <w:szCs w:val="20"/>
          <w:color w:val="auto"/>
        </w:rPr>
        <w:tab/>
      </w:r>
      <w:hyperlink r:id="rId116">
        <w:r>
          <w:rPr>
            <w:rFonts w:ascii="Arial" w:cs="Arial" w:eastAsia="Arial" w:hAnsi="Arial"/>
            <w:sz w:val="18"/>
            <w:szCs w:val="18"/>
            <w:u w:val="single" w:color="auto"/>
            <w:color w:val="0000FF"/>
          </w:rPr>
          <w:t>2014 Intellectual Property License Agreement, dated as of November 20, 2014, by and between Wynn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Resorts Holdings, LLC, Wynn Resorts, Limited and Wynn MA, LLC.</w:t>
        </w:r>
      </w:hyperlink>
    </w:p>
    <w:p>
      <w:pPr>
        <w:spacing w:after="0" w:line="8" w:lineRule="exact"/>
        <w:rPr>
          <w:sz w:val="20"/>
          <w:szCs w:val="20"/>
          <w:color w:val="auto"/>
        </w:rPr>
      </w:pPr>
    </w:p>
    <w:p>
      <w:pPr>
        <w:ind w:left="1200" w:hanging="960"/>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10.6.1.0</w:t>
      </w:r>
      <w:r>
        <w:rPr>
          <w:sz w:val="20"/>
          <w:szCs w:val="20"/>
          <w:color w:val="auto"/>
        </w:rPr>
        <w:tab/>
      </w:r>
      <w:hyperlink r:id="rId117">
        <w:r>
          <w:rPr>
            <w:rFonts w:ascii="Arial" w:cs="Arial" w:eastAsia="Arial" w:hAnsi="Arial"/>
            <w:sz w:val="18"/>
            <w:szCs w:val="18"/>
            <w:u w:val="single" w:color="auto"/>
            <w:color w:val="0000FF"/>
          </w:rPr>
          <w:t>Common Terms Agreement Fifth Amendment Agreement, dated September 30, 2015, between, among</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others, Wynn Resorts (Macau), S.A. as the company and Bank of China Limited Macau Branch as security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agent.</w:t>
        </w:r>
      </w:hyperlink>
    </w:p>
    <w:p>
      <w:pPr>
        <w:spacing w:after="0" w:line="19" w:lineRule="exact"/>
        <w:rPr>
          <w:rFonts w:ascii="Arial" w:cs="Arial" w:eastAsia="Arial" w:hAnsi="Arial"/>
          <w:sz w:val="18"/>
          <w:szCs w:val="18"/>
          <w:u w:val="single" w:color="auto"/>
          <w:color w:val="0000FF"/>
        </w:rPr>
      </w:pPr>
    </w:p>
    <w:p>
      <w:pPr>
        <w:ind w:left="1200" w:right="20" w:hanging="960"/>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10.6.2.0</w:t>
      </w:r>
      <w:r>
        <w:rPr>
          <w:sz w:val="20"/>
          <w:szCs w:val="20"/>
          <w:color w:val="auto"/>
        </w:rPr>
        <w:tab/>
      </w:r>
      <w:hyperlink r:id="rId118">
        <w:r>
          <w:rPr>
            <w:rFonts w:ascii="Arial" w:cs="Arial" w:eastAsia="Arial" w:hAnsi="Arial"/>
            <w:sz w:val="18"/>
            <w:szCs w:val="18"/>
            <w:u w:val="single" w:color="auto"/>
            <w:color w:val="0000FF"/>
          </w:rPr>
          <w:t>Term Facility Agreement Fourth Amendment Agreement, dated September 30, 2015, by and among Wynn</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Resorts (Macau), S.A. and Bank of China Limited Macau Branch as Hotel Facility Agent and Hotel</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Facility Lender.</w:t>
        </w:r>
      </w:hyperlink>
    </w:p>
    <w:p>
      <w:pPr>
        <w:spacing w:after="0" w:line="19" w:lineRule="exact"/>
        <w:rPr>
          <w:rFonts w:ascii="Arial" w:cs="Arial" w:eastAsia="Arial" w:hAnsi="Arial"/>
          <w:sz w:val="18"/>
          <w:szCs w:val="18"/>
          <w:u w:val="single" w:color="auto"/>
          <w:color w:val="0000FF"/>
        </w:rPr>
      </w:pPr>
    </w:p>
    <w:p>
      <w:pPr>
        <w:ind w:left="1200" w:right="300" w:hanging="960"/>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10.6.4.0</w:t>
      </w:r>
      <w:r>
        <w:rPr>
          <w:sz w:val="20"/>
          <w:szCs w:val="20"/>
          <w:color w:val="auto"/>
        </w:rPr>
        <w:tab/>
      </w:r>
      <w:hyperlink r:id="rId119">
        <w:r>
          <w:rPr>
            <w:rFonts w:ascii="Arial" w:cs="Arial" w:eastAsia="Arial" w:hAnsi="Arial"/>
            <w:sz w:val="18"/>
            <w:szCs w:val="18"/>
            <w:u w:val="single" w:color="auto"/>
            <w:color w:val="0000FF"/>
          </w:rPr>
          <w:t>Revolving Credit Facility Agreement Amendment Agreement, dated as of September 30, 2015, by and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among Wynn Resorts (Macau), S.A. and Bank of China Limited Macau Branch as Revolving Credit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Facility Agent and Revolving Credit Facility Lender.</w:t>
        </w:r>
      </w:hyperlink>
    </w:p>
    <w:p>
      <w:pPr>
        <w:spacing w:after="0" w:line="19" w:lineRule="exact"/>
        <w:rPr>
          <w:rFonts w:ascii="Arial" w:cs="Arial" w:eastAsia="Arial" w:hAnsi="Arial"/>
          <w:sz w:val="18"/>
          <w:szCs w:val="18"/>
          <w:u w:val="single" w:color="auto"/>
          <w:color w:val="0000FF"/>
        </w:rPr>
      </w:pPr>
    </w:p>
    <w:p>
      <w:pPr>
        <w:ind w:left="1200" w:right="160" w:hanging="893"/>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120">
        <w:r>
          <w:rPr>
            <w:rFonts w:ascii="Arial" w:cs="Arial" w:eastAsia="Arial" w:hAnsi="Arial"/>
            <w:sz w:val="18"/>
            <w:szCs w:val="18"/>
            <w:u w:val="single" w:color="auto"/>
            <w:color w:val="0000FF"/>
          </w:rPr>
          <w:t>Debenture, dated as of September 14, 2004, between Wynn Resorts (Macau), S.A. and Société Générale,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Hong Kong Branch as the Security Agent.</w:t>
        </w:r>
      </w:hyperlink>
    </w:p>
    <w:p>
      <w:pPr>
        <w:spacing w:after="0" w:line="8" w:lineRule="exact"/>
        <w:rPr>
          <w:sz w:val="20"/>
          <w:szCs w:val="20"/>
          <w:color w:val="auto"/>
        </w:rPr>
      </w:pPr>
    </w:p>
    <w:p>
      <w:pPr>
        <w:ind w:left="1200" w:right="160" w:hanging="893"/>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10.8.0</w:t>
      </w:r>
      <w:r>
        <w:rPr>
          <w:sz w:val="20"/>
          <w:szCs w:val="20"/>
          <w:color w:val="auto"/>
        </w:rPr>
        <w:tab/>
      </w:r>
      <w:hyperlink r:id="rId121">
        <w:r>
          <w:rPr>
            <w:rFonts w:ascii="Arial" w:cs="Arial" w:eastAsia="Arial" w:hAnsi="Arial"/>
            <w:sz w:val="18"/>
            <w:szCs w:val="18"/>
            <w:u w:val="single" w:color="auto"/>
            <w:color w:val="0000FF"/>
          </w:rPr>
          <w:t>Third Amended and Restated Agreement of Lease, dated as of December 1, 2016, by and between Wynn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Las Vegas, LLC and Stephen A. Wynn.</w:t>
        </w:r>
      </w:hyperlink>
    </w:p>
    <w:p>
      <w:pPr>
        <w:spacing w:after="0" w:line="8" w:lineRule="exact"/>
        <w:rPr>
          <w:sz w:val="20"/>
          <w:szCs w:val="20"/>
          <w:color w:val="auto"/>
        </w:rPr>
      </w:pPr>
    </w:p>
    <w:p>
      <w:pPr>
        <w:ind w:left="1200" w:right="420" w:hanging="893"/>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10.8.1</w:t>
      </w:r>
      <w:r>
        <w:rPr>
          <w:sz w:val="20"/>
          <w:szCs w:val="20"/>
          <w:color w:val="auto"/>
        </w:rPr>
        <w:tab/>
      </w:r>
      <w:hyperlink r:id="rId122">
        <w:r>
          <w:rPr>
            <w:rFonts w:ascii="Arial" w:cs="Arial" w:eastAsia="Arial" w:hAnsi="Arial"/>
            <w:sz w:val="18"/>
            <w:szCs w:val="18"/>
            <w:u w:val="single" w:color="auto"/>
            <w:color w:val="0000FF"/>
          </w:rPr>
          <w:t>Sixth Amended and Restated Art Rental and Licensing Agreement, dated as of July 1, 2012, between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Stephen A. Wynn, as lessor, and Wynn Las Vegas, LLC, as lessee.</w:t>
        </w:r>
      </w:hyperlink>
    </w:p>
    <w:p>
      <w:pPr>
        <w:spacing w:after="0" w:line="8" w:lineRule="exact"/>
        <w:rPr>
          <w:sz w:val="20"/>
          <w:szCs w:val="20"/>
          <w:color w:val="auto"/>
        </w:rPr>
      </w:pPr>
    </w:p>
    <w:p>
      <w:pPr>
        <w:ind w:left="1200" w:right="18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10.9.1.0</w:t>
      </w:r>
      <w:r>
        <w:rPr>
          <w:sz w:val="20"/>
          <w:szCs w:val="20"/>
          <w:color w:val="auto"/>
        </w:rPr>
        <w:tab/>
      </w:r>
      <w:hyperlink r:id="rId123">
        <w:r>
          <w:rPr>
            <w:rFonts w:ascii="Arial" w:cs="Arial" w:eastAsia="Arial" w:hAnsi="Arial"/>
            <w:sz w:val="18"/>
            <w:szCs w:val="18"/>
            <w:u w:val="single" w:color="auto"/>
            <w:color w:val="0000FF"/>
          </w:rPr>
          <w:t>Aircraft Time Sharing Agreement, dated as of January 15, 2015, by and between Wynn Resorts, Limited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and Stephen A. Wynn.</w:t>
        </w:r>
      </w:hyperlink>
    </w:p>
    <w:p>
      <w:pPr>
        <w:spacing w:after="0" w:line="8" w:lineRule="exact"/>
        <w:rPr>
          <w:sz w:val="20"/>
          <w:szCs w:val="20"/>
          <w:color w:val="auto"/>
        </w:rPr>
      </w:pPr>
    </w:p>
    <w:p>
      <w:pPr>
        <w:ind w:left="1200" w:right="280" w:hanging="960"/>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10.9.2.0</w:t>
      </w:r>
      <w:r>
        <w:rPr>
          <w:sz w:val="20"/>
          <w:szCs w:val="20"/>
          <w:color w:val="auto"/>
        </w:rPr>
        <w:tab/>
      </w:r>
      <w:hyperlink r:id="rId124">
        <w:r>
          <w:rPr>
            <w:rFonts w:ascii="Arial" w:cs="Arial" w:eastAsia="Arial" w:hAnsi="Arial"/>
            <w:sz w:val="18"/>
            <w:szCs w:val="18"/>
            <w:u w:val="single" w:color="auto"/>
            <w:color w:val="0000FF"/>
          </w:rPr>
          <w:t>Aircraft Purchase Option Agreement, dated as of January 3, 2013, between Wynn Resorts, Limited and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Stephen A. Wynn.</w:t>
        </w:r>
      </w:hyperlink>
    </w:p>
    <w:p>
      <w:pPr>
        <w:spacing w:after="0" w:line="8" w:lineRule="exact"/>
        <w:rPr>
          <w:sz w:val="20"/>
          <w:szCs w:val="20"/>
          <w:color w:val="auto"/>
        </w:rPr>
      </w:pPr>
    </w:p>
    <w:p>
      <w:pPr>
        <w:ind w:left="26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10.10.0</w:t>
      </w:r>
      <w:r>
        <w:rPr>
          <w:sz w:val="20"/>
          <w:szCs w:val="20"/>
          <w:color w:val="auto"/>
        </w:rPr>
        <w:tab/>
      </w:r>
      <w:hyperlink r:id="rId125">
        <w:r>
          <w:rPr>
            <w:rFonts w:ascii="Arial" w:cs="Arial" w:eastAsia="Arial" w:hAnsi="Arial"/>
            <w:sz w:val="16"/>
            <w:szCs w:val="16"/>
            <w:u w:val="single" w:color="auto"/>
            <w:color w:val="0000FF"/>
          </w:rPr>
          <w:t>Form of Indemnity Agreement.</w:t>
        </w:r>
      </w:hyperlink>
    </w:p>
    <w:p>
      <w:pPr>
        <w:spacing w:after="0" w:line="63" w:lineRule="exact"/>
        <w:rPr>
          <w:sz w:val="20"/>
          <w:szCs w:val="20"/>
          <w:color w:val="auto"/>
        </w:rPr>
      </w:pPr>
    </w:p>
    <w:p>
      <w:pPr>
        <w:ind w:left="1200" w:right="260" w:hanging="934"/>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10.11.0</w:t>
      </w:r>
      <w:r>
        <w:rPr>
          <w:sz w:val="20"/>
          <w:szCs w:val="20"/>
          <w:color w:val="auto"/>
        </w:rPr>
        <w:tab/>
      </w:r>
      <w:hyperlink r:id="rId126">
        <w:r>
          <w:rPr>
            <w:rFonts w:ascii="Arial" w:cs="Arial" w:eastAsia="Arial" w:hAnsi="Arial"/>
            <w:sz w:val="18"/>
            <w:szCs w:val="18"/>
            <w:u w:val="single" w:color="auto"/>
            <w:color w:val="0000FF"/>
          </w:rPr>
          <w:t>Corporate Allocation Agreement, dated as of September 19, 2009, by Wynn Macau, Limited and Wynn</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Resorts, Limited.</w:t>
        </w:r>
      </w:hyperlink>
    </w:p>
    <w:p>
      <w:pPr>
        <w:spacing w:after="0" w:line="8" w:lineRule="exact"/>
        <w:rPr>
          <w:sz w:val="20"/>
          <w:szCs w:val="20"/>
          <w:color w:val="auto"/>
        </w:rPr>
      </w:pPr>
    </w:p>
    <w:p>
      <w:pPr>
        <w:ind w:left="1200" w:right="520" w:hanging="934"/>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10.11.1</w:t>
      </w:r>
      <w:r>
        <w:rPr>
          <w:sz w:val="20"/>
          <w:szCs w:val="20"/>
          <w:color w:val="auto"/>
        </w:rPr>
        <w:tab/>
      </w:r>
      <w:hyperlink r:id="rId127">
        <w:r>
          <w:rPr>
            <w:rFonts w:ascii="Arial" w:cs="Arial" w:eastAsia="Arial" w:hAnsi="Arial"/>
            <w:sz w:val="18"/>
            <w:szCs w:val="18"/>
            <w:u w:val="single" w:color="auto"/>
            <w:color w:val="0000FF"/>
          </w:rPr>
          <w:t>Amended and Restated Corporate Allocation Agreement, dated as of September 19, 2009, by Wynn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Resorts (Macau), S.A., and Wynn Resorts, Limited.</w:t>
        </w:r>
      </w:hyperlink>
    </w:p>
    <w:p>
      <w:pPr>
        <w:spacing w:after="0" w:line="8" w:lineRule="exact"/>
        <w:rPr>
          <w:sz w:val="20"/>
          <w:szCs w:val="20"/>
          <w:color w:val="auto"/>
        </w:rPr>
      </w:pPr>
    </w:p>
    <w:p>
      <w:pPr>
        <w:ind w:left="1200" w:right="280" w:hanging="934"/>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10.11.2</w:t>
      </w:r>
      <w:r>
        <w:rPr>
          <w:sz w:val="20"/>
          <w:szCs w:val="20"/>
          <w:color w:val="auto"/>
        </w:rPr>
        <w:tab/>
      </w:r>
      <w:hyperlink r:id="rId128">
        <w:r>
          <w:rPr>
            <w:rFonts w:ascii="Arial" w:cs="Arial" w:eastAsia="Arial" w:hAnsi="Arial"/>
            <w:sz w:val="18"/>
            <w:szCs w:val="18"/>
            <w:u w:val="single" w:color="auto"/>
            <w:color w:val="0000FF"/>
          </w:rPr>
          <w:t>Management Fee and Corporate Allocation Agreement, dated as of February 26, 2015, by and between</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Wynn Las Vegas, LLC and Wynn Resorts, Limited.</w:t>
        </w:r>
      </w:hyperlink>
    </w:p>
    <w:p>
      <w:pPr>
        <w:spacing w:after="0" w:line="8" w:lineRule="exact"/>
        <w:rPr>
          <w:sz w:val="20"/>
          <w:szCs w:val="20"/>
          <w:color w:val="auto"/>
        </w:rPr>
      </w:pPr>
    </w:p>
    <w:p>
      <w:pPr>
        <w:ind w:left="1200" w:right="280" w:hanging="934"/>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10.11.3</w:t>
      </w:r>
      <w:r>
        <w:rPr>
          <w:sz w:val="20"/>
          <w:szCs w:val="20"/>
          <w:color w:val="auto"/>
        </w:rPr>
        <w:tab/>
      </w:r>
      <w:hyperlink r:id="rId129">
        <w:r>
          <w:rPr>
            <w:rFonts w:ascii="Arial" w:cs="Arial" w:eastAsia="Arial" w:hAnsi="Arial"/>
            <w:sz w:val="18"/>
            <w:szCs w:val="18"/>
            <w:u w:val="single" w:color="auto"/>
            <w:color w:val="0000FF"/>
          </w:rPr>
          <w:t>Management Fee and Corporate Allocation Agreement, dated as of November 20, 2014, by and among</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Wynn MA, LLC and Wynn Resorts, Limited.</w:t>
        </w:r>
      </w:hyperlink>
    </w:p>
    <w:p>
      <w:pPr>
        <w:spacing w:after="0" w:line="8" w:lineRule="exact"/>
        <w:rPr>
          <w:sz w:val="20"/>
          <w:szCs w:val="20"/>
          <w:color w:val="auto"/>
        </w:rPr>
      </w:pPr>
    </w:p>
    <w:p>
      <w:pPr>
        <w:ind w:left="26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10.11.4</w:t>
      </w:r>
      <w:r>
        <w:rPr>
          <w:sz w:val="20"/>
          <w:szCs w:val="20"/>
          <w:color w:val="auto"/>
        </w:rPr>
        <w:tab/>
      </w:r>
      <w:hyperlink r:id="rId130">
        <w:r>
          <w:rPr>
            <w:rFonts w:ascii="Arial" w:cs="Arial" w:eastAsia="Arial" w:hAnsi="Arial"/>
            <w:sz w:val="16"/>
            <w:szCs w:val="16"/>
            <w:u w:val="single" w:color="auto"/>
            <w:color w:val="0000FF"/>
          </w:rPr>
          <w:t>Promissory Note, dated as of February 18, 2012, made by Wynn Resorts, Limited to Aruze USA, Inc.</w:t>
        </w:r>
      </w:hyperlink>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5/2/2012</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11/4/2004</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11/4/2004</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11/4/2004</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3/15/2005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5/8/2015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2/29/2016</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11/6/2015</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11/6/2015</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11/6/2015</w:t>
            </w:r>
          </w:p>
        </w:tc>
      </w:tr>
      <w:tr>
        <w:trPr>
          <w:trHeight w:val="702"/>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11/4/2004</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2/24/2017</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11/9/2012</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3/1/2013</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9/18/2002</w:t>
            </w: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2/29/2016</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2/21/2012</w:t>
            </w:r>
          </w:p>
        </w:tc>
      </w:tr>
    </w:tbl>
    <w:p>
      <w:pPr>
        <w:sectPr>
          <w:pgSz w:w="11900" w:h="16838" w:orient="portrait"/>
          <w:cols w:equalWidth="0" w:num="2">
            <w:col w:w="8900" w:space="480"/>
            <w:col w:w="1780"/>
          </w:cols>
          <w:pgMar w:left="240" w:top="122" w:right="49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100" w:hanging="934"/>
        <w:spacing w:after="0" w:line="259"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10.11.5</w:t>
      </w:r>
      <w:r>
        <w:rPr>
          <w:sz w:val="20"/>
          <w:szCs w:val="20"/>
          <w:color w:val="auto"/>
        </w:rPr>
        <w:tab/>
      </w:r>
      <w:hyperlink r:id="rId131">
        <w:r>
          <w:rPr>
            <w:rFonts w:ascii="Arial" w:cs="Arial" w:eastAsia="Arial" w:hAnsi="Arial"/>
            <w:sz w:val="18"/>
            <w:szCs w:val="18"/>
            <w:u w:val="single" w:color="auto"/>
            <w:color w:val="0000FF"/>
          </w:rPr>
          <w:t>Registration Rights Agreement, dated as of March 12, 2012, by and among Wynn Las Vegas, LLC, Wynn</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Las Vegas Capital Corp, Wynn Show Performers, LLC, Wynn Golf, LLC, Las Vegas Jet, LLC, World</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Travel, LLC, Wynn Sunrise, LLC, Kevyn, LLC, Deutsche Bank Securities Inc., Merrill Lynch, Pierce,</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Fenner &amp; Smith Incorporated and J.P. Morgan Securities LLC.</w:t>
        </w:r>
      </w:hyperlink>
    </w:p>
    <w:p>
      <w:pPr>
        <w:spacing w:after="0" w:line="25" w:lineRule="exact"/>
        <w:rPr>
          <w:rFonts w:ascii="Arial" w:cs="Arial" w:eastAsia="Arial" w:hAnsi="Arial"/>
          <w:sz w:val="18"/>
          <w:szCs w:val="18"/>
          <w:u w:val="single" w:color="auto"/>
          <w:color w:val="0000FF"/>
        </w:rPr>
      </w:pPr>
    </w:p>
    <w:p>
      <w:pPr>
        <w:ind w:left="1200" w:right="80" w:hanging="938"/>
        <w:spacing w:after="0" w:line="253"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10.12.0</w:t>
      </w:r>
      <w:r>
        <w:rPr>
          <w:sz w:val="20"/>
          <w:szCs w:val="20"/>
          <w:color w:val="auto"/>
        </w:rPr>
        <w:tab/>
      </w:r>
      <w:hyperlink r:id="rId132">
        <w:r>
          <w:rPr>
            <w:rFonts w:ascii="Arial" w:cs="Arial" w:eastAsia="Arial" w:hAnsi="Arial"/>
            <w:sz w:val="18"/>
            <w:szCs w:val="18"/>
            <w:u w:val="single" w:color="auto"/>
            <w:color w:val="0000FF"/>
          </w:rPr>
          <w:t>Credit Agreement, dated as of November 20, 2014, by and among Wynn America, LLC, as borrower,</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Wynn Las Vegas Holdings, LLC, Everett Property, LLC and Wynn MA, LLC, as guarantors, Deutsche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Bank AG New York Branch, as administrative agent and collateral agent, Deutsche Bank Securities Inc.,</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Merrill Lynch, Pierce, Fenner &amp; Smith Incorporated, Credit Agricole Corporate and Investment Bank,</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Fifth Third Bank, SunTrust Robinson Humphrey, Inc., The Bank of Nova Scotia, BNP Paribas Securities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Corp., Sumitomo Mitsui Banking Corporation and UBS Securities LLC, as joint lead arrangers and joint</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bookrunners, Morgan Stanley Senior Funding, Inc. and Bank of China, Los Angeles Branch, as arrangers,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and Merrill Lynch, Pierce, Fenner &amp; Smith Incorporated, as documentation agent, and the other lenders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party thereto.</w:t>
        </w:r>
      </w:hyperlink>
    </w:p>
    <w:p>
      <w:pPr>
        <w:spacing w:after="0" w:line="35" w:lineRule="exact"/>
        <w:rPr>
          <w:rFonts w:ascii="Arial" w:cs="Arial" w:eastAsia="Arial" w:hAnsi="Arial"/>
          <w:sz w:val="18"/>
          <w:szCs w:val="18"/>
          <w:u w:val="single" w:color="auto"/>
          <w:color w:val="0000FF"/>
        </w:rPr>
      </w:pPr>
    </w:p>
    <w:p>
      <w:pPr>
        <w:ind w:left="1200" w:right="60" w:hanging="938"/>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10.12.1</w:t>
      </w:r>
      <w:r>
        <w:rPr>
          <w:sz w:val="20"/>
          <w:szCs w:val="20"/>
          <w:color w:val="auto"/>
        </w:rPr>
        <w:tab/>
      </w:r>
      <w:hyperlink r:id="rId133">
        <w:r>
          <w:rPr>
            <w:rFonts w:ascii="Arial" w:cs="Arial" w:eastAsia="Arial" w:hAnsi="Arial"/>
            <w:sz w:val="17"/>
            <w:szCs w:val="17"/>
            <w:u w:val="single" w:color="auto"/>
            <w:color w:val="0000FF"/>
          </w:rPr>
          <w:t>First Amendment to Credit Agreement, dated as of November 5, 2015, by and among Wynn America,</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LLC, as borrower, the Guarantors named therein, Deutsche Bank AG New York Branch, as administrative</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agent on behalf of the several banks and other financial institutions or entities from time to time party to</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Wynn 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60" w:hanging="938"/>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10.12.2</w:t>
      </w:r>
      <w:r>
        <w:rPr>
          <w:sz w:val="20"/>
          <w:szCs w:val="20"/>
          <w:color w:val="auto"/>
        </w:rPr>
        <w:tab/>
      </w:r>
      <w:hyperlink r:id="rId134">
        <w:r>
          <w:rPr>
            <w:rFonts w:ascii="Arial" w:cs="Arial" w:eastAsia="Arial" w:hAnsi="Arial"/>
            <w:sz w:val="17"/>
            <w:szCs w:val="17"/>
            <w:u w:val="single" w:color="auto"/>
            <w:color w:val="0000FF"/>
          </w:rPr>
          <w:t>Second Amendment to Credit Agreement, dated as of December 21, 2015, by and among Wynn America,</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LLC, as borrower, the Guarantors named therein, Deutsche Bank AG New York Branch, as administrative</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agent on behalf of the several banks and other financial institutions or entities from time to time party to</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Wynn 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hanging="938"/>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10.12.3</w:t>
      </w:r>
      <w:r>
        <w:rPr>
          <w:sz w:val="20"/>
          <w:szCs w:val="20"/>
          <w:color w:val="auto"/>
        </w:rPr>
        <w:tab/>
      </w:r>
      <w:hyperlink r:id="rId135">
        <w:r>
          <w:rPr>
            <w:rFonts w:ascii="Arial" w:cs="Arial" w:eastAsia="Arial" w:hAnsi="Arial"/>
            <w:sz w:val="17"/>
            <w:szCs w:val="17"/>
            <w:u w:val="single" w:color="auto"/>
            <w:color w:val="0000FF"/>
          </w:rPr>
          <w:t>Third Amendment to Credit Agreement, dated as of June 21, 2016, by and among Wynn America, LLC, as</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20" w:hanging="938"/>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10.12.4</w:t>
      </w:r>
      <w:r>
        <w:rPr>
          <w:sz w:val="20"/>
          <w:szCs w:val="20"/>
          <w:color w:val="auto"/>
        </w:rPr>
        <w:tab/>
      </w:r>
      <w:hyperlink r:id="rId136">
        <w:r>
          <w:rPr>
            <w:rFonts w:ascii="Arial" w:cs="Arial" w:eastAsia="Arial" w:hAnsi="Arial"/>
            <w:sz w:val="17"/>
            <w:szCs w:val="17"/>
            <w:u w:val="single" w:color="auto"/>
            <w:color w:val="0000FF"/>
          </w:rPr>
          <w:t>Fourth Amendment to Credit Agreement, dated as of July 1, 2016, by and among Wynn America, LLC, as</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20" w:hanging="938"/>
        <w:spacing w:after="0" w:line="279" w:lineRule="auto"/>
        <w:tabs>
          <w:tab w:leader="none" w:pos="1180" w:val="left"/>
        </w:tabs>
        <w:rPr>
          <w:rFonts w:ascii="Arial" w:cs="Arial" w:eastAsia="Arial" w:hAnsi="Arial"/>
          <w:sz w:val="17"/>
          <w:szCs w:val="17"/>
          <w:u w:val="single" w:color="auto"/>
          <w:color w:val="0000FF"/>
        </w:rPr>
      </w:pPr>
      <w:r>
        <w:rPr>
          <w:rFonts w:ascii="Arial" w:cs="Arial" w:eastAsia="Arial" w:hAnsi="Arial"/>
          <w:sz w:val="18"/>
          <w:szCs w:val="18"/>
          <w:color w:val="auto"/>
        </w:rPr>
        <w:t>10.12.5</w:t>
      </w:r>
      <w:r>
        <w:rPr>
          <w:sz w:val="20"/>
          <w:szCs w:val="20"/>
          <w:color w:val="auto"/>
        </w:rPr>
        <w:tab/>
      </w:r>
      <w:hyperlink r:id="rId137">
        <w:r>
          <w:rPr>
            <w:rFonts w:ascii="Arial" w:cs="Arial" w:eastAsia="Arial" w:hAnsi="Arial"/>
            <w:sz w:val="17"/>
            <w:szCs w:val="17"/>
            <w:u w:val="single" w:color="auto"/>
            <w:color w:val="0000FF"/>
          </w:rPr>
          <w:t>Fifth Amendment to Credit Agreement, dated as of April 24, 2017, by and among Wynn America, LLC as</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borrower, the Guarantors named therein, Deutsche Bank AG New York Branch, as administrative agent on</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behalf of the several banks and other financial institutions or entities from time to time party to Wynn</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America, LLC's Credit Agreement, dated as of November 20, 2014.</w:t>
        </w:r>
      </w:hyperlink>
    </w:p>
    <w:p>
      <w:pPr>
        <w:spacing w:after="0" w:line="9" w:lineRule="exact"/>
        <w:rPr>
          <w:rFonts w:ascii="Arial" w:cs="Arial" w:eastAsia="Arial" w:hAnsi="Arial"/>
          <w:sz w:val="17"/>
          <w:szCs w:val="17"/>
          <w:u w:val="single" w:color="auto"/>
          <w:color w:val="0000FF"/>
        </w:rPr>
      </w:pPr>
    </w:p>
    <w:p>
      <w:pPr>
        <w:ind w:left="1200" w:right="520" w:hanging="938"/>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10.12.5</w:t>
      </w:r>
      <w:r>
        <w:rPr>
          <w:sz w:val="20"/>
          <w:szCs w:val="20"/>
          <w:color w:val="auto"/>
        </w:rPr>
        <w:tab/>
      </w:r>
      <w:hyperlink r:id="rId138">
        <w:r>
          <w:rPr>
            <w:rFonts w:ascii="Arial" w:cs="Arial" w:eastAsia="Arial" w:hAnsi="Arial"/>
            <w:sz w:val="18"/>
            <w:szCs w:val="18"/>
            <w:u w:val="single" w:color="auto"/>
            <w:color w:val="0000FF"/>
          </w:rPr>
          <w:t>Completion Guaranty, dated as of November 20, 2014, by and between Wynn Resorts, Limited, and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Deutsche Bank AG New York Branch, as administrative agent.</w:t>
        </w:r>
      </w:hyperlink>
    </w:p>
    <w:p>
      <w:pPr>
        <w:spacing w:after="0" w:line="8" w:lineRule="exact"/>
        <w:rPr>
          <w:sz w:val="20"/>
          <w:szCs w:val="20"/>
          <w:color w:val="auto"/>
        </w:rPr>
      </w:pPr>
    </w:p>
    <w:p>
      <w:pPr>
        <w:ind w:left="1200" w:right="200" w:hanging="938"/>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10.12.6</w:t>
      </w:r>
      <w:r>
        <w:rPr>
          <w:sz w:val="20"/>
          <w:szCs w:val="20"/>
          <w:color w:val="auto"/>
        </w:rPr>
        <w:tab/>
      </w:r>
      <w:hyperlink r:id="rId139">
        <w:r>
          <w:rPr>
            <w:rFonts w:ascii="Arial" w:cs="Arial" w:eastAsia="Arial" w:hAnsi="Arial"/>
            <w:sz w:val="18"/>
            <w:szCs w:val="18"/>
            <w:u w:val="single" w:color="auto"/>
            <w:color w:val="0000FF"/>
          </w:rPr>
          <w:t>Security Agreement, dated as of November 20, 2014, by and among Wynn America, LLC, Wynn Las</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Vegas Holdings, LLC, Everett Property, LLC and Wynn MA, LLC, as pledgors, and Deutsche Bank AG</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New York Branch, as collateral agent.</w:t>
        </w:r>
      </w:hyperlink>
    </w:p>
    <w:p>
      <w:pPr>
        <w:spacing w:after="0" w:line="19" w:lineRule="exact"/>
        <w:rPr>
          <w:rFonts w:ascii="Arial" w:cs="Arial" w:eastAsia="Arial" w:hAnsi="Arial"/>
          <w:sz w:val="18"/>
          <w:szCs w:val="18"/>
          <w:u w:val="single" w:color="auto"/>
          <w:color w:val="0000FF"/>
        </w:rPr>
      </w:pPr>
    </w:p>
    <w:p>
      <w:pPr>
        <w:ind w:left="1200" w:right="40" w:hanging="938"/>
        <w:spacing w:after="0" w:line="299" w:lineRule="auto"/>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10.12.7</w:t>
      </w:r>
      <w:r>
        <w:rPr>
          <w:sz w:val="20"/>
          <w:szCs w:val="20"/>
          <w:color w:val="auto"/>
        </w:rPr>
        <w:tab/>
      </w:r>
      <w:hyperlink r:id="rId140">
        <w:r>
          <w:rPr>
            <w:rFonts w:ascii="Arial" w:cs="Arial" w:eastAsia="Arial" w:hAnsi="Arial"/>
            <w:sz w:val="16"/>
            <w:szCs w:val="16"/>
            <w:u w:val="single" w:color="auto"/>
            <w:color w:val="0000FF"/>
          </w:rPr>
          <w:t>Joinder Agreement, dated as of August 9, 2017, by Wynn Las Vegas, LLC and Wynn Sunrise, LLC as</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guarantors, to the Credit Agreement, dated as of November 20, 2014, by and among Wynn America, LLC,</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as borrower, the Guarantors named therein, Deutsche Bank AG New York Branch, as administrative agent</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on behalf of the several banks and other financial institutions or entities from time to time.</w:t>
        </w:r>
      </w:hyperlink>
    </w:p>
    <w:p>
      <w:pPr>
        <w:spacing w:after="0" w:line="1" w:lineRule="exact"/>
        <w:rPr>
          <w:rFonts w:ascii="Arial" w:cs="Arial" w:eastAsia="Arial" w:hAnsi="Arial"/>
          <w:sz w:val="16"/>
          <w:szCs w:val="16"/>
          <w:u w:val="single" w:color="auto"/>
          <w:color w:val="0000FF"/>
        </w:rPr>
      </w:pPr>
    </w:p>
    <w:p>
      <w:pPr>
        <w:ind w:left="1200" w:right="80" w:hanging="938"/>
        <w:spacing w:after="0" w:line="264"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10.12.8</w:t>
      </w:r>
      <w:r>
        <w:rPr>
          <w:sz w:val="20"/>
          <w:szCs w:val="20"/>
          <w:color w:val="auto"/>
        </w:rPr>
        <w:tab/>
      </w:r>
      <w:hyperlink r:id="rId141">
        <w:r>
          <w:rPr>
            <w:rFonts w:ascii="Arial" w:cs="Arial" w:eastAsia="Arial" w:hAnsi="Arial"/>
            <w:sz w:val="18"/>
            <w:szCs w:val="18"/>
            <w:u w:val="single" w:color="auto"/>
            <w:color w:val="0000FF"/>
          </w:rPr>
          <w:t>Joinder Agreement, dated as of August 9, 2017, by Wynn Las Vegas, LLC and Wynn Sunrise, LLC, as</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pledgors, and Deutsche Bank AG New York Branch, as collateral agent, to the Security Agreement, dated</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as of November 20, 2014.</w:t>
        </w:r>
      </w:hyperlink>
    </w:p>
    <w:p>
      <w:pPr>
        <w:spacing w:after="0" w:line="19" w:lineRule="exact"/>
        <w:rPr>
          <w:rFonts w:ascii="Arial" w:cs="Arial" w:eastAsia="Arial" w:hAnsi="Arial"/>
          <w:sz w:val="18"/>
          <w:szCs w:val="18"/>
          <w:u w:val="single" w:color="auto"/>
          <w:color w:val="0000FF"/>
        </w:rPr>
      </w:pPr>
    </w:p>
    <w:p>
      <w:pPr>
        <w:ind w:left="38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57">
        <w:r>
          <w:rPr>
            <w:rFonts w:ascii="Arial" w:cs="Arial" w:eastAsia="Arial" w:hAnsi="Arial"/>
            <w:sz w:val="16"/>
            <w:szCs w:val="16"/>
            <w:u w:val="single" w:color="auto"/>
            <w:color w:val="0000FF"/>
          </w:rPr>
          <w:t>Subsidiaries of the Registrant.</w:t>
        </w:r>
      </w:hyperlink>
    </w:p>
    <w:p>
      <w:pPr>
        <w:spacing w:after="0" w:line="63" w:lineRule="exact"/>
        <w:rPr>
          <w:rFonts w:ascii="Arial" w:cs="Arial" w:eastAsia="Arial" w:hAnsi="Arial"/>
          <w:sz w:val="18"/>
          <w:szCs w:val="18"/>
          <w:u w:val="single" w:color="auto"/>
          <w:color w:val="0000FF"/>
        </w:rPr>
      </w:pPr>
    </w:p>
    <w:p>
      <w:pPr>
        <w:ind w:left="38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59">
        <w:r>
          <w:rPr>
            <w:rFonts w:ascii="Arial" w:cs="Arial" w:eastAsia="Arial" w:hAnsi="Arial"/>
            <w:sz w:val="16"/>
            <w:szCs w:val="16"/>
            <w:u w:val="single" w:color="auto"/>
            <w:color w:val="0000FF"/>
          </w:rPr>
          <w:t>Consent of Ernst &amp; Young LLP, Independent Registered Accounting Firm.</w:t>
        </w:r>
      </w:hyperlink>
    </w:p>
    <w:p>
      <w:pPr>
        <w:spacing w:after="0" w:line="63" w:lineRule="exact"/>
        <w:rPr>
          <w:rFonts w:ascii="Arial" w:cs="Arial" w:eastAsia="Arial" w:hAnsi="Arial"/>
          <w:sz w:val="18"/>
          <w:szCs w:val="18"/>
          <w:u w:val="single" w:color="auto"/>
          <w:color w:val="0000FF"/>
        </w:rPr>
      </w:pPr>
    </w:p>
    <w:p>
      <w:pPr>
        <w:ind w:left="1200" w:right="200" w:hanging="825"/>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60">
        <w:r>
          <w:rPr>
            <w:rFonts w:ascii="Arial" w:cs="Arial" w:eastAsia="Arial" w:hAnsi="Arial"/>
            <w:sz w:val="18"/>
            <w:szCs w:val="18"/>
            <w:u w:val="single" w:color="auto"/>
            <w:color w:val="0000FF"/>
          </w:rPr>
          <w:t>Certification of Chief Executive Officer of Periodic Report Pursuant to Rule 13a – 14(a) and Rule 15d –</w:t>
        </w:r>
      </w:hyperlink>
      <w:r>
        <w:rPr>
          <w:rFonts w:ascii="Arial" w:cs="Arial" w:eastAsia="Arial" w:hAnsi="Arial"/>
          <w:sz w:val="18"/>
          <w:szCs w:val="18"/>
          <w:u w:val="single" w:color="auto"/>
          <w:color w:val="0000FF"/>
        </w:rPr>
        <w:t xml:space="preserve"> </w:t>
      </w:r>
      <w:hyperlink w:anchor="page160">
        <w:r>
          <w:rPr>
            <w:rFonts w:ascii="Arial" w:cs="Arial" w:eastAsia="Arial" w:hAnsi="Arial"/>
            <w:sz w:val="18"/>
            <w:szCs w:val="18"/>
            <w:u w:val="single" w:color="auto"/>
            <w:color w:val="0000FF"/>
          </w:rPr>
          <w:t>14(a).</w:t>
        </w:r>
      </w:hyperlink>
    </w:p>
    <w:p>
      <w:pPr>
        <w:spacing w:after="0" w:line="8" w:lineRule="exact"/>
        <w:rPr>
          <w:sz w:val="20"/>
          <w:szCs w:val="20"/>
          <w:color w:val="auto"/>
        </w:rPr>
      </w:pPr>
    </w:p>
    <w:p>
      <w:pPr>
        <w:ind w:left="1200" w:right="260" w:hanging="825"/>
        <w:spacing w:after="0" w:line="277"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61">
        <w:r>
          <w:rPr>
            <w:rFonts w:ascii="Arial" w:cs="Arial" w:eastAsia="Arial" w:hAnsi="Arial"/>
            <w:sz w:val="18"/>
            <w:szCs w:val="18"/>
            <w:u w:val="single" w:color="auto"/>
            <w:color w:val="0000FF"/>
          </w:rPr>
          <w:t>Certification of Chief Financial Officer of Periodic Report Pursuant to Rule 13a – 14(a) and Rule 15d –</w:t>
        </w:r>
      </w:hyperlink>
      <w:r>
        <w:rPr>
          <w:rFonts w:ascii="Arial" w:cs="Arial" w:eastAsia="Arial" w:hAnsi="Arial"/>
          <w:sz w:val="18"/>
          <w:szCs w:val="18"/>
          <w:u w:val="single" w:color="auto"/>
          <w:color w:val="0000FF"/>
        </w:rPr>
        <w:t xml:space="preserve"> </w:t>
      </w:r>
      <w:hyperlink w:anchor="page161">
        <w:r>
          <w:rPr>
            <w:rFonts w:ascii="Arial" w:cs="Arial" w:eastAsia="Arial" w:hAnsi="Arial"/>
            <w:sz w:val="18"/>
            <w:szCs w:val="18"/>
            <w:u w:val="single" w:color="auto"/>
            <w:color w:val="0000FF"/>
          </w:rPr>
          <w:t>14(a).</w:t>
        </w:r>
      </w:hyperlink>
    </w:p>
    <w:p>
      <w:pPr>
        <w:spacing w:after="0" w:line="8" w:lineRule="exact"/>
        <w:rPr>
          <w:sz w:val="20"/>
          <w:szCs w:val="20"/>
          <w:color w:val="auto"/>
        </w:rPr>
      </w:pPr>
    </w:p>
    <w:p>
      <w:pPr>
        <w:ind w:left="5580" w:right="2860" w:hanging="5142"/>
        <w:spacing w:after="0" w:line="694" w:lineRule="auto"/>
        <w:tabs>
          <w:tab w:leader="none" w:pos="1198" w:val="left"/>
        </w:tabs>
        <w:numPr>
          <w:ilvl w:val="0"/>
          <w:numId w:val="43"/>
        </w:numPr>
        <w:rPr>
          <w:rFonts w:ascii="Arial" w:cs="Arial" w:eastAsia="Arial" w:hAnsi="Arial"/>
          <w:sz w:val="16"/>
          <w:szCs w:val="16"/>
          <w:u w:val="single" w:color="auto"/>
          <w:color w:val="0000FF"/>
        </w:rPr>
      </w:pPr>
      <w:hyperlink w:anchor="page162">
        <w:r>
          <w:rPr>
            <w:rFonts w:ascii="Arial" w:cs="Arial" w:eastAsia="Arial" w:hAnsi="Arial"/>
            <w:sz w:val="16"/>
            <w:szCs w:val="16"/>
            <w:u w:val="single" w:color="auto"/>
            <w:color w:val="0000FF"/>
          </w:rPr>
          <w:t>Certification of CEO and CFO pursuant to 18 U.S.C. Section 1350.</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127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6"/>
          <w:szCs w:val="16"/>
          <w:color w:val="auto"/>
        </w:rPr>
        <w:t>3/13/2012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6"/>
          <w:szCs w:val="16"/>
          <w:color w:val="auto"/>
        </w:rPr>
        <w:t>3/2/2015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11/6/2015</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2/29/2016</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8/9/2016</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8/9/2016</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5/4/2017</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91"/>
              </w:rPr>
              <w:t>3/2/2015</w:t>
            </w:r>
          </w:p>
        </w:tc>
      </w:tr>
      <w:tr>
        <w:trPr>
          <w:trHeight w:val="702"/>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11/8/2017</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11/8/2017</w:t>
            </w:r>
          </w:p>
        </w:tc>
      </w:tr>
      <w:tr>
        <w:trPr>
          <w:trHeight w:val="702"/>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900" w:space="480"/>
            <w:col w:w="1780"/>
          </w:cols>
          <w:pgMar w:left="240" w:top="121" w:right="49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hanging="799"/>
        <w:spacing w:after="0" w:line="258" w:lineRule="auto"/>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information from the Company's Annual Report on Form 10-K for the year ended 10-K * December 31, 2017, filed with the SEC on February 28, 2018 formatted in Extensible Business Reporting</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Language (XBRL): (i) the Consolidated Balance Sheets as of December 31, 2017 and December 31 2016,</w:t>
      </w:r>
    </w:p>
    <w:p>
      <w:pPr>
        <w:spacing w:after="0" w:line="9" w:lineRule="exact"/>
        <w:rPr>
          <w:sz w:val="20"/>
          <w:szCs w:val="20"/>
          <w:color w:val="auto"/>
        </w:rPr>
      </w:pPr>
    </w:p>
    <w:p>
      <w:pPr>
        <w:jc w:val="both"/>
        <w:ind w:left="1200" w:right="2120" w:hanging="3"/>
        <w:spacing w:after="0" w:line="271" w:lineRule="auto"/>
        <w:tabs>
          <w:tab w:leader="none" w:pos="1465"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Consolidated Statements of Income for the years ended December 31, 2017, 2016 and 2015, (iii) the Consolidated Statements of Cash Flows for the years ended December 31, 2017, 2016 and 2015, (iv) the Consolidated Statements of Stockholders' Equity as of December 31, 2017, 2016 and 2015, (v) the Consolidated Statements of Comprehensive Income for the years ended December 31, 2017, 2016 and 2015 and (vi) Notes to Consolidated Financial Statements.</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herein</w:t>
      </w:r>
    </w:p>
    <w:p>
      <w:pPr>
        <w:spacing w:after="0" w:line="63" w:lineRule="exact"/>
        <w:rPr>
          <w:sz w:val="20"/>
          <w:szCs w:val="20"/>
          <w:color w:val="auto"/>
        </w:rPr>
      </w:pPr>
    </w:p>
    <w:p>
      <w:pPr>
        <w:ind w:left="980" w:hanging="972"/>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840"/>
          </w:cols>
          <w:pgMar w:left="240" w:top="121" w:right="81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4260" w:val="left"/>
          <w:tab w:leader="none" w:pos="4940" w:val="left"/>
        </w:tabs>
        <w:rPr>
          <w:sz w:val="20"/>
          <w:szCs w:val="20"/>
          <w:color w:val="auto"/>
        </w:rPr>
      </w:pPr>
      <w:r>
        <w:rPr>
          <w:rFonts w:ascii="Arial" w:cs="Arial" w:eastAsia="Arial" w:hAnsi="Arial"/>
          <w:sz w:val="18"/>
          <w:szCs w:val="18"/>
          <w:color w:val="auto"/>
        </w:rPr>
        <w:t>Dated: February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Chief Executive Officer and President (Principal Executive Officer)</w:t>
      </w:r>
    </w:p>
    <w:p>
      <w:pPr>
        <w:spacing w:after="0" w:line="198"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206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color w:val="auto"/>
              </w:rPr>
              <w:t>Title</w:t>
            </w:r>
          </w:p>
        </w:tc>
        <w:tc>
          <w:tcPr>
            <w:tcW w:w="1820" w:type="dxa"/>
            <w:vAlign w:val="bottom"/>
            <w:gridSpan w:val="3"/>
          </w:tcPr>
          <w:p>
            <w:pPr>
              <w:jc w:val="center"/>
              <w:ind w:left="411"/>
              <w:spacing w:after="0"/>
              <w:rPr>
                <w:sz w:val="20"/>
                <w:szCs w:val="20"/>
                <w:color w:val="auto"/>
              </w:rPr>
            </w:pPr>
            <w:r>
              <w:rPr>
                <w:rFonts w:ascii="Arial" w:cs="Arial" w:eastAsia="Arial" w:hAnsi="Arial"/>
                <w:sz w:val="14"/>
                <w:szCs w:val="14"/>
                <w:color w:val="auto"/>
                <w:w w:val="94"/>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71"/>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President (Principal</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Matt Maddox</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Executive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Matt Maddox</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Non-Executive Chairman of the Board and</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John J. Hagenbuch</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John J. Hagenbuch</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Dr. Ray R. Irani</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Jay L. Johnson</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Jay L. Johnson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Treasurer</w:t>
            </w:r>
          </w:p>
        </w:tc>
        <w:tc>
          <w:tcPr>
            <w:tcW w:w="182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February 28, 2018</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Craig S. Billings</w:t>
            </w:r>
          </w:p>
        </w:tc>
        <w:tc>
          <w:tcPr>
            <w:tcW w:w="438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Craig S. Billings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86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60"/>
          </w:cols>
          <w:pgMar w:left="240" w:top="122" w:right="49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10.3.2.0</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80"/>
        <w:spacing w:after="0"/>
        <w:rPr>
          <w:sz w:val="20"/>
          <w:szCs w:val="20"/>
          <w:color w:val="auto"/>
        </w:rPr>
      </w:pPr>
      <w:r>
        <w:rPr>
          <w:rFonts w:ascii="Arial" w:cs="Arial" w:eastAsia="Arial" w:hAnsi="Arial"/>
          <w:sz w:val="28"/>
          <w:szCs w:val="28"/>
          <w:b w:val="1"/>
          <w:bCs w:val="1"/>
          <w:color w:val="auto"/>
        </w:rPr>
        <w:t>SECOND AMENDED AND RESTATED</w:t>
      </w:r>
    </w:p>
    <w:p>
      <w:pPr>
        <w:spacing w:after="0" w:line="48" w:lineRule="exact"/>
        <w:rPr>
          <w:sz w:val="20"/>
          <w:szCs w:val="20"/>
          <w:color w:val="auto"/>
        </w:rPr>
      </w:pPr>
    </w:p>
    <w:p>
      <w:pPr>
        <w:jc w:val="center"/>
        <w:ind w:right="1180"/>
        <w:spacing w:after="0"/>
        <w:rPr>
          <w:sz w:val="20"/>
          <w:szCs w:val="20"/>
          <w:color w:val="auto"/>
        </w:rPr>
      </w:pPr>
      <w:r>
        <w:rPr>
          <w:rFonts w:ascii="Arial" w:cs="Arial" w:eastAsia="Arial" w:hAnsi="Arial"/>
          <w:sz w:val="29"/>
          <w:szCs w:val="29"/>
          <w:b w:val="1"/>
          <w:bCs w:val="1"/>
          <w:color w:val="auto"/>
        </w:rPr>
        <w:t>SHAREHOLDERS’ AGREEMENT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WYNN RESORTS (MACAU), LIMITED,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WYNN RESORTS INTERNATIONAL, LTD.,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CHEN CHIH LING LINDA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80"/>
        <w:spacing w:after="0"/>
        <w:rPr>
          <w:sz w:val="20"/>
          <w:szCs w:val="20"/>
          <w:color w:val="auto"/>
        </w:rPr>
      </w:pPr>
      <w:r>
        <w:rPr>
          <w:rFonts w:ascii="Arial" w:cs="Arial" w:eastAsia="Arial" w:hAnsi="Arial"/>
          <w:sz w:val="23"/>
          <w:szCs w:val="23"/>
          <w:color w:val="auto"/>
        </w:rPr>
        <w:t>as of 14 January 2016</w:t>
      </w:r>
    </w:p>
    <w:p>
      <w:pPr>
        <w:sectPr>
          <w:pgSz w:w="11900" w:h="16838" w:orient="portrait"/>
          <w:cols w:equalWidth="0" w:num="1">
            <w:col w:w="10220"/>
          </w:cols>
          <w:pgMar w:left="1440" w:top="616"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64"/>
        </w:trPr>
        <w:tc>
          <w:tcPr>
            <w:tcW w:w="7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23"/>
                <w:szCs w:val="23"/>
                <w:b w:val="1"/>
                <w:bCs w:val="1"/>
                <w:color w:val="auto"/>
              </w:rPr>
              <w:t>TABLE OF CONTENTS</w:t>
            </w:r>
          </w:p>
        </w:tc>
        <w:tc>
          <w:tcPr>
            <w:tcW w:w="1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20"/>
        </w:trPr>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3"/>
                <w:szCs w:val="23"/>
                <w:color w:val="auto"/>
                <w:w w:val="91"/>
              </w:rPr>
              <w:t>PAGE NO.</w:t>
            </w:r>
          </w:p>
        </w:tc>
        <w:tc>
          <w:tcPr>
            <w:tcW w:w="1840" w:type="dxa"/>
            <w:vAlign w:val="bottom"/>
          </w:tcPr>
          <w:p>
            <w:pPr>
              <w:spacing w:after="0"/>
              <w:rPr>
                <w:sz w:val="24"/>
                <w:szCs w:val="24"/>
                <w:color w:val="auto"/>
              </w:rPr>
            </w:pPr>
          </w:p>
        </w:tc>
      </w:tr>
      <w:tr>
        <w:trPr>
          <w:trHeight w:val="912"/>
        </w:trPr>
        <w:tc>
          <w:tcPr>
            <w:tcW w:w="700" w:type="dxa"/>
            <w:vAlign w:val="bottom"/>
          </w:tcPr>
          <w:p>
            <w:pPr>
              <w:spacing w:after="0"/>
              <w:rPr>
                <w:sz w:val="20"/>
                <w:szCs w:val="20"/>
                <w:color w:val="auto"/>
              </w:rPr>
            </w:pPr>
            <w:r>
              <w:rPr>
                <w:rFonts w:ascii="Arial" w:cs="Arial" w:eastAsia="Arial" w:hAnsi="Arial"/>
                <w:sz w:val="18"/>
                <w:szCs w:val="18"/>
                <w:color w:val="auto"/>
              </w:rPr>
              <w:t>Parties</w:t>
            </w:r>
          </w:p>
        </w:tc>
        <w:tc>
          <w:tcPr>
            <w:tcW w:w="3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Recitals</w:t>
            </w:r>
          </w:p>
        </w:tc>
        <w:tc>
          <w:tcPr>
            <w:tcW w:w="3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594"/>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1 DEFINITIONS AND REFERENCES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Definitions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References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2 MANAGEMENT OF THE COMPANY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Charter Documents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Business of the Company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Composition of the Board</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Meetings of the Board</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The Executive Director</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Meetings of the Shareholders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3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Capital of the Company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Class A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Class B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Class C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b w:val="1"/>
                <w:bCs w:val="1"/>
                <w:i w:val="1"/>
                <w:iCs w:val="1"/>
                <w:color w:val="auto"/>
              </w:rPr>
              <w:t>[not used]</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5 TRANSFERS OF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Restrictions on Transfer of Class A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Purchase of Class A Shares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Legends on Share Certificates; Safekeeping of Share Certificates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6 REPRESENTATIONS, WARRANTIES, AND COVENANTS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Representations and Warranties of the Shareholders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Representations and Warranties of the Company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Covenants of Chen</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7 TERM AND TERMINATION</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Events of Default</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Remedies Upon Events of Default</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Manner of Exercise</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Enforcement of Rights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ARTICLE 8 INDEMNIFICATION</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Indemnification by the Shareholders</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Indemnification by the Company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Claims for Indemnification</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Defense by Indemnifying Party</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Manner of Indemnification</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b w:val="1"/>
                <w:bCs w:val="1"/>
                <w:i w:val="1"/>
                <w:iCs w:val="1"/>
                <w:color w:val="auto"/>
              </w:rPr>
              <w:t>[not used]</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376"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280" w:top="91" w:right="339" w:bottom="1440" w:gutter="0" w:footer="0" w:header="0"/>
        </w:sectPr>
      </w:pPr>
    </w:p>
    <w:bookmarkStart w:id="132" w:name="page133"/>
    <w:bookmarkEnd w:id="132"/>
    <w:tbl>
      <w:tblPr>
        <w:tblLayout w:type="fixed"/>
        <w:tblInd w:w="4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10 MISCELLANEOUS</w:t>
            </w:r>
          </w:p>
        </w:tc>
        <w:tc>
          <w:tcPr>
            <w:tcW w:w="3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10.1</w:t>
            </w:r>
          </w:p>
        </w:tc>
        <w:tc>
          <w:tcPr>
            <w:tcW w:w="6740" w:type="dxa"/>
            <w:vAlign w:val="bottom"/>
          </w:tcPr>
          <w:p>
            <w:pPr>
              <w:ind w:left="20"/>
              <w:spacing w:after="0"/>
              <w:rPr>
                <w:sz w:val="20"/>
                <w:szCs w:val="20"/>
                <w:color w:val="auto"/>
              </w:rPr>
            </w:pPr>
            <w:r>
              <w:rPr>
                <w:rFonts w:ascii="Arial" w:cs="Arial" w:eastAsia="Arial" w:hAnsi="Arial"/>
                <w:sz w:val="18"/>
                <w:szCs w:val="18"/>
                <w:color w:val="auto"/>
              </w:rPr>
              <w:t>Notices</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10.2</w:t>
            </w:r>
          </w:p>
        </w:tc>
        <w:tc>
          <w:tcPr>
            <w:tcW w:w="674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10.3</w:t>
            </w:r>
          </w:p>
        </w:tc>
        <w:tc>
          <w:tcPr>
            <w:tcW w:w="6740" w:type="dxa"/>
            <w:vAlign w:val="bottom"/>
          </w:tcPr>
          <w:p>
            <w:pPr>
              <w:ind w:left="20"/>
              <w:spacing w:after="0"/>
              <w:rPr>
                <w:sz w:val="20"/>
                <w:szCs w:val="20"/>
                <w:color w:val="auto"/>
              </w:rPr>
            </w:pPr>
            <w:r>
              <w:rPr>
                <w:rFonts w:ascii="Arial" w:cs="Arial" w:eastAsia="Arial" w:hAnsi="Arial"/>
                <w:sz w:val="18"/>
                <w:szCs w:val="18"/>
                <w:color w:val="auto"/>
              </w:rPr>
              <w:t>Successors and Permitted Transferees</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10.4</w:t>
            </w:r>
          </w:p>
        </w:tc>
        <w:tc>
          <w:tcPr>
            <w:tcW w:w="674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10.5</w:t>
            </w:r>
          </w:p>
        </w:tc>
        <w:tc>
          <w:tcPr>
            <w:tcW w:w="6740" w:type="dxa"/>
            <w:vAlign w:val="bottom"/>
          </w:tcPr>
          <w:p>
            <w:pPr>
              <w:ind w:left="20"/>
              <w:spacing w:after="0"/>
              <w:rPr>
                <w:sz w:val="20"/>
                <w:szCs w:val="20"/>
                <w:color w:val="auto"/>
              </w:rPr>
            </w:pPr>
            <w:r>
              <w:rPr>
                <w:rFonts w:ascii="Arial" w:cs="Arial" w:eastAsia="Arial" w:hAnsi="Arial"/>
                <w:sz w:val="18"/>
                <w:szCs w:val="18"/>
                <w:color w:val="auto"/>
              </w:rPr>
              <w:t>Modifications, Amendments, and Waivers</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10.6</w:t>
            </w:r>
          </w:p>
        </w:tc>
        <w:tc>
          <w:tcPr>
            <w:tcW w:w="6740" w:type="dxa"/>
            <w:vAlign w:val="bottom"/>
          </w:tcPr>
          <w:p>
            <w:pPr>
              <w:ind w:left="20"/>
              <w:spacing w:after="0"/>
              <w:rPr>
                <w:sz w:val="20"/>
                <w:szCs w:val="20"/>
                <w:color w:val="auto"/>
              </w:rPr>
            </w:pPr>
            <w:r>
              <w:rPr>
                <w:rFonts w:ascii="Arial" w:cs="Arial" w:eastAsia="Arial" w:hAnsi="Arial"/>
                <w:sz w:val="18"/>
                <w:szCs w:val="18"/>
                <w:color w:val="auto"/>
              </w:rPr>
              <w:t>Not for Benefit of Creditors</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10.7</w:t>
            </w:r>
          </w:p>
        </w:tc>
        <w:tc>
          <w:tcPr>
            <w:tcW w:w="6740" w:type="dxa"/>
            <w:vAlign w:val="bottom"/>
          </w:tcPr>
          <w:p>
            <w:pPr>
              <w:ind w:left="20"/>
              <w:spacing w:after="0"/>
              <w:rPr>
                <w:sz w:val="20"/>
                <w:szCs w:val="20"/>
                <w:color w:val="auto"/>
              </w:rPr>
            </w:pPr>
            <w:r>
              <w:rPr>
                <w:rFonts w:ascii="Arial" w:cs="Arial" w:eastAsia="Arial" w:hAnsi="Arial"/>
                <w:sz w:val="18"/>
                <w:szCs w:val="18"/>
                <w:color w:val="auto"/>
              </w:rPr>
              <w:t>Time of Essence</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10.8</w:t>
            </w:r>
          </w:p>
        </w:tc>
        <w:tc>
          <w:tcPr>
            <w:tcW w:w="67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80" w:type="dxa"/>
            <w:vAlign w:val="bottom"/>
          </w:tcPr>
          <w:p>
            <w:pPr>
              <w:ind w:left="340"/>
              <w:spacing w:after="0"/>
              <w:rPr>
                <w:sz w:val="20"/>
                <w:szCs w:val="20"/>
                <w:color w:val="auto"/>
              </w:rPr>
            </w:pPr>
            <w:r>
              <w:rPr>
                <w:rFonts w:ascii="Arial" w:cs="Arial" w:eastAsia="Arial" w:hAnsi="Arial"/>
                <w:sz w:val="18"/>
                <w:szCs w:val="18"/>
                <w:color w:val="auto"/>
                <w:w w:val="91"/>
              </w:rPr>
              <w:t>10.9</w:t>
            </w:r>
          </w:p>
        </w:tc>
        <w:tc>
          <w:tcPr>
            <w:tcW w:w="6740" w:type="dxa"/>
            <w:vAlign w:val="bottom"/>
          </w:tcPr>
          <w:p>
            <w:pPr>
              <w:ind w:left="20"/>
              <w:spacing w:after="0"/>
              <w:rPr>
                <w:sz w:val="20"/>
                <w:szCs w:val="20"/>
                <w:color w:val="auto"/>
              </w:rPr>
            </w:pPr>
            <w:r>
              <w:rPr>
                <w:rFonts w:ascii="Arial" w:cs="Arial" w:eastAsia="Arial" w:hAnsi="Arial"/>
                <w:sz w:val="18"/>
                <w:szCs w:val="18"/>
                <w:color w:val="auto"/>
              </w:rPr>
              <w:t>Survival</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420" w:type="dxa"/>
            <w:vAlign w:val="bottom"/>
            <w:gridSpan w:val="2"/>
          </w:tcPr>
          <w:p>
            <w:pPr>
              <w:ind w:left="340"/>
              <w:spacing w:after="0"/>
              <w:rPr>
                <w:sz w:val="20"/>
                <w:szCs w:val="20"/>
                <w:color w:val="auto"/>
              </w:rPr>
            </w:pPr>
            <w:r>
              <w:rPr>
                <w:rFonts w:ascii="Arial" w:cs="Arial" w:eastAsia="Arial" w:hAnsi="Arial"/>
                <w:sz w:val="18"/>
                <w:szCs w:val="18"/>
                <w:color w:val="auto"/>
              </w:rPr>
              <w:t>10.10 Specific performance</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420" w:type="dxa"/>
            <w:vAlign w:val="bottom"/>
            <w:gridSpan w:val="2"/>
          </w:tcPr>
          <w:p>
            <w:pPr>
              <w:ind w:left="340"/>
              <w:spacing w:after="0"/>
              <w:rPr>
                <w:sz w:val="20"/>
                <w:szCs w:val="20"/>
                <w:color w:val="auto"/>
              </w:rPr>
            </w:pPr>
            <w:r>
              <w:rPr>
                <w:rFonts w:ascii="Arial" w:cs="Arial" w:eastAsia="Arial" w:hAnsi="Arial"/>
                <w:sz w:val="18"/>
                <w:szCs w:val="18"/>
                <w:color w:val="auto"/>
              </w:rPr>
              <w:t>10.11 Entire Agreement</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420" w:type="dxa"/>
            <w:vAlign w:val="bottom"/>
            <w:gridSpan w:val="2"/>
          </w:tcPr>
          <w:p>
            <w:pPr>
              <w:ind w:left="340"/>
              <w:spacing w:after="0"/>
              <w:rPr>
                <w:sz w:val="20"/>
                <w:szCs w:val="20"/>
                <w:color w:val="auto"/>
              </w:rPr>
            </w:pPr>
            <w:r>
              <w:rPr>
                <w:rFonts w:ascii="Arial" w:cs="Arial" w:eastAsia="Arial" w:hAnsi="Arial"/>
                <w:sz w:val="18"/>
                <w:szCs w:val="18"/>
                <w:color w:val="auto"/>
              </w:rPr>
              <w:t>10.12 Counterparts</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66" w:lineRule="exact"/>
        <w:rPr>
          <w:sz w:val="20"/>
          <w:szCs w:val="20"/>
          <w:color w:val="auto"/>
        </w:rPr>
      </w:pPr>
    </w:p>
    <w:p>
      <w:pPr>
        <w:ind w:left="660" w:hanging="652"/>
        <w:spacing w:after="0" w:line="253" w:lineRule="exact"/>
        <w:tabs>
          <w:tab w:leader="none" w:pos="660" w:val="left"/>
        </w:tabs>
        <w:numPr>
          <w:ilvl w:val="0"/>
          <w:numId w:val="4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Executive Director’s Role</w:t>
      </w:r>
    </w:p>
    <w:p>
      <w:pPr>
        <w:spacing w:after="0" w:line="22" w:lineRule="exact"/>
        <w:rPr>
          <w:sz w:val="20"/>
          <w:szCs w:val="20"/>
          <w:color w:val="auto"/>
        </w:rPr>
      </w:pPr>
    </w:p>
    <w:p>
      <w:pPr>
        <w:ind w:left="660" w:hanging="652"/>
        <w:spacing w:after="0" w:line="253" w:lineRule="exact"/>
        <w:tabs>
          <w:tab w:leader="none" w:pos="660" w:val="left"/>
        </w:tabs>
        <w:numPr>
          <w:ilvl w:val="0"/>
          <w:numId w:val="4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Option Agreement</w:t>
      </w:r>
    </w:p>
    <w:p>
      <w:pPr>
        <w:spacing w:after="0" w:line="4" w:lineRule="exact"/>
        <w:rPr>
          <w:sz w:val="20"/>
          <w:szCs w:val="20"/>
          <w:color w:val="auto"/>
        </w:rPr>
      </w:pPr>
    </w:p>
    <w:p>
      <w:pPr>
        <w:ind w:left="660" w:hanging="652"/>
        <w:spacing w:after="0" w:line="253" w:lineRule="exact"/>
        <w:tabs>
          <w:tab w:leader="none" w:pos="660" w:val="left"/>
        </w:tabs>
        <w:numPr>
          <w:ilvl w:val="0"/>
          <w:numId w:val="4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Shareholder’s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20"/>
          </w:cols>
          <w:pgMar w:left="240" w:top="783" w:right="33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27"/>
          <w:szCs w:val="27"/>
          <w:b w:val="1"/>
          <w:bCs w:val="1"/>
          <w:color w:val="auto"/>
        </w:rPr>
        <w:t>SECOND AMENDED AND RESTATED</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u w:val="single" w:color="auto"/>
          <w:color w:val="auto"/>
        </w:rPr>
        <w:t>SHAREHOLDERS’ AGREEMENT</w:t>
      </w:r>
    </w:p>
    <w:p>
      <w:pPr>
        <w:spacing w:after="0" w:line="200" w:lineRule="exact"/>
        <w:rPr>
          <w:sz w:val="20"/>
          <w:szCs w:val="20"/>
          <w:color w:val="auto"/>
        </w:rPr>
      </w:pPr>
    </w:p>
    <w:p>
      <w:pPr>
        <w:spacing w:after="0" w:line="300" w:lineRule="exact"/>
        <w:rPr>
          <w:sz w:val="20"/>
          <w:szCs w:val="20"/>
          <w:color w:val="auto"/>
        </w:rPr>
      </w:pPr>
    </w:p>
    <w:p>
      <w:pPr>
        <w:ind w:right="180" w:firstLine="1297"/>
        <w:spacing w:after="0" w:line="315" w:lineRule="auto"/>
        <w:rPr>
          <w:sz w:val="20"/>
          <w:szCs w:val="20"/>
          <w:color w:val="auto"/>
        </w:rPr>
      </w:pPr>
      <w:r>
        <w:rPr>
          <w:rFonts w:ascii="Arial" w:cs="Arial" w:eastAsia="Arial" w:hAnsi="Arial"/>
          <w:sz w:val="19"/>
          <w:szCs w:val="19"/>
          <w:b w:val="1"/>
          <w:bCs w:val="1"/>
          <w:color w:val="auto"/>
        </w:rPr>
        <w:t xml:space="preserve">THIS SECOND AMENDED AND RESTATED SHAREHOLDERS’ AGREEMENT </w:t>
      </w:r>
      <w:r>
        <w:rPr>
          <w:rFonts w:ascii="Arial" w:cs="Arial" w:eastAsia="Arial" w:hAnsi="Arial"/>
          <w:sz w:val="19"/>
          <w:szCs w:val="19"/>
          <w:color w:val="auto"/>
        </w:rPr>
        <w:t>is made and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of 14 January 2016 and intended to be effective as of October 1, 2015, by and among </w:t>
      </w:r>
      <w:r>
        <w:rPr>
          <w:rFonts w:ascii="Arial" w:cs="Arial" w:eastAsia="Arial" w:hAnsi="Arial"/>
          <w:sz w:val="19"/>
          <w:szCs w:val="19"/>
          <w:b w:val="1"/>
          <w:bCs w:val="1"/>
          <w:color w:val="auto"/>
        </w:rPr>
        <w:t>CHEN CHIH LING LINDA</w:t>
      </w:r>
      <w:r>
        <w:rPr>
          <w:rFonts w:ascii="Arial" w:cs="Arial" w:eastAsia="Arial" w:hAnsi="Arial"/>
          <w:sz w:val="19"/>
          <w:szCs w:val="19"/>
          <w:color w:val="auto"/>
        </w:rPr>
        <w:t xml:space="preserve">, </w:t>
      </w:r>
      <w:r>
        <w:rPr>
          <w:rFonts w:ascii="Arial" w:cs="Arial" w:eastAsia="Arial" w:hAnsi="Arial"/>
          <w:sz w:val="19"/>
          <w:szCs w:val="19"/>
          <w:b w:val="1"/>
          <w:bCs w:val="1"/>
          <w:color w:val="auto"/>
        </w:rPr>
        <w:t>WYNN</w:t>
      </w:r>
      <w:r>
        <w:rPr>
          <w:rFonts w:ascii="Arial" w:cs="Arial" w:eastAsia="Arial" w:hAnsi="Arial"/>
          <w:sz w:val="19"/>
          <w:szCs w:val="19"/>
          <w:color w:val="auto"/>
        </w:rPr>
        <w:t xml:space="preserve"> </w:t>
      </w:r>
      <w:r>
        <w:rPr>
          <w:rFonts w:ascii="Arial" w:cs="Arial" w:eastAsia="Arial" w:hAnsi="Arial"/>
          <w:sz w:val="19"/>
          <w:szCs w:val="19"/>
          <w:b w:val="1"/>
          <w:bCs w:val="1"/>
          <w:color w:val="auto"/>
        </w:rPr>
        <w:t>RESORTS INTERNATIONAL, LTD.</w:t>
      </w:r>
      <w:r>
        <w:rPr>
          <w:rFonts w:ascii="Arial" w:cs="Arial" w:eastAsia="Arial" w:hAnsi="Arial"/>
          <w:sz w:val="19"/>
          <w:szCs w:val="19"/>
          <w:color w:val="auto"/>
        </w:rPr>
        <w:t>,</w:t>
      </w:r>
      <w:r>
        <w:rPr>
          <w:rFonts w:ascii="Arial" w:cs="Arial" w:eastAsia="Arial" w:hAnsi="Arial"/>
          <w:sz w:val="19"/>
          <w:szCs w:val="19"/>
          <w:b w:val="1"/>
          <w:bCs w:val="1"/>
          <w:color w:val="auto"/>
        </w:rPr>
        <w:t xml:space="preserve"> WYNN RESORTS (MACAU), LIMITED </w:t>
      </w:r>
      <w:r>
        <w:rPr>
          <w:rFonts w:ascii="Arial" w:cs="Arial" w:eastAsia="Arial" w:hAnsi="Arial"/>
          <w:sz w:val="19"/>
          <w:szCs w:val="19"/>
          <w:color w:val="auto"/>
        </w:rPr>
        <w:t>and</w:t>
      </w:r>
      <w:r>
        <w:rPr>
          <w:rFonts w:ascii="Arial" w:cs="Arial" w:eastAsia="Arial" w:hAnsi="Arial"/>
          <w:sz w:val="19"/>
          <w:szCs w:val="19"/>
          <w:b w:val="1"/>
          <w:bCs w:val="1"/>
          <w:color w:val="auto"/>
        </w:rPr>
        <w:t xml:space="preserve"> WYNN RESORTS (MACAU) S.A.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 E C I T A L S:</w:t>
      </w:r>
    </w:p>
    <w:p>
      <w:pPr>
        <w:spacing w:after="0" w:line="266" w:lineRule="exact"/>
        <w:rPr>
          <w:sz w:val="20"/>
          <w:szCs w:val="20"/>
          <w:color w:val="auto"/>
        </w:rPr>
      </w:pPr>
    </w:p>
    <w:p>
      <w:pPr>
        <w:ind w:right="160" w:firstLine="1305"/>
        <w:spacing w:after="0" w:line="253" w:lineRule="auto"/>
        <w:tabs>
          <w:tab w:leader="none" w:pos="17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Wynn International, Wynn Hong Kong and Mr. Wong Chi Seng (“Wong”) were parties to a certain “Amended and Restated Shareholders Agreement” dated as of September 16, 2004, in respect of share ownership interests in the Company.</w:t>
      </w:r>
    </w:p>
    <w:p>
      <w:pPr>
        <w:spacing w:after="0" w:line="226" w:lineRule="exact"/>
        <w:rPr>
          <w:rFonts w:ascii="Arial" w:cs="Arial" w:eastAsia="Arial" w:hAnsi="Arial"/>
          <w:sz w:val="22"/>
          <w:szCs w:val="22"/>
          <w:color w:val="auto"/>
        </w:rPr>
      </w:pPr>
    </w:p>
    <w:p>
      <w:pPr>
        <w:jc w:val="both"/>
        <w:ind w:right="160" w:firstLine="1305"/>
        <w:spacing w:after="0" w:line="253" w:lineRule="auto"/>
        <w:tabs>
          <w:tab w:leader="none" w:pos="15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Pursuant to a share transfer or endorsement instrument, Wong has transferred the entirety of his Class A Shares, including all rights associated therewith, to Chen, and the Company, Wynn International and Wynn Hong Kong have consented to such transfer.</w:t>
      </w:r>
    </w:p>
    <w:p>
      <w:pPr>
        <w:spacing w:after="0" w:line="226" w:lineRule="exact"/>
        <w:rPr>
          <w:rFonts w:ascii="Arial" w:cs="Arial" w:eastAsia="Arial" w:hAnsi="Arial"/>
          <w:sz w:val="22"/>
          <w:szCs w:val="22"/>
          <w:color w:val="auto"/>
        </w:rPr>
      </w:pPr>
    </w:p>
    <w:p>
      <w:pPr>
        <w:ind w:firstLine="1305"/>
        <w:spacing w:after="0" w:line="248" w:lineRule="auto"/>
        <w:tabs>
          <w:tab w:leader="none" w:pos="169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As a result of such transfer, Chen became the registered and beneficial owner of Twenty Thousand Ten (20,010) Class A Shares, which Shares represent (a) Ten Percent (10%) of the authorized voting power of the Company, (b) a nominal right to receive a Class A Annual Dividend of up to One Macau Pataca (MOP1) per year from the Company and (c) a nominal right to receive a Class A Capital Distribution of up to One Macau Pataca (MOP1) upon the liquidation of the Company or amortization of the Class A Shares.</w:t>
      </w:r>
    </w:p>
    <w:p>
      <w:pPr>
        <w:spacing w:after="0" w:line="232" w:lineRule="exact"/>
        <w:rPr>
          <w:rFonts w:ascii="Arial" w:cs="Arial" w:eastAsia="Arial" w:hAnsi="Arial"/>
          <w:sz w:val="22"/>
          <w:szCs w:val="22"/>
          <w:color w:val="auto"/>
        </w:rPr>
      </w:pPr>
    </w:p>
    <w:p>
      <w:pPr>
        <w:ind w:left="1780" w:hanging="475"/>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Wynn Hong Kong remains the registered and beneficial owner of One Hundred Two Thousand</w:t>
      </w:r>
    </w:p>
    <w:p>
      <w:pPr>
        <w:spacing w:after="0" w:line="22" w:lineRule="exact"/>
        <w:rPr>
          <w:sz w:val="20"/>
          <w:szCs w:val="20"/>
          <w:color w:val="auto"/>
        </w:rPr>
      </w:pPr>
    </w:p>
    <w:p>
      <w:pPr>
        <w:ind w:right="60"/>
        <w:spacing w:after="0" w:line="257" w:lineRule="exact"/>
        <w:rPr>
          <w:sz w:val="20"/>
          <w:szCs w:val="20"/>
          <w:color w:val="auto"/>
        </w:rPr>
      </w:pPr>
      <w:r>
        <w:rPr>
          <w:rFonts w:ascii="Arial" w:cs="Arial" w:eastAsia="Arial" w:hAnsi="Arial"/>
          <w:sz w:val="22"/>
          <w:szCs w:val="22"/>
          <w:color w:val="auto"/>
        </w:rPr>
        <w:t>Fifty</w:t>
      </w:r>
      <w:r>
        <w:rPr>
          <w:rFonts w:ascii="MS PGothic" w:cs="MS PGothic" w:eastAsia="MS PGothic" w:hAnsi="MS PGothic"/>
          <w:sz w:val="22"/>
          <w:szCs w:val="22"/>
          <w:color w:val="auto"/>
        </w:rPr>
        <w:t>‑</w:t>
      </w:r>
      <w:r>
        <w:rPr>
          <w:rFonts w:ascii="Arial" w:cs="Arial" w:eastAsia="Arial" w:hAnsi="Arial"/>
          <w:sz w:val="22"/>
          <w:szCs w:val="22"/>
          <w:color w:val="auto"/>
        </w:rPr>
        <w:t>One (102,051) Class B Shares, which Shares represent Fifty</w:t>
      </w:r>
      <w:r>
        <w:rPr>
          <w:rFonts w:ascii="MS PGothic" w:cs="MS PGothic" w:eastAsia="MS PGothic" w:hAnsi="MS PGothic"/>
          <w:sz w:val="22"/>
          <w:szCs w:val="22"/>
          <w:color w:val="auto"/>
        </w:rPr>
        <w:t>‑</w:t>
      </w:r>
      <w:r>
        <w:rPr>
          <w:rFonts w:ascii="Arial" w:cs="Arial" w:eastAsia="Arial" w:hAnsi="Arial"/>
          <w:sz w:val="22"/>
          <w:szCs w:val="22"/>
          <w:color w:val="auto"/>
        </w:rPr>
        <w:t>One Percent (51%) of the authorized voting power in, capital of, and rights to receive dividends and other distributions from, the Company, after payment of the Class A Annual Dividend and (if applicable) the Class A Capital Distribution in respect of the Class A Shares.</w:t>
      </w:r>
    </w:p>
    <w:p>
      <w:pPr>
        <w:spacing w:after="0" w:line="240" w:lineRule="exact"/>
        <w:rPr>
          <w:sz w:val="20"/>
          <w:szCs w:val="20"/>
          <w:color w:val="auto"/>
        </w:rPr>
      </w:pPr>
    </w:p>
    <w:p>
      <w:pPr>
        <w:ind w:left="1300"/>
        <w:spacing w:after="0" w:line="253" w:lineRule="exact"/>
        <w:tabs>
          <w:tab w:leader="none" w:pos="16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Wynn International remains the registered and beneficial owner of Seventy</w:t>
      </w:r>
      <w:r>
        <w:rPr>
          <w:rFonts w:ascii="MS PGothic" w:cs="MS PGothic" w:eastAsia="MS PGothic" w:hAnsi="MS PGothic"/>
          <w:sz w:val="19"/>
          <w:szCs w:val="19"/>
          <w:color w:val="auto"/>
        </w:rPr>
        <w:t>‑</w:t>
      </w:r>
      <w:r>
        <w:rPr>
          <w:rFonts w:ascii="Arial" w:cs="Arial" w:eastAsia="Arial" w:hAnsi="Arial"/>
          <w:sz w:val="19"/>
          <w:szCs w:val="19"/>
          <w:color w:val="auto"/>
        </w:rPr>
        <w:t>Eight Thousand</w:t>
      </w:r>
    </w:p>
    <w:p>
      <w:pPr>
        <w:spacing w:after="0" w:line="22" w:lineRule="exact"/>
        <w:rPr>
          <w:sz w:val="20"/>
          <w:szCs w:val="20"/>
          <w:color w:val="auto"/>
        </w:rPr>
      </w:pPr>
    </w:p>
    <w:p>
      <w:pPr>
        <w:ind w:right="80"/>
        <w:spacing w:after="0" w:line="257" w:lineRule="exact"/>
        <w:rPr>
          <w:sz w:val="20"/>
          <w:szCs w:val="20"/>
          <w:color w:val="auto"/>
        </w:rPr>
      </w:pPr>
      <w:r>
        <w:rPr>
          <w:rFonts w:ascii="Arial" w:cs="Arial" w:eastAsia="Arial" w:hAnsi="Arial"/>
          <w:sz w:val="22"/>
          <w:szCs w:val="22"/>
          <w:color w:val="auto"/>
        </w:rPr>
        <w:t>Thirty</w:t>
      </w:r>
      <w:r>
        <w:rPr>
          <w:rFonts w:ascii="MS PGothic" w:cs="MS PGothic" w:eastAsia="MS PGothic" w:hAnsi="MS PGothic"/>
          <w:sz w:val="22"/>
          <w:szCs w:val="22"/>
          <w:color w:val="auto"/>
        </w:rPr>
        <w:t>‑</w:t>
      </w:r>
      <w:r>
        <w:rPr>
          <w:rFonts w:ascii="Arial" w:cs="Arial" w:eastAsia="Arial" w:hAnsi="Arial"/>
          <w:sz w:val="22"/>
          <w:szCs w:val="22"/>
          <w:color w:val="auto"/>
        </w:rPr>
        <w:t>Nine (78,039) Class C Shares, which Shares represent (a) Thirty</w:t>
      </w:r>
      <w:r>
        <w:rPr>
          <w:rFonts w:ascii="MS PGothic" w:cs="MS PGothic" w:eastAsia="MS PGothic" w:hAnsi="MS PGothic"/>
          <w:sz w:val="22"/>
          <w:szCs w:val="22"/>
          <w:color w:val="auto"/>
        </w:rPr>
        <w:t>‑</w:t>
      </w:r>
      <w:r>
        <w:rPr>
          <w:rFonts w:ascii="Arial" w:cs="Arial" w:eastAsia="Arial" w:hAnsi="Arial"/>
          <w:sz w:val="22"/>
          <w:szCs w:val="22"/>
          <w:color w:val="auto"/>
        </w:rPr>
        <w:t>Nine Percent (39%) of the authorized voting power in, and capital of, the Company, and (b) Forty</w:t>
      </w:r>
      <w:r>
        <w:rPr>
          <w:rFonts w:ascii="MS PGothic" w:cs="MS PGothic" w:eastAsia="MS PGothic" w:hAnsi="MS PGothic"/>
          <w:sz w:val="22"/>
          <w:szCs w:val="22"/>
          <w:color w:val="auto"/>
        </w:rPr>
        <w:t>‑</w:t>
      </w:r>
      <w:r>
        <w:rPr>
          <w:rFonts w:ascii="Arial" w:cs="Arial" w:eastAsia="Arial" w:hAnsi="Arial"/>
          <w:sz w:val="22"/>
          <w:szCs w:val="22"/>
          <w:color w:val="auto"/>
        </w:rPr>
        <w:t>Nine Percent (49%) of the rights to receive dividends and other distributions from the Company, after payment of the Class A Annual Dividend and (if applicable) the Class A Capital Distribution in respect of the Class A Shares.</w:t>
      </w:r>
    </w:p>
    <w:p>
      <w:pPr>
        <w:spacing w:after="0" w:line="241" w:lineRule="exact"/>
        <w:rPr>
          <w:sz w:val="20"/>
          <w:szCs w:val="20"/>
          <w:color w:val="auto"/>
        </w:rPr>
      </w:pPr>
    </w:p>
    <w:p>
      <w:pPr>
        <w:ind w:right="80" w:firstLine="1305"/>
        <w:spacing w:after="0" w:line="271" w:lineRule="auto"/>
        <w:tabs>
          <w:tab w:leader="none" w:pos="1666"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Shareholders wish to record their understandings regarding certain aspects of the management of the Company and the structure of their respective investments in the Company and to provide for future dealings in the Class A Shares and any interests therein by signing this “Second Amended and Restated Shareholders’ Agreement”.</w:t>
      </w:r>
    </w:p>
    <w:p>
      <w:pPr>
        <w:spacing w:after="0" w:line="18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625" w:right="259" w:bottom="1440" w:gutter="0" w:footer="0" w:header="0"/>
        </w:sectPr>
      </w:pPr>
    </w:p>
    <w:bookmarkStart w:id="134" w:name="page135"/>
    <w:bookmarkEnd w:id="134"/>
    <w:p>
      <w:pPr>
        <w:jc w:val="both"/>
        <w:ind w:firstLine="12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representations, warranties,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set forth in this Agreement, and other good and valuable consideration, the receipt and adequacy of which hereby are acknowledged, the Parties agree as follows:</w:t>
      </w: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80"/>
          </w:cols>
          <w:pgMar w:left="240" w:top="882" w:right="37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DEFINITIONS AND REFERENCES</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For purposes of this Agreement, the following capitalized terms have the following respective meanings:</w:t>
      </w:r>
    </w:p>
    <w:p>
      <w:pPr>
        <w:spacing w:after="0" w:line="26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of a Person means any Person that, directly or indirectly, through one (1) or more intermediaries, owns, is owned by or is under common ownership with such first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Second Amended and Restated Shareholders’ Agreement by and among the Parties.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Articles</w:t>
      </w:r>
      <w:r>
        <w:rPr>
          <w:rFonts w:ascii="Arial" w:cs="Arial" w:eastAsia="Arial" w:hAnsi="Arial"/>
          <w:sz w:val="22"/>
          <w:szCs w:val="22"/>
          <w:color w:val="auto"/>
        </w:rPr>
        <w:t>” means the Articles of Association of the Company dated as of September 10, 2004.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on which banks are open for business in the MSAR, Las Vegas, Nevada, and New York.</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Chairman</w:t>
      </w:r>
      <w:r>
        <w:rPr>
          <w:rFonts w:ascii="Arial" w:cs="Arial" w:eastAsia="Arial" w:hAnsi="Arial"/>
          <w:sz w:val="22"/>
          <w:szCs w:val="22"/>
          <w:color w:val="auto"/>
        </w:rPr>
        <w:t>” means the Chairman of the Board of Directors of the Company, as appointed pursuant to Section 2.3.</w:t>
      </w:r>
    </w:p>
    <w:p>
      <w:pPr>
        <w:spacing w:after="0" w:line="260" w:lineRule="exact"/>
        <w:rPr>
          <w:sz w:val="20"/>
          <w:szCs w:val="20"/>
          <w:color w:val="auto"/>
        </w:rPr>
      </w:pPr>
    </w:p>
    <w:p>
      <w:pPr>
        <w:ind w:right="28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Charter Documents</w:t>
      </w:r>
      <w:r>
        <w:rPr>
          <w:rFonts w:ascii="Arial" w:cs="Arial" w:eastAsia="Arial" w:hAnsi="Arial"/>
          <w:sz w:val="22"/>
          <w:szCs w:val="22"/>
          <w:color w:val="auto"/>
        </w:rPr>
        <w:t>” means the articles of association and other organizational and governing documents of a Person that is a company or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Chen</w:t>
      </w:r>
      <w:r>
        <w:rPr>
          <w:rFonts w:ascii="Arial" w:cs="Arial" w:eastAsia="Arial" w:hAnsi="Arial"/>
          <w:sz w:val="22"/>
          <w:szCs w:val="22"/>
          <w:color w:val="auto"/>
        </w:rPr>
        <w:t>” means Chen Chih Ling Linda, an individual.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Annual Dividend</w:t>
      </w:r>
      <w:r>
        <w:rPr>
          <w:rFonts w:ascii="Arial" w:cs="Arial" w:eastAsia="Arial" w:hAnsi="Arial"/>
          <w:sz w:val="22"/>
          <w:szCs w:val="22"/>
          <w:color w:val="auto"/>
        </w:rPr>
        <w:t>” has the meaning ascribed to that term in Section 3.1.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Capital Distribution</w:t>
      </w:r>
      <w:r>
        <w:rPr>
          <w:rFonts w:ascii="Arial" w:cs="Arial" w:eastAsia="Arial" w:hAnsi="Arial"/>
          <w:sz w:val="22"/>
          <w:szCs w:val="22"/>
          <w:color w:val="auto"/>
        </w:rPr>
        <w:t>” has the meaning ascribed to that term in Section 3.1.</w:t>
      </w:r>
    </w:p>
    <w:p>
      <w:pPr>
        <w:spacing w:after="0" w:line="260" w:lineRule="exact"/>
        <w:rPr>
          <w:sz w:val="20"/>
          <w:szCs w:val="20"/>
          <w:color w:val="auto"/>
        </w:rPr>
      </w:pPr>
    </w:p>
    <w:p>
      <w:pPr>
        <w:ind w:right="160"/>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 Shares</w:t>
      </w:r>
      <w:r>
        <w:rPr>
          <w:rFonts w:ascii="Arial" w:cs="Arial" w:eastAsia="Arial" w:hAnsi="Arial"/>
          <w:sz w:val="21"/>
          <w:szCs w:val="21"/>
          <w:color w:val="auto"/>
        </w:rPr>
        <w:t xml:space="preserve">” means (a) the Twenty Thousand Ten (20,010) Class A Shares of the Company’s Class A voting stock of One Thousand Macau Patacas (MOP1,000) par value each that are designated for ownership by the Executive Director, and which currently are or contemporaneously with the execution of this Agreement will be registered in the name of, and </w:t>
      </w:r>
      <w:r>
        <w:rPr>
          <w:rFonts w:ascii="Arial" w:cs="Arial" w:eastAsia="Arial" w:hAnsi="Arial"/>
          <w:sz w:val="18"/>
          <w:szCs w:val="18"/>
          <w:color w:val="auto"/>
        </w:rPr>
        <w:t>beneficially owned</w:t>
      </w:r>
      <w:r>
        <w:rPr>
          <w:rFonts w:ascii="Arial" w:cs="Arial" w:eastAsia="Arial" w:hAnsi="Arial"/>
          <w:sz w:val="21"/>
          <w:szCs w:val="21"/>
          <w:color w:val="auto"/>
        </w:rPr>
        <w:t xml:space="preserve"> by, Chen, and (b) any other Shares </w:t>
      </w:r>
      <w:r>
        <w:rPr>
          <w:rFonts w:ascii="Arial" w:cs="Arial" w:eastAsia="Arial" w:hAnsi="Arial"/>
          <w:sz w:val="18"/>
          <w:szCs w:val="18"/>
          <w:color w:val="auto"/>
        </w:rPr>
        <w:t>owned at any time</w:t>
      </w:r>
      <w:r>
        <w:rPr>
          <w:rFonts w:ascii="Arial" w:cs="Arial" w:eastAsia="Arial" w:hAnsi="Arial"/>
          <w:sz w:val="21"/>
          <w:szCs w:val="21"/>
          <w:color w:val="auto"/>
        </w:rPr>
        <w:t xml:space="preserve"> by any Executive Director.</w:t>
      </w:r>
    </w:p>
    <w:p>
      <w:pPr>
        <w:sectPr>
          <w:pgSz w:w="11900" w:h="16838" w:orient="portrait"/>
          <w:cols w:equalWidth="0" w:num="1">
            <w:col w:w="11340"/>
          </w:cols>
          <w:pgMar w:left="240" w:top="625" w:right="319" w:bottom="1440" w:gutter="0" w:footer="0" w:header="0"/>
        </w:sectPr>
      </w:pPr>
    </w:p>
    <w:bookmarkStart w:id="136" w:name="page137"/>
    <w:bookmarkEnd w:id="136"/>
    <w:p>
      <w:pPr>
        <w:jc w:val="both"/>
        <w:ind w:right="220"/>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Shares</w:t>
      </w:r>
      <w:r>
        <w:rPr>
          <w:rFonts w:ascii="Arial" w:cs="Arial" w:eastAsia="Arial" w:hAnsi="Arial"/>
          <w:sz w:val="22"/>
          <w:szCs w:val="22"/>
          <w:color w:val="auto"/>
        </w:rPr>
        <w:t>” means the One Hundred Two Thousand Fifty</w:t>
      </w:r>
      <w:r>
        <w:rPr>
          <w:rFonts w:ascii="MS PGothic" w:cs="MS PGothic" w:eastAsia="MS PGothic" w:hAnsi="MS PGothic"/>
          <w:sz w:val="22"/>
          <w:szCs w:val="22"/>
          <w:color w:val="auto"/>
        </w:rPr>
        <w:t>‑</w:t>
      </w:r>
      <w:r>
        <w:rPr>
          <w:rFonts w:ascii="Arial" w:cs="Arial" w:eastAsia="Arial" w:hAnsi="Arial"/>
          <w:sz w:val="22"/>
          <w:szCs w:val="22"/>
          <w:color w:val="auto"/>
        </w:rPr>
        <w:t>One (102,051) Shares of the Company’s Class B voting stock of One Thousand Macau Patacas (MOP1,000) par value each, which currently are registered in the name of, and beneficially owned by, Wynn Hong Kong.</w:t>
      </w:r>
    </w:p>
    <w:p>
      <w:pPr>
        <w:spacing w:after="0" w:line="233" w:lineRule="exact"/>
        <w:rPr>
          <w:sz w:val="20"/>
          <w:szCs w:val="20"/>
          <w:color w:val="auto"/>
        </w:rPr>
      </w:pPr>
    </w:p>
    <w:p>
      <w:pPr>
        <w:ind w:right="120"/>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Shares</w:t>
      </w:r>
      <w:r>
        <w:rPr>
          <w:rFonts w:ascii="Arial" w:cs="Arial" w:eastAsia="Arial" w:hAnsi="Arial"/>
          <w:sz w:val="22"/>
          <w:szCs w:val="22"/>
          <w:color w:val="auto"/>
        </w:rPr>
        <w:t>” means the Seventy</w:t>
      </w:r>
      <w:r>
        <w:rPr>
          <w:rFonts w:ascii="MS PGothic" w:cs="MS PGothic" w:eastAsia="MS PGothic" w:hAnsi="MS PGothic"/>
          <w:sz w:val="22"/>
          <w:szCs w:val="22"/>
          <w:color w:val="auto"/>
        </w:rPr>
        <w:t>‑</w:t>
      </w:r>
      <w:r>
        <w:rPr>
          <w:rFonts w:ascii="Arial" w:cs="Arial" w:eastAsia="Arial" w:hAnsi="Arial"/>
          <w:sz w:val="22"/>
          <w:szCs w:val="22"/>
          <w:color w:val="auto"/>
        </w:rPr>
        <w:t>Eight Thousand Thirty</w:t>
      </w:r>
      <w:r>
        <w:rPr>
          <w:rFonts w:ascii="MS PGothic" w:cs="MS PGothic" w:eastAsia="MS PGothic" w:hAnsi="MS PGothic"/>
          <w:sz w:val="22"/>
          <w:szCs w:val="22"/>
          <w:color w:val="auto"/>
        </w:rPr>
        <w:t>‑</w:t>
      </w:r>
      <w:r>
        <w:rPr>
          <w:rFonts w:ascii="Arial" w:cs="Arial" w:eastAsia="Arial" w:hAnsi="Arial"/>
          <w:sz w:val="22"/>
          <w:szCs w:val="22"/>
          <w:color w:val="auto"/>
        </w:rPr>
        <w:t>Nine (78,039) Shares of the Company’s Class C voting stock of One Thousand Macau Patacas (MOP1,000) par value each, which currently are registered in the name of, and beneficially owned by, Wynn International.</w:t>
      </w:r>
    </w:p>
    <w:p>
      <w:pPr>
        <w:spacing w:after="0" w:line="233" w:lineRule="exact"/>
        <w:rPr>
          <w:sz w:val="20"/>
          <w:szCs w:val="20"/>
          <w:color w:val="auto"/>
        </w:rPr>
      </w:pPr>
    </w:p>
    <w:p>
      <w:pPr>
        <w:ind w:right="2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Wynn Resorts (Macau) S.A., a company limited by shares organized with limited liability and existing under the laws of the MSAR.</w:t>
      </w:r>
    </w:p>
    <w:p>
      <w:pPr>
        <w:spacing w:after="0" w:line="203" w:lineRule="exact"/>
        <w:rPr>
          <w:sz w:val="20"/>
          <w:szCs w:val="20"/>
          <w:color w:val="auto"/>
        </w:rPr>
      </w:pPr>
    </w:p>
    <w:p>
      <w:pPr>
        <w:ind w:right="2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Contract</w:t>
      </w:r>
      <w:r>
        <w:rPr>
          <w:rFonts w:ascii="Arial" w:cs="Arial" w:eastAsia="Arial" w:hAnsi="Arial"/>
          <w:sz w:val="22"/>
          <w:szCs w:val="22"/>
          <w:color w:val="auto"/>
        </w:rPr>
        <w:t>” means the Concession Contract to Conduct Casino Games of Chance and Games of Other Forms by and between the MSAR Government and the Company dated June 24, 2002.</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Shareholder</w:t>
      </w:r>
      <w:r>
        <w:rPr>
          <w:rFonts w:ascii="Arial" w:cs="Arial" w:eastAsia="Arial" w:hAnsi="Arial"/>
          <w:sz w:val="22"/>
          <w:szCs w:val="22"/>
          <w:color w:val="auto"/>
        </w:rPr>
        <w:t>” has the meaning ascribed to that term in Section 7.3.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Price</w:t>
      </w:r>
      <w:r>
        <w:rPr>
          <w:rFonts w:ascii="Arial" w:cs="Arial" w:eastAsia="Arial" w:hAnsi="Arial"/>
          <w:sz w:val="22"/>
          <w:szCs w:val="22"/>
          <w:color w:val="auto"/>
        </w:rPr>
        <w:t>” has the meaning ascribed to that term in Section 7.3.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means a member of the Board, including, but not limited to, the Executive Director and the Chairman.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Directors</w:t>
      </w:r>
      <w:r>
        <w:rPr>
          <w:rFonts w:ascii="Arial" w:cs="Arial" w:eastAsia="Arial" w:hAnsi="Arial"/>
          <w:sz w:val="22"/>
          <w:szCs w:val="22"/>
          <w:color w:val="auto"/>
        </w:rPr>
        <w:t>” means more than one (1) Director.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means units of the lawful currency of the United States of America.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date first set forth above in respect of which this Agreement is intended to take effect.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means any of the events described in Section 7.2.</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w:t>
      </w:r>
      <w:r>
        <w:rPr>
          <w:rFonts w:ascii="Arial" w:cs="Arial" w:eastAsia="Arial" w:hAnsi="Arial"/>
          <w:sz w:val="22"/>
          <w:szCs w:val="22"/>
          <w:color w:val="auto"/>
        </w:rPr>
        <w:t>” has the meaning ascribed to that term in Section 2.5.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FCPA</w:t>
      </w:r>
      <w:r>
        <w:rPr>
          <w:rFonts w:ascii="Arial" w:cs="Arial" w:eastAsia="Arial" w:hAnsi="Arial"/>
          <w:sz w:val="22"/>
          <w:szCs w:val="22"/>
          <w:color w:val="auto"/>
        </w:rPr>
        <w:t>” has the meaning ascribed to that term in Section 6.1(f).</w:t>
      </w:r>
    </w:p>
    <w:p>
      <w:pPr>
        <w:spacing w:after="0" w:line="260"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Gaming Authority</w:t>
      </w:r>
      <w:r>
        <w:rPr>
          <w:rFonts w:ascii="Arial" w:cs="Arial" w:eastAsia="Arial" w:hAnsi="Arial"/>
          <w:sz w:val="19"/>
          <w:szCs w:val="19"/>
          <w:color w:val="auto"/>
        </w:rPr>
        <w:t>” means those national, state, local, and other governmental, regulatory, and administrative authorities, agencies, boards, and officials responsible for or involved in the regulation of gaming or gaming activities or the interpretation or enforcement of Gaming Laws in any jurisdiction, including without limitation, within (a) the MSAR, specifically, the MSAR Gambling Inspection and Coordination Bureau and the MSAR Gaming Commission, (b) the State of Nevada, specifically, the Nevada Gaming Commission, the Nevada State Gaming Control Board and the Clark County Liquor and Gaming Licensing Board, and (c) the Commonwealth of Massachusetts, specifically, the Massachusetts Gaming Commission, and with respect to each of the foregoing, any other applicable governmental authority, agency, board, body or officials.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25" w:right="259" w:bottom="1440" w:gutter="0" w:footer="0" w:header="0"/>
        </w:sectPr>
      </w:pPr>
    </w:p>
    <w:bookmarkStart w:id="137" w:name="page138"/>
    <w:bookmarkEnd w:id="137"/>
    <w:p>
      <w:pPr>
        <w:ind w:right="2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Gaming Laws</w:t>
      </w:r>
      <w:r>
        <w:rPr>
          <w:rFonts w:ascii="Arial" w:cs="Arial" w:eastAsia="Arial" w:hAnsi="Arial"/>
          <w:sz w:val="22"/>
          <w:szCs w:val="22"/>
          <w:color w:val="auto"/>
        </w:rPr>
        <w:t>” means those laws pursuant to which any Gaming Authority possesses regulatory, licensing, or permit authority over gaming within any jurisdiction, including without limitation, within (a) the MSAR, specifically, Law No. 16/2001, Administrative Regulations No. 26/2001 and any Concession Contract granting to the Company the concession to conduct casino games of chance and other games in the MSAR, (b) the State of Nevada, specifically, the Nevada Gaming Control Act, as codified in Nevada Revised Statutes Chapter 463, the regulations of the Nevada Gaming Commission promulgated thereunder and the Clark County Code, and (c) the Commonwealth of Massachusetts, as any of the foregoing may be amended or replaced from time to time.</w:t>
      </w:r>
    </w:p>
    <w:p>
      <w:pPr>
        <w:spacing w:after="0" w:line="230"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Gaming Licenses</w:t>
      </w:r>
      <w:r>
        <w:rPr>
          <w:rFonts w:ascii="Arial" w:cs="Arial" w:eastAsia="Arial" w:hAnsi="Arial"/>
          <w:sz w:val="22"/>
          <w:szCs w:val="22"/>
          <w:color w:val="auto"/>
        </w:rPr>
        <w:t>” means all concessions, licenses, permits, approvals, authorizations, registrations, findings of suitability, franchises and entitlements issued by any Gaming Authority necessary for or relating to the conduct of activities under any Gaming Laws.</w:t>
      </w:r>
    </w:p>
    <w:p>
      <w:pPr>
        <w:spacing w:after="0" w:line="217"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Gaming Problem</w:t>
      </w:r>
      <w:r>
        <w:rPr>
          <w:rFonts w:ascii="Arial" w:cs="Arial" w:eastAsia="Arial" w:hAnsi="Arial"/>
          <w:sz w:val="21"/>
          <w:szCs w:val="21"/>
          <w:color w:val="auto"/>
        </w:rPr>
        <w:t>” means, with respect to any Shareholder or any of its Affiliates, any circumstance such that such Shareholder’s participation in the Company or any of its Affiliates is deemed likely, in the sole and absolute discretion of the Company or Wynn International, to preclude or materially delay, impede or impair the ability of the Company, Wynn International, any Affiliate of either of them, or any business entity with respect to which the Company, Wynn International or such Affiliate holds a Gaming License, to obtain or retain any Gaming License, or to result in the imposition of disciplinary action, including, without limitation, materially burdensome terms and conditions on any Gaming License.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means a Party entitled to be indemnified pursuant to Article 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means a Party required to indemnify an Indemnified Party pursuant to Article 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has the meaning ascribed to that term in Article 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Patacas</w:t>
      </w:r>
      <w:r>
        <w:rPr>
          <w:rFonts w:ascii="Arial" w:cs="Arial" w:eastAsia="Arial" w:hAnsi="Arial"/>
          <w:sz w:val="22"/>
          <w:szCs w:val="22"/>
          <w:color w:val="auto"/>
        </w:rPr>
        <w:t>” and “</w:t>
      </w:r>
      <w:r>
        <w:rPr>
          <w:rFonts w:ascii="Arial" w:cs="Arial" w:eastAsia="Arial" w:hAnsi="Arial"/>
          <w:sz w:val="22"/>
          <w:szCs w:val="22"/>
          <w:b w:val="1"/>
          <w:bCs w:val="1"/>
          <w:color w:val="auto"/>
        </w:rPr>
        <w:t>MOP</w:t>
      </w:r>
      <w:r>
        <w:rPr>
          <w:rFonts w:ascii="Arial" w:cs="Arial" w:eastAsia="Arial" w:hAnsi="Arial"/>
          <w:sz w:val="22"/>
          <w:szCs w:val="22"/>
          <w:color w:val="auto"/>
        </w:rPr>
        <w:t>” means units of the lawful currency of the MSAR.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MSAR</w:t>
      </w:r>
      <w:r>
        <w:rPr>
          <w:rFonts w:ascii="Arial" w:cs="Arial" w:eastAsia="Arial" w:hAnsi="Arial"/>
          <w:sz w:val="22"/>
          <w:szCs w:val="22"/>
          <w:color w:val="auto"/>
        </w:rPr>
        <w:t>” means the Macau Special Administrative Region of the People’s Republic of China.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w:t>
      </w:r>
      <w:r>
        <w:rPr>
          <w:rFonts w:ascii="Arial" w:cs="Arial" w:eastAsia="Arial" w:hAnsi="Arial"/>
          <w:sz w:val="22"/>
          <w:szCs w:val="22"/>
          <w:color w:val="auto"/>
        </w:rPr>
        <w:t>” has the meaning ascribed to that term in Section 10.1.</w:t>
      </w:r>
    </w:p>
    <w:p>
      <w:pPr>
        <w:spacing w:after="0" w:line="260"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Agreement</w:t>
      </w:r>
      <w:r>
        <w:rPr>
          <w:rFonts w:ascii="Arial" w:cs="Arial" w:eastAsia="Arial" w:hAnsi="Arial"/>
          <w:sz w:val="22"/>
          <w:szCs w:val="22"/>
          <w:color w:val="auto"/>
        </w:rPr>
        <w:t>” means the Option Agreement by and among Chen, Wynn International, and the Company, dated of even date herewith, a copy of which is attached as Exhibit B.</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means all of Chen, Wynn International, Wynn Hong Kong and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means any one (1) of the Parties.</w:t>
      </w:r>
    </w:p>
    <w:p>
      <w:pPr>
        <w:sectPr>
          <w:pgSz w:w="11900" w:h="16838" w:orient="portrait"/>
          <w:cols w:equalWidth="0" w:num="1">
            <w:col w:w="11400"/>
          </w:cols>
          <w:pgMar w:left="240" w:top="882" w:right="259" w:bottom="1440" w:gutter="0" w:footer="0" w:header="0"/>
        </w:sectPr>
      </w:pPr>
    </w:p>
    <w:bookmarkStart w:id="138" w:name="page139"/>
    <w:bookmarkEnd w:id="138"/>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partnership, association, corporation, company, trust, governmental authority or other entity having a separate legal personality.</w:t>
      </w:r>
    </w:p>
    <w:p>
      <w:pPr>
        <w:spacing w:after="0" w:line="203" w:lineRule="exact"/>
        <w:rPr>
          <w:sz w:val="20"/>
          <w:szCs w:val="20"/>
          <w:color w:val="auto"/>
        </w:rPr>
      </w:pPr>
    </w:p>
    <w:p>
      <w:pPr>
        <w:ind w:right="140"/>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Rate</w:t>
      </w:r>
      <w:r>
        <w:rPr>
          <w:rFonts w:ascii="Arial" w:cs="Arial" w:eastAsia="Arial" w:hAnsi="Arial"/>
          <w:sz w:val="22"/>
          <w:szCs w:val="22"/>
          <w:color w:val="auto"/>
        </w:rPr>
        <w:t>” means the three (3)</w:t>
      </w:r>
      <w:r>
        <w:rPr>
          <w:rFonts w:ascii="MS PGothic" w:cs="MS PGothic" w:eastAsia="MS PGothic" w:hAnsi="MS PGothic"/>
          <w:sz w:val="22"/>
          <w:szCs w:val="22"/>
          <w:color w:val="auto"/>
        </w:rPr>
        <w:t>‑</w:t>
      </w:r>
      <w:r>
        <w:rPr>
          <w:rFonts w:ascii="Arial" w:cs="Arial" w:eastAsia="Arial" w:hAnsi="Arial"/>
          <w:sz w:val="22"/>
          <w:szCs w:val="22"/>
          <w:color w:val="auto"/>
        </w:rPr>
        <w:t>month, Dollar ($) London Interbank Offered Rate in effect from time to time (or such other rate as the relevant Parties shall agree if such rate shall not be in effect at any time).</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Authority</w:t>
      </w:r>
      <w:r>
        <w:rPr>
          <w:rFonts w:ascii="Arial" w:cs="Arial" w:eastAsia="Arial" w:hAnsi="Arial"/>
          <w:sz w:val="22"/>
          <w:szCs w:val="22"/>
          <w:color w:val="auto"/>
        </w:rPr>
        <w:t>” means those national, state, local and other governmental, regulatory and administrative authorities, agencies, boards and offices responsible for or involved in the regulation of securities, the offer, sale and trading of securities, and the administration or enforcement of laws relating to securities.</w:t>
      </w:r>
    </w:p>
    <w:p>
      <w:pPr>
        <w:spacing w:after="0" w:line="217" w:lineRule="exact"/>
        <w:rPr>
          <w:sz w:val="20"/>
          <w:szCs w:val="20"/>
          <w:color w:val="auto"/>
        </w:rPr>
      </w:pPr>
    </w:p>
    <w:p>
      <w:pPr>
        <w:ind w:righ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Problem</w:t>
      </w:r>
      <w:r>
        <w:rPr>
          <w:rFonts w:ascii="Arial" w:cs="Arial" w:eastAsia="Arial" w:hAnsi="Arial"/>
          <w:sz w:val="19"/>
          <w:szCs w:val="19"/>
          <w:color w:val="auto"/>
        </w:rPr>
        <w:t>” means, with respect to any Shareholder or any of such Shareholder’s Affiliates, any circumstances such that such Shareholder’s participation in the Company or any of its Affiliates is deemed likely, in the sole and absolute discretion of the Company or Wynn International, to preclude or materially delay, impede or impair the ability of the Company, Wynn International or any Affiliate of either of them to offer, sell or trade securities, or to result in the imposition of disciplinary action including, without limitation, materially burdensome terms and conditions on any such offer, sale, or trading of securities.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w:t>
      </w:r>
      <w:r>
        <w:rPr>
          <w:rFonts w:ascii="Arial" w:cs="Arial" w:eastAsia="Arial" w:hAnsi="Arial"/>
          <w:sz w:val="22"/>
          <w:szCs w:val="22"/>
          <w:color w:val="auto"/>
        </w:rPr>
        <w:t>” means any one (1) of the Shareholders.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w:t>
      </w:r>
      <w:r>
        <w:rPr>
          <w:rFonts w:ascii="Arial" w:cs="Arial" w:eastAsia="Arial" w:hAnsi="Arial"/>
          <w:sz w:val="22"/>
          <w:szCs w:val="22"/>
          <w:color w:val="auto"/>
        </w:rPr>
        <w:t>” means all of the holders of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means one of the Shares.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means the Class A Shares, the Class B Shares, the Class C Shares and any other future equity interests in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has the meaning ascribed to that term in Section 5.1(a).</w:t>
      </w:r>
    </w:p>
    <w:p>
      <w:pPr>
        <w:spacing w:after="0" w:line="260" w:lineRule="exact"/>
        <w:rPr>
          <w:sz w:val="20"/>
          <w:szCs w:val="20"/>
          <w:color w:val="auto"/>
        </w:rPr>
      </w:pPr>
    </w:p>
    <w:p>
      <w:pPr>
        <w:ind w:right="5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Holdings</w:t>
      </w:r>
      <w:r>
        <w:rPr>
          <w:rFonts w:ascii="Arial" w:cs="Arial" w:eastAsia="Arial" w:hAnsi="Arial"/>
          <w:sz w:val="22"/>
          <w:szCs w:val="22"/>
          <w:color w:val="auto"/>
        </w:rPr>
        <w:t>” means Wynn Resorts (Macau) Holdings, Ltd., a private company limited by shares organized with limited liability and existing under the laws of the Isle of Man.</w:t>
      </w:r>
    </w:p>
    <w:p>
      <w:pPr>
        <w:spacing w:after="0" w:line="203" w:lineRule="exact"/>
        <w:rPr>
          <w:sz w:val="20"/>
          <w:szCs w:val="20"/>
          <w:color w:val="auto"/>
        </w:rPr>
      </w:pPr>
    </w:p>
    <w:p>
      <w:pPr>
        <w:ind w:right="1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Hong Kong</w:t>
      </w:r>
      <w:r>
        <w:rPr>
          <w:rFonts w:ascii="Arial" w:cs="Arial" w:eastAsia="Arial" w:hAnsi="Arial"/>
          <w:sz w:val="21"/>
          <w:szCs w:val="21"/>
          <w:color w:val="auto"/>
        </w:rPr>
        <w:t>” means Wynn Resorts (Macau), Limited, a private company limited by shares organized with limited liability and existing under the laws of the Hong Kong Special Administrative Region of the People’s Republic of China.</w:t>
      </w:r>
    </w:p>
    <w:p>
      <w:pPr>
        <w:spacing w:after="0" w:line="180" w:lineRule="exact"/>
        <w:rPr>
          <w:sz w:val="20"/>
          <w:szCs w:val="20"/>
          <w:color w:val="auto"/>
        </w:rPr>
      </w:pPr>
    </w:p>
    <w:p>
      <w:pPr>
        <w:ind w:right="64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w:t>
      </w:r>
      <w:r>
        <w:rPr>
          <w:rFonts w:ascii="Arial" w:cs="Arial" w:eastAsia="Arial" w:hAnsi="Arial"/>
          <w:sz w:val="22"/>
          <w:szCs w:val="22"/>
          <w:color w:val="auto"/>
        </w:rPr>
        <w:t>” means Wynn Resorts International, Ltd., a private company limited by shares organized with limited liability and existing under the laws of the Isle of Man.</w:t>
      </w:r>
    </w:p>
    <w:p>
      <w:pPr>
        <w:spacing w:after="0" w:line="203" w:lineRule="exact"/>
        <w:rPr>
          <w:sz w:val="20"/>
          <w:szCs w:val="20"/>
          <w:color w:val="auto"/>
        </w:rPr>
      </w:pPr>
    </w:p>
    <w:p>
      <w:pPr>
        <w:ind w:right="28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w:t>
      </w:r>
      <w:r>
        <w:rPr>
          <w:rFonts w:ascii="Arial" w:cs="Arial" w:eastAsia="Arial" w:hAnsi="Arial"/>
          <w:sz w:val="22"/>
          <w:szCs w:val="22"/>
          <w:color w:val="auto"/>
        </w:rPr>
        <w:t>” means Wynn Resorts, Limited, a corporation organized with limited liability and existing under the laws of the State of Nevada of the United States of America.</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39" w:name="page140"/>
    <w:bookmarkEnd w:id="139"/>
    <w:p>
      <w:pPr>
        <w:ind w:left="1300"/>
        <w:spacing w:after="0"/>
        <w:tabs>
          <w:tab w:leader="none" w:pos="17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b w:val="1"/>
          <w:bCs w:val="1"/>
          <w:color w:val="auto"/>
        </w:rPr>
        <w:t>.</w:t>
      </w:r>
    </w:p>
    <w:p>
      <w:pPr>
        <w:spacing w:after="0" w:line="260" w:lineRule="exact"/>
        <w:rPr>
          <w:sz w:val="20"/>
          <w:szCs w:val="20"/>
          <w:color w:val="auto"/>
        </w:rPr>
      </w:pPr>
    </w:p>
    <w:p>
      <w:pPr>
        <w:ind w:left="660" w:right="100" w:firstLine="1293"/>
        <w:spacing w:after="0" w:line="269" w:lineRule="auto"/>
        <w:tabs>
          <w:tab w:leader="none" w:pos="2425"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Articles, Sections and Exhibits</w:t>
      </w:r>
      <w:r>
        <w:rPr>
          <w:rFonts w:ascii="Arial" w:cs="Arial" w:eastAsia="Arial" w:hAnsi="Arial"/>
          <w:sz w:val="22"/>
          <w:szCs w:val="22"/>
          <w:color w:val="auto"/>
        </w:rPr>
        <w:t>. Any reference in this Agreement to an Article, Section, or Exhibit is,</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stated, a reference to an Article, Section or Exhibit of or to this Agreement.</w:t>
      </w:r>
    </w:p>
    <w:p>
      <w:pPr>
        <w:spacing w:after="0" w:line="202" w:lineRule="exact"/>
        <w:rPr>
          <w:rFonts w:ascii="Arial" w:cs="Arial" w:eastAsia="Arial" w:hAnsi="Arial"/>
          <w:sz w:val="22"/>
          <w:szCs w:val="22"/>
          <w:b w:val="1"/>
          <w:bCs w:val="1"/>
          <w:color w:val="auto"/>
        </w:rPr>
      </w:pPr>
    </w:p>
    <w:p>
      <w:pPr>
        <w:ind w:left="660" w:right="220" w:firstLine="1293"/>
        <w:spacing w:after="0" w:line="269" w:lineRule="auto"/>
        <w:tabs>
          <w:tab w:leader="none" w:pos="2437"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Headings set forth in this Agreement are for ease of reference only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Agreement.</w:t>
      </w:r>
    </w:p>
    <w:p>
      <w:pPr>
        <w:spacing w:after="0" w:line="202" w:lineRule="exact"/>
        <w:rPr>
          <w:rFonts w:ascii="Arial" w:cs="Arial" w:eastAsia="Arial" w:hAnsi="Arial"/>
          <w:sz w:val="22"/>
          <w:szCs w:val="22"/>
          <w:b w:val="1"/>
          <w:bCs w:val="1"/>
          <w:color w:val="auto"/>
        </w:rPr>
      </w:pPr>
    </w:p>
    <w:p>
      <w:pPr>
        <w:ind w:left="660" w:firstLine="1293"/>
        <w:spacing w:after="0" w:line="252" w:lineRule="auto"/>
        <w:tabs>
          <w:tab w:leader="none" w:pos="241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References to Documents</w:t>
      </w:r>
      <w:r>
        <w:rPr>
          <w:rFonts w:ascii="Arial" w:cs="Arial" w:eastAsia="Arial" w:hAnsi="Arial"/>
          <w:sz w:val="22"/>
          <w:szCs w:val="22"/>
          <w:color w:val="auto"/>
        </w:rPr>
        <w:t>. References to this Agreement or any other agreement, instrument or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referred to in this Agreement shall be construed as references to this Agreement or, as the case may be, such other agreement, instrument or document, as the same may have been, or may from time to time be, amended, varied, novated or supplemented.</w:t>
      </w:r>
    </w:p>
    <w:p>
      <w:pPr>
        <w:spacing w:after="0" w:line="220" w:lineRule="exact"/>
        <w:rPr>
          <w:rFonts w:ascii="Arial" w:cs="Arial" w:eastAsia="Arial" w:hAnsi="Arial"/>
          <w:sz w:val="22"/>
          <w:szCs w:val="22"/>
          <w:b w:val="1"/>
          <w:bCs w:val="1"/>
          <w:color w:val="auto"/>
        </w:rPr>
      </w:pPr>
    </w:p>
    <w:p>
      <w:pPr>
        <w:ind w:left="2440" w:hanging="487"/>
        <w:spacing w:after="0"/>
        <w:tabs>
          <w:tab w:leader="none" w:pos="2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Number</w:t>
      </w:r>
      <w:r>
        <w:rPr>
          <w:rFonts w:ascii="Arial" w:cs="Arial" w:eastAsia="Arial" w:hAnsi="Arial"/>
          <w:sz w:val="22"/>
          <w:szCs w:val="22"/>
          <w:color w:val="auto"/>
        </w:rPr>
        <w:t>. Words importing the singular include the plural and vice versa.</w:t>
      </w:r>
    </w:p>
    <w:p>
      <w:pPr>
        <w:spacing w:after="0" w:line="260" w:lineRule="exact"/>
        <w:rPr>
          <w:rFonts w:ascii="Arial" w:cs="Arial" w:eastAsia="Arial" w:hAnsi="Arial"/>
          <w:sz w:val="22"/>
          <w:szCs w:val="22"/>
          <w:b w:val="1"/>
          <w:bCs w:val="1"/>
          <w:color w:val="auto"/>
        </w:rPr>
      </w:pPr>
    </w:p>
    <w:p>
      <w:pPr>
        <w:ind w:left="2400" w:hanging="447"/>
        <w:spacing w:after="0"/>
        <w:tabs>
          <w:tab w:leader="none" w:pos="240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Gender</w:t>
      </w:r>
      <w:r>
        <w:rPr>
          <w:rFonts w:ascii="Arial" w:cs="Arial" w:eastAsia="Arial" w:hAnsi="Arial"/>
          <w:sz w:val="22"/>
          <w:szCs w:val="22"/>
          <w:color w:val="auto"/>
        </w:rPr>
        <w:t>. Words importing a gender include any gender or neuter.</w:t>
      </w:r>
    </w:p>
    <w:p>
      <w:pPr>
        <w:spacing w:after="0" w:line="260" w:lineRule="exact"/>
        <w:rPr>
          <w:rFonts w:ascii="Arial" w:cs="Arial" w:eastAsia="Arial" w:hAnsi="Arial"/>
          <w:sz w:val="22"/>
          <w:szCs w:val="22"/>
          <w:b w:val="1"/>
          <w:bCs w:val="1"/>
          <w:color w:val="auto"/>
        </w:rPr>
      </w:pPr>
    </w:p>
    <w:p>
      <w:pPr>
        <w:ind w:left="660" w:right="280" w:firstLine="1293"/>
        <w:spacing w:after="0" w:line="269" w:lineRule="auto"/>
        <w:tabs>
          <w:tab w:leader="none" w:pos="2389"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Speech; Grammar</w:t>
      </w:r>
      <w:r>
        <w:rPr>
          <w:rFonts w:ascii="Arial" w:cs="Arial" w:eastAsia="Arial" w:hAnsi="Arial"/>
          <w:sz w:val="22"/>
          <w:szCs w:val="22"/>
          <w:color w:val="auto"/>
        </w:rPr>
        <w:t>. Other parts of speech and grammatical forms of a word or phrase defined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have corresponding meanings.</w:t>
      </w:r>
    </w:p>
    <w:p>
      <w:pPr>
        <w:spacing w:after="0" w:line="202" w:lineRule="exact"/>
        <w:rPr>
          <w:rFonts w:ascii="Arial" w:cs="Arial" w:eastAsia="Arial" w:hAnsi="Arial"/>
          <w:sz w:val="22"/>
          <w:szCs w:val="22"/>
          <w:b w:val="1"/>
          <w:bCs w:val="1"/>
          <w:color w:val="auto"/>
        </w:rPr>
      </w:pPr>
    </w:p>
    <w:p>
      <w:pPr>
        <w:ind w:left="660" w:right="520" w:firstLine="1293"/>
        <w:spacing w:after="0" w:line="269" w:lineRule="auto"/>
        <w:tabs>
          <w:tab w:leader="none" w:pos="2425"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 Except as otherwise provided in this Agreement, a reference to a Party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includes that Party’s permitted successors and permitted assigns.</w:t>
      </w:r>
    </w:p>
    <w:p>
      <w:pPr>
        <w:spacing w:after="0" w:line="202" w:lineRule="exact"/>
        <w:rPr>
          <w:rFonts w:ascii="Arial" w:cs="Arial" w:eastAsia="Arial" w:hAnsi="Arial"/>
          <w:sz w:val="22"/>
          <w:szCs w:val="22"/>
          <w:b w:val="1"/>
          <w:bCs w:val="1"/>
          <w:color w:val="auto"/>
        </w:rPr>
      </w:pPr>
    </w:p>
    <w:p>
      <w:pPr>
        <w:ind w:left="660" w:right="180" w:firstLine="1293"/>
        <w:spacing w:after="0" w:line="269" w:lineRule="auto"/>
        <w:tabs>
          <w:tab w:leader="none" w:pos="2437"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Where the day on or by which any thing is to be done is not a Business Day, that thing</w:t>
      </w:r>
      <w:r>
        <w:rPr>
          <w:rFonts w:ascii="Arial" w:cs="Arial" w:eastAsia="Arial" w:hAnsi="Arial"/>
          <w:sz w:val="22"/>
          <w:szCs w:val="22"/>
          <w:b w:val="1"/>
          <w:bCs w:val="1"/>
          <w:color w:val="auto"/>
        </w:rPr>
        <w:t xml:space="preserve"> </w:t>
      </w:r>
      <w:r>
        <w:rPr>
          <w:rFonts w:ascii="Arial" w:cs="Arial" w:eastAsia="Arial" w:hAnsi="Arial"/>
          <w:sz w:val="22"/>
          <w:szCs w:val="22"/>
          <w:color w:val="auto"/>
        </w:rPr>
        <w:t>must be done on or by the immediately succeeding Business Day.</w:t>
      </w:r>
    </w:p>
    <w:p>
      <w:pPr>
        <w:spacing w:after="0" w:line="202" w:lineRule="exact"/>
        <w:rPr>
          <w:rFonts w:ascii="Arial" w:cs="Arial" w:eastAsia="Arial" w:hAnsi="Arial"/>
          <w:sz w:val="22"/>
          <w:szCs w:val="22"/>
          <w:b w:val="1"/>
          <w:bCs w:val="1"/>
          <w:color w:val="auto"/>
        </w:rPr>
      </w:pPr>
    </w:p>
    <w:p>
      <w:pPr>
        <w:ind w:left="660" w:right="120" w:firstLine="1293"/>
        <w:spacing w:after="0" w:line="293" w:lineRule="auto"/>
        <w:tabs>
          <w:tab w:leader="none" w:pos="2377"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Preparation of Documents</w:t>
      </w:r>
      <w:r>
        <w:rPr>
          <w:rFonts w:ascii="Arial" w:cs="Arial" w:eastAsia="Arial" w:hAnsi="Arial"/>
          <w:sz w:val="21"/>
          <w:szCs w:val="21"/>
          <w:color w:val="auto"/>
        </w:rPr>
        <w:t>. No rule of construction shall apply to the disadvantage of a Party because</w:t>
      </w:r>
      <w:r>
        <w:rPr>
          <w:rFonts w:ascii="Arial" w:cs="Arial" w:eastAsia="Arial" w:hAnsi="Arial"/>
          <w:sz w:val="21"/>
          <w:szCs w:val="21"/>
          <w:b w:val="1"/>
          <w:bCs w:val="1"/>
          <w:color w:val="auto"/>
        </w:rPr>
        <w:t xml:space="preserve"> </w:t>
      </w:r>
      <w:r>
        <w:rPr>
          <w:rFonts w:ascii="Arial" w:cs="Arial" w:eastAsia="Arial" w:hAnsi="Arial"/>
          <w:sz w:val="21"/>
          <w:szCs w:val="21"/>
          <w:color w:val="auto"/>
        </w:rPr>
        <w:t>that Party or its legal counsel was responsible for the preparation of this Agreement or any part of it.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 OF THE COMPANY</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Charter Documents</w:t>
      </w:r>
      <w:r>
        <w:rPr>
          <w:rFonts w:ascii="Arial" w:cs="Arial" w:eastAsia="Arial" w:hAnsi="Arial"/>
          <w:sz w:val="19"/>
          <w:szCs w:val="19"/>
          <w:b w:val="1"/>
          <w:bCs w:val="1"/>
          <w:color w:val="auto"/>
        </w:rPr>
        <w:t>.</w:t>
      </w:r>
    </w:p>
    <w:p>
      <w:pPr>
        <w:spacing w:after="0" w:line="266" w:lineRule="exact"/>
        <w:rPr>
          <w:sz w:val="20"/>
          <w:szCs w:val="20"/>
          <w:color w:val="auto"/>
        </w:rPr>
      </w:pPr>
    </w:p>
    <w:p>
      <w:pPr>
        <w:ind w:right="100" w:firstLine="1297"/>
        <w:spacing w:after="0" w:line="265" w:lineRule="auto"/>
        <w:rPr>
          <w:sz w:val="20"/>
          <w:szCs w:val="20"/>
          <w:color w:val="auto"/>
        </w:rPr>
      </w:pPr>
      <w:r>
        <w:rPr>
          <w:rFonts w:ascii="Arial" w:cs="Arial" w:eastAsia="Arial" w:hAnsi="Arial"/>
          <w:sz w:val="21"/>
          <w:szCs w:val="21"/>
          <w:color w:val="auto"/>
        </w:rPr>
        <w:t>The Company shall operate pursuant to the terms of the Articles and this Agreement. To the extent that the terms of this Agreement conflict with the terms of the Articles, the terms of the Articles shall prevail. In all other cases, the terms of this Agreement shall prevail. Each Shareholder hereby agrees to vote all Shares and take all other actions necessary or appropriate to ensure that the Articles do not at any time conflict with the provisions of this</w:t>
      </w:r>
    </w:p>
    <w:p>
      <w:pPr>
        <w:sectPr>
          <w:pgSz w:w="11900" w:h="16838" w:orient="portrait"/>
          <w:cols w:equalWidth="0" w:num="1">
            <w:col w:w="11400"/>
          </w:cols>
          <w:pgMar w:left="240" w:top="625" w:right="259" w:bottom="1440" w:gutter="0" w:footer="0" w:header="0"/>
        </w:sectPr>
      </w:pPr>
    </w:p>
    <w:bookmarkStart w:id="140" w:name="page141"/>
    <w:bookmarkEnd w:id="140"/>
    <w:p>
      <w:pPr>
        <w:ind w:right="1040"/>
        <w:spacing w:after="0" w:line="263" w:lineRule="auto"/>
        <w:rPr>
          <w:sz w:val="20"/>
          <w:szCs w:val="20"/>
          <w:color w:val="auto"/>
        </w:rPr>
      </w:pPr>
      <w:r>
        <w:rPr>
          <w:rFonts w:ascii="Arial" w:cs="Arial" w:eastAsia="Arial" w:hAnsi="Arial"/>
          <w:sz w:val="22"/>
          <w:szCs w:val="22"/>
          <w:color w:val="auto"/>
        </w:rPr>
        <w:t>Agreement and shall not vote to approve (or consent to the approval of) any amendment to the Articles which would be inconsistent with or contrary to the intention of this Agreement.</w:t>
      </w:r>
    </w:p>
    <w:p>
      <w:pPr>
        <w:spacing w:after="0" w:line="20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u w:val="single" w:color="auto"/>
          <w:color w:val="auto"/>
        </w:rPr>
        <w:t>Business of the Company</w:t>
      </w:r>
      <w:r>
        <w:rPr>
          <w:rFonts w:ascii="Arial" w:cs="Arial" w:eastAsia="Arial" w:hAnsi="Arial"/>
          <w:sz w:val="18"/>
          <w:szCs w:val="18"/>
          <w:b w:val="1"/>
          <w:bCs w:val="1"/>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businesses to be conducted by the Company and its Affiliates shall be as follows:</w:t>
      </w:r>
    </w:p>
    <w:p>
      <w:pPr>
        <w:spacing w:after="0" w:line="254" w:lineRule="exact"/>
        <w:rPr>
          <w:sz w:val="20"/>
          <w:szCs w:val="20"/>
          <w:color w:val="auto"/>
        </w:rPr>
      </w:pPr>
    </w:p>
    <w:p>
      <w:pPr>
        <w:ind w:left="660" w:right="460" w:firstLine="1293"/>
        <w:spacing w:after="0" w:line="350" w:lineRule="auto"/>
        <w:tabs>
          <w:tab w:leader="none" w:pos="2425"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Hotel and Gaming Resorts</w:t>
      </w:r>
      <w:r>
        <w:rPr>
          <w:rFonts w:ascii="Arial" w:cs="Arial" w:eastAsia="Arial" w:hAnsi="Arial"/>
          <w:sz w:val="19"/>
          <w:szCs w:val="19"/>
          <w:color w:val="auto"/>
        </w:rPr>
        <w:t>. The Company shall own and operate one or more hotel-casino resort</w:t>
      </w:r>
      <w:r>
        <w:rPr>
          <w:rFonts w:ascii="Arial" w:cs="Arial" w:eastAsia="Arial" w:hAnsi="Arial"/>
          <w:sz w:val="19"/>
          <w:szCs w:val="19"/>
          <w:b w:val="1"/>
          <w:bCs w:val="1"/>
          <w:color w:val="auto"/>
        </w:rPr>
        <w:t xml:space="preserve"> </w:t>
      </w:r>
      <w:r>
        <w:rPr>
          <w:rFonts w:ascii="Arial" w:cs="Arial" w:eastAsia="Arial" w:hAnsi="Arial"/>
          <w:sz w:val="19"/>
          <w:szCs w:val="19"/>
          <w:color w:val="auto"/>
        </w:rPr>
        <w:t>projects in the MSAR pursuant to the terms of the Concession Contract and the Gaming Laws of the MSAR.</w:t>
      </w:r>
    </w:p>
    <w:p>
      <w:pPr>
        <w:spacing w:after="0" w:line="132" w:lineRule="exact"/>
        <w:rPr>
          <w:rFonts w:ascii="Arial" w:cs="Arial" w:eastAsia="Arial" w:hAnsi="Arial"/>
          <w:sz w:val="19"/>
          <w:szCs w:val="19"/>
          <w:b w:val="1"/>
          <w:bCs w:val="1"/>
          <w:color w:val="auto"/>
        </w:rPr>
      </w:pPr>
    </w:p>
    <w:p>
      <w:pPr>
        <w:ind w:left="660" w:right="80" w:firstLine="1293"/>
        <w:spacing w:after="0" w:line="269" w:lineRule="auto"/>
        <w:tabs>
          <w:tab w:leader="none" w:pos="2437"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Related Activities</w:t>
      </w:r>
      <w:r>
        <w:rPr>
          <w:rFonts w:ascii="Arial" w:cs="Arial" w:eastAsia="Arial" w:hAnsi="Arial"/>
          <w:sz w:val="22"/>
          <w:szCs w:val="22"/>
          <w:color w:val="auto"/>
        </w:rPr>
        <w:t>. In addition to the activities described in Sections 2.2(a), the Company may engage</w:t>
      </w:r>
      <w:r>
        <w:rPr>
          <w:rFonts w:ascii="Arial" w:cs="Arial" w:eastAsia="Arial" w:hAnsi="Arial"/>
          <w:sz w:val="22"/>
          <w:szCs w:val="22"/>
          <w:b w:val="1"/>
          <w:bCs w:val="1"/>
          <w:color w:val="auto"/>
        </w:rPr>
        <w:t xml:space="preserve"> </w:t>
      </w:r>
      <w:r>
        <w:rPr>
          <w:rFonts w:ascii="Arial" w:cs="Arial" w:eastAsia="Arial" w:hAnsi="Arial"/>
          <w:sz w:val="22"/>
          <w:szCs w:val="22"/>
          <w:color w:val="auto"/>
        </w:rPr>
        <w:t>in activities related to the activities described in No. 2 of Article 2 of the Articles.</w:t>
      </w:r>
    </w:p>
    <w:p>
      <w:pPr>
        <w:spacing w:after="0" w:line="202" w:lineRule="exact"/>
        <w:rPr>
          <w:rFonts w:ascii="Arial" w:cs="Arial" w:eastAsia="Arial" w:hAnsi="Arial"/>
          <w:sz w:val="22"/>
          <w:szCs w:val="22"/>
          <w:b w:val="1"/>
          <w:bCs w:val="1"/>
          <w:color w:val="auto"/>
        </w:rPr>
      </w:pPr>
    </w:p>
    <w:p>
      <w:pPr>
        <w:ind w:left="660" w:right="100" w:firstLine="1293"/>
        <w:spacing w:after="0" w:line="262" w:lineRule="auto"/>
        <w:tabs>
          <w:tab w:leader="none" w:pos="2412"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Activities</w:t>
      </w:r>
      <w:r>
        <w:rPr>
          <w:rFonts w:ascii="Arial" w:cs="Arial" w:eastAsia="Arial" w:hAnsi="Arial"/>
          <w:sz w:val="21"/>
          <w:szCs w:val="21"/>
          <w:color w:val="auto"/>
        </w:rPr>
        <w:t>. In addition to the matters described above, the Company may engage in the conduct</w:t>
      </w:r>
      <w:r>
        <w:rPr>
          <w:rFonts w:ascii="Arial" w:cs="Arial" w:eastAsia="Arial" w:hAnsi="Arial"/>
          <w:sz w:val="21"/>
          <w:szCs w:val="21"/>
          <w:b w:val="1"/>
          <w:bCs w:val="1"/>
          <w:color w:val="auto"/>
        </w:rPr>
        <w:t xml:space="preserve"> </w:t>
      </w:r>
      <w:r>
        <w:rPr>
          <w:rFonts w:ascii="Arial" w:cs="Arial" w:eastAsia="Arial" w:hAnsi="Arial"/>
          <w:sz w:val="21"/>
          <w:szCs w:val="21"/>
          <w:color w:val="auto"/>
        </w:rPr>
        <w:t>of (i) the purchase, construction or development of additional hotel-casino resort projects in the MSAR, (ii) any activities related to Sections 2.2(a), 2.2(b) and 2.2(c)(i), to the extent permitted by the laws of the MSAR or authorized by any relevant governmental authorities of the MSAR, and (iii) such other businesses as the Board may decide to undertake from time to time, whether or not associated with the foregoing, to the extent permitted by the laws of the MSAR or authorized by any relevant governmental authorities of the MSAR.</w:t>
      </w:r>
    </w:p>
    <w:p>
      <w:pPr>
        <w:spacing w:after="0" w:line="21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Composition of the Board</w:t>
      </w:r>
      <w:r>
        <w:rPr>
          <w:rFonts w:ascii="Arial" w:cs="Arial" w:eastAsia="Arial" w:hAnsi="Arial"/>
          <w:sz w:val="19"/>
          <w:szCs w:val="19"/>
          <w:b w:val="1"/>
          <w:bCs w:val="1"/>
          <w:color w:val="auto"/>
        </w:rPr>
        <w:t>.</w:t>
      </w:r>
    </w:p>
    <w:p>
      <w:pPr>
        <w:spacing w:after="0" w:line="266" w:lineRule="exact"/>
        <w:rPr>
          <w:sz w:val="20"/>
          <w:szCs w:val="20"/>
          <w:color w:val="auto"/>
        </w:rPr>
      </w:pPr>
    </w:p>
    <w:p>
      <w:pPr>
        <w:ind w:right="20" w:firstLine="1297"/>
        <w:spacing w:after="0" w:line="248" w:lineRule="auto"/>
        <w:rPr>
          <w:sz w:val="20"/>
          <w:szCs w:val="20"/>
          <w:color w:val="auto"/>
        </w:rPr>
      </w:pPr>
      <w:r>
        <w:rPr>
          <w:rFonts w:ascii="Arial" w:cs="Arial" w:eastAsia="Arial" w:hAnsi="Arial"/>
          <w:sz w:val="22"/>
          <w:szCs w:val="22"/>
          <w:color w:val="auto"/>
        </w:rPr>
        <w:t>Subject to the terms of this Agreement, the Company shall be managed by the Board. The Shareholders shall elect the members of the Board. The Board shall appoint one (1) of its members to serve as Chairman of the Board. The Chairman of the Board shall nominate, and the Board shall elect, the Executive Director. The members of the Board have agreed, and the MSAR Government has approved, that Stephen A. Wynn shall serve as the Chairman of the Board of Directors and Chen may serve as the Executive Director.</w:t>
      </w:r>
    </w:p>
    <w:p>
      <w:pPr>
        <w:spacing w:after="0" w:line="22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Meetings of the Board</w:t>
      </w:r>
      <w:r>
        <w:rPr>
          <w:rFonts w:ascii="Arial" w:cs="Arial" w:eastAsia="Arial" w:hAnsi="Arial"/>
          <w:sz w:val="19"/>
          <w:szCs w:val="19"/>
          <w:b w:val="1"/>
          <w:bCs w:val="1"/>
          <w:color w:val="auto"/>
        </w:rPr>
        <w:t>.</w:t>
      </w:r>
    </w:p>
    <w:p>
      <w:pPr>
        <w:spacing w:after="0" w:line="266" w:lineRule="exact"/>
        <w:rPr>
          <w:sz w:val="20"/>
          <w:szCs w:val="20"/>
          <w:color w:val="auto"/>
        </w:rPr>
      </w:pPr>
    </w:p>
    <w:p>
      <w:pPr>
        <w:ind w:firstLine="1297"/>
        <w:spacing w:after="0" w:line="260" w:lineRule="exact"/>
        <w:rPr>
          <w:sz w:val="20"/>
          <w:szCs w:val="20"/>
          <w:color w:val="auto"/>
        </w:rPr>
      </w:pPr>
      <w:r>
        <w:rPr>
          <w:rFonts w:ascii="Arial" w:cs="Arial" w:eastAsia="Arial" w:hAnsi="Arial"/>
          <w:sz w:val="22"/>
          <w:szCs w:val="22"/>
          <w:color w:val="auto"/>
        </w:rPr>
        <w:t>Meetings of the Board may be called at any time by the Chairman at such locations and at such times as the Chairman shall designate. Meetings of the Board may be held in person or by any other means permitted by law. The presence in person or by proxy of at least two (2) Directors shall be required to constitute a quorum for any meeting of the Board. Decisions of the Board shall be made by majority vote of the Directors present, in person or by proxy, at any duly constituted meeting of the Board at which a quorum is present. The Chairman of the Board shall have an additional casting or tie</w:t>
      </w:r>
      <w:r>
        <w:rPr>
          <w:rFonts w:ascii="MS PGothic" w:cs="MS PGothic" w:eastAsia="MS PGothic" w:hAnsi="MS PGothic"/>
          <w:sz w:val="22"/>
          <w:szCs w:val="22"/>
          <w:color w:val="auto"/>
        </w:rPr>
        <w:t>‑</w:t>
      </w:r>
      <w:r>
        <w:rPr>
          <w:rFonts w:ascii="Arial" w:cs="Arial" w:eastAsia="Arial" w:hAnsi="Arial"/>
          <w:sz w:val="22"/>
          <w:szCs w:val="22"/>
          <w:color w:val="auto"/>
        </w:rPr>
        <w:t>breaking vote in the event of a deadlock in votes of the Directors.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141" w:name="page142"/>
    <w:bookmarkEnd w:id="141"/>
    <w:p>
      <w:pPr>
        <w:ind w:left="1300"/>
        <w:spacing w:after="0"/>
        <w:tabs>
          <w:tab w:leader="none" w:pos="17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The Executive Director</w:t>
      </w:r>
      <w:r>
        <w:rPr>
          <w:rFonts w:ascii="Arial" w:cs="Arial" w:eastAsia="Arial" w:hAnsi="Arial"/>
          <w:sz w:val="19"/>
          <w:szCs w:val="19"/>
          <w:b w:val="1"/>
          <w:bCs w:val="1"/>
          <w:color w:val="auto"/>
        </w:rPr>
        <w:t>.</w:t>
      </w:r>
    </w:p>
    <w:p>
      <w:pPr>
        <w:spacing w:after="0" w:line="266"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To the extent required by the laws of the MSAR, the Company shall at all times have one (1) Director who is a permanent resident of the MSAR and who shall be designated as the Executive Director of the Company in accordance with the rules set forth in Article 19 of MSAR Law No. 16/2001 (the “Executive Director”). The Executive Director shall (a) be a Director designated by the Shareholders to serve as the Executive Director of the Company, (b) participate as a member of the Board, (c) be appointed by, and serve at the pleasure of, the Board, (d) report to and be subject to the direction of the Board and (e) be delegated such management authority as the Board shall from time to time grant to the Executive Director, in writing, subject always to Article 466.3 of the Macau Commercial Code, and the Executive Director’s authority shall not exceed the authority so delegated. The current role and duties of the Executive Director are set forth in Article 16.4 of the Articles and on Exhibit A. The Directors have designated Chen to serve as the Executive Director for the time being.</w:t>
      </w:r>
    </w:p>
    <w:p>
      <w:pPr>
        <w:spacing w:after="0" w:line="19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Meetings of the Shareholders</w:t>
      </w:r>
      <w:r>
        <w:rPr>
          <w:rFonts w:ascii="Arial" w:cs="Arial" w:eastAsia="Arial" w:hAnsi="Arial"/>
          <w:sz w:val="19"/>
          <w:szCs w:val="19"/>
          <w:b w:val="1"/>
          <w:bCs w:val="1"/>
          <w:color w:val="auto"/>
        </w:rPr>
        <w:t>.</w:t>
      </w:r>
    </w:p>
    <w:p>
      <w:pPr>
        <w:spacing w:after="0" w:line="266" w:lineRule="exact"/>
        <w:rPr>
          <w:sz w:val="20"/>
          <w:szCs w:val="20"/>
          <w:color w:val="auto"/>
        </w:rPr>
      </w:pPr>
    </w:p>
    <w:p>
      <w:pPr>
        <w:ind w:right="20" w:firstLine="1297"/>
        <w:spacing w:after="0" w:line="259" w:lineRule="exact"/>
        <w:rPr>
          <w:sz w:val="20"/>
          <w:szCs w:val="20"/>
          <w:color w:val="auto"/>
        </w:rPr>
      </w:pPr>
      <w:r>
        <w:rPr>
          <w:rFonts w:ascii="Arial" w:cs="Arial" w:eastAsia="Arial" w:hAnsi="Arial"/>
          <w:sz w:val="19"/>
          <w:szCs w:val="19"/>
          <w:color w:val="auto"/>
        </w:rPr>
        <w:t>Meetings of the Shareholders may be called at any time by any Shareholder, upon at least fifteen (15) days’ Notice to all Shareholders. The Shareholders shall ensure that such meetings are held at least once each year at such locations and at such times as the Chairman of the Board shall designate. Meetings of the Shareholders may be held in person or by any other means permitted by law. The presence, in person or by proxy, of the holders of at least Seventy</w:t>
      </w:r>
      <w:r>
        <w:rPr>
          <w:rFonts w:ascii="MS PGothic" w:cs="MS PGothic" w:eastAsia="MS PGothic" w:hAnsi="MS PGothic"/>
          <w:sz w:val="19"/>
          <w:szCs w:val="19"/>
          <w:color w:val="auto"/>
        </w:rPr>
        <w:t>‑</w:t>
      </w:r>
      <w:r>
        <w:rPr>
          <w:rFonts w:ascii="Arial" w:cs="Arial" w:eastAsia="Arial" w:hAnsi="Arial"/>
          <w:sz w:val="19"/>
          <w:szCs w:val="19"/>
          <w:color w:val="auto"/>
        </w:rPr>
        <w:t>Five Percent (75%) of the total number of Shares or their designated representatives shall be required to constitute a quorum for any meeting of the Shareholders. If no quorum is present at a Shareholders’ meeting called by a Shareholder, a second Shareholders’ meeting shall be called fifteen (15) days after the first Shareholders’ meeting. Decisions of the Shareholders shall be made by majority vote of the Shares by the holders of such Shares or their designated representatives present, in person or by proxy, at a duly constituted Shareholders’ meeting at which a quorum is present.</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SHARES</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Capital of the Company</w:t>
      </w:r>
      <w:r>
        <w:rPr>
          <w:rFonts w:ascii="Arial" w:cs="Arial" w:eastAsia="Arial" w:hAnsi="Arial"/>
          <w:sz w:val="19"/>
          <w:szCs w:val="19"/>
          <w:b w:val="1"/>
          <w:bCs w:val="1"/>
          <w:color w:val="auto"/>
        </w:rPr>
        <w:t>.</w:t>
      </w:r>
    </w:p>
    <w:p>
      <w:pPr>
        <w:spacing w:after="0" w:line="266" w:lineRule="exact"/>
        <w:rPr>
          <w:sz w:val="20"/>
          <w:szCs w:val="20"/>
          <w:color w:val="auto"/>
        </w:rPr>
      </w:pPr>
    </w:p>
    <w:p>
      <w:pPr>
        <w:ind w:right="80" w:firstLine="1297"/>
        <w:spacing w:after="0" w:line="259" w:lineRule="exact"/>
        <w:rPr>
          <w:sz w:val="20"/>
          <w:szCs w:val="20"/>
          <w:color w:val="auto"/>
        </w:rPr>
      </w:pPr>
      <w:r>
        <w:rPr>
          <w:rFonts w:ascii="Arial" w:cs="Arial" w:eastAsia="Arial" w:hAnsi="Arial"/>
          <w:sz w:val="21"/>
          <w:szCs w:val="21"/>
          <w:color w:val="auto"/>
        </w:rPr>
        <w:t>The entire registered capital of the Company consists solely of Two Hundred Million One Hundred Thousand Macau Patacas (MOP200,100,000) divided into Two Hundred Thousand One Hundred (200,100) Shares of One Thousand Macau Patacas (MOP1,000) par value each. There are Twenty Thousand Ten (20,010) Class A Shares, One Hundred Two Thousand Fifty</w:t>
      </w:r>
      <w:r>
        <w:rPr>
          <w:rFonts w:ascii="MS PGothic" w:cs="MS PGothic" w:eastAsia="MS PGothic" w:hAnsi="MS PGothic"/>
          <w:sz w:val="21"/>
          <w:szCs w:val="21"/>
          <w:color w:val="auto"/>
        </w:rPr>
        <w:t>‑</w:t>
      </w:r>
      <w:r>
        <w:rPr>
          <w:rFonts w:ascii="Arial" w:cs="Arial" w:eastAsia="Arial" w:hAnsi="Arial"/>
          <w:sz w:val="21"/>
          <w:szCs w:val="21"/>
          <w:color w:val="auto"/>
        </w:rPr>
        <w:t>One (102,051) Class B Shares, and Seventy</w:t>
      </w:r>
      <w:r>
        <w:rPr>
          <w:rFonts w:ascii="MS PGothic" w:cs="MS PGothic" w:eastAsia="MS PGothic" w:hAnsi="MS PGothic"/>
          <w:sz w:val="21"/>
          <w:szCs w:val="21"/>
          <w:color w:val="auto"/>
        </w:rPr>
        <w:t>‑</w:t>
      </w:r>
      <w:r>
        <w:rPr>
          <w:rFonts w:ascii="Arial" w:cs="Arial" w:eastAsia="Arial" w:hAnsi="Arial"/>
          <w:sz w:val="21"/>
          <w:szCs w:val="21"/>
          <w:color w:val="auto"/>
        </w:rPr>
        <w:t>Eight Thousand Thirty</w:t>
      </w:r>
      <w:r>
        <w:rPr>
          <w:rFonts w:ascii="MS PGothic" w:cs="MS PGothic" w:eastAsia="MS PGothic" w:hAnsi="MS PGothic"/>
          <w:sz w:val="21"/>
          <w:szCs w:val="21"/>
          <w:color w:val="auto"/>
        </w:rPr>
        <w:t>‑</w:t>
      </w:r>
      <w:r>
        <w:rPr>
          <w:rFonts w:ascii="Arial" w:cs="Arial" w:eastAsia="Arial" w:hAnsi="Arial"/>
          <w:sz w:val="21"/>
          <w:szCs w:val="21"/>
          <w:color w:val="auto"/>
        </w:rPr>
        <w:t>Nine (78,039) Class C Shares. Each Share entitles the holder thereof to identical voting and social rights (subject always to Section 2.3) in the Company. All of the Shares are duly authorized, validly issued, outstanding, and owned legally and beneficially by the Shareholders in the proportions set forth in Sections 3.2 to 3.4, and are free and clear of any lien, mortgage, other interest or encumbrance, or restriction on the right of Transfer thereof, except as provided</w:t>
      </w:r>
    </w:p>
    <w:p>
      <w:pPr>
        <w:sectPr>
          <w:pgSz w:w="11900" w:h="16838" w:orient="portrait"/>
          <w:cols w:equalWidth="0" w:num="1">
            <w:col w:w="11320"/>
          </w:cols>
          <w:pgMar w:left="240" w:top="625" w:right="339" w:bottom="1440" w:gutter="0" w:footer="0" w:header="0"/>
        </w:sectPr>
      </w:pPr>
    </w:p>
    <w:bookmarkStart w:id="142" w:name="page143"/>
    <w:bookmarkEnd w:id="142"/>
    <w:p>
      <w:pPr>
        <w:ind w:right="60"/>
        <w:spacing w:after="0" w:line="263" w:lineRule="auto"/>
        <w:rPr>
          <w:sz w:val="20"/>
          <w:szCs w:val="20"/>
          <w:color w:val="auto"/>
        </w:rPr>
      </w:pPr>
      <w:r>
        <w:rPr>
          <w:rFonts w:ascii="Arial" w:cs="Arial" w:eastAsia="Arial" w:hAnsi="Arial"/>
          <w:sz w:val="21"/>
          <w:szCs w:val="21"/>
          <w:color w:val="auto"/>
        </w:rPr>
        <w:t>in this Agreement, the Option Agreement and financings as approved by the Board. There are no Shares held in the treasury of the Company. Except as provided in this Agreement, there are no outstanding warrants, options, contracts, calls, convertible securities or other rights of any kind with regard to authorized, but unissued, or issued but not outstanding, Shares or other securities of the Company of any kind. Except as provided in this Agreement, the Company has no right or obligation to purchase or redeem any Shares or other securities of the Company of any kind.</w:t>
      </w:r>
    </w:p>
    <w:p>
      <w:pPr>
        <w:spacing w:after="0" w:line="21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u w:val="single" w:color="auto"/>
          <w:color w:val="auto"/>
        </w:rPr>
        <w:t>Class A Shares</w:t>
      </w:r>
      <w:r>
        <w:rPr>
          <w:rFonts w:ascii="Arial" w:cs="Arial" w:eastAsia="Arial" w:hAnsi="Arial"/>
          <w:sz w:val="18"/>
          <w:szCs w:val="18"/>
          <w:b w:val="1"/>
          <w:bCs w:val="1"/>
          <w:color w:val="auto"/>
        </w:rPr>
        <w:t>.</w:t>
      </w:r>
    </w:p>
    <w:p>
      <w:pPr>
        <w:spacing w:after="0" w:line="266"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The Class A Shares, in the aggregate, represent Ten Percent (10%) of the authorized social rights and voting power of the Company. The holder of the Class A Shares is entitled to a preferential annual dividend in an amount in the aggregate of up to One Macau Pataca (MOP1) (the “Class A Annual Dividend”) and a preferential distribution in the event of the liquidation of the Company or amortization of the Class A Shares in an amount in the aggregate of up to One Macau Pataca (MOP1) (the “Class A Capital Distribution”), and shall be entitled to no other dividends, distributions, capital, liquidation proceeds, return of par value or other emoluments of any type from the Company. All other rights to dividends and other distributions from the Company shall accrue to, and be vested in, the Class B Shares and the Class C Shares. The Class A Shares shall have no obligation to contribute capital to the Company and in the event that any return of dividend, distribution, capital, liquidation proceeds, par value or emolument of any type other than the Class A Annual Dividend or the Class A Capital Distribution shall ever be received by the holder of the Class A Shares, such holder shall immediately transfer such dividend, distribution, capital, liquidation proceeds, par value or emolument to the holders of the issued and outstanding Class C Shares, in proportion to their ownership thereof. To the extent required by the laws of the MSAR, the holder of the Class A Shares shall at all times be a permanent resident of the MSAR and shall serve as the Company’s Executive Director. Chen currently owns all Twenty Thousand Ten (20,010) of the authorized, issued, and outstanding Class A Shares.</w:t>
      </w:r>
    </w:p>
    <w:p>
      <w:pPr>
        <w:spacing w:after="0" w:line="200" w:lineRule="exact"/>
        <w:rPr>
          <w:sz w:val="20"/>
          <w:szCs w:val="20"/>
          <w:color w:val="auto"/>
        </w:rPr>
      </w:pPr>
    </w:p>
    <w:p>
      <w:pPr>
        <w:spacing w:after="0" w:line="25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8"/>
          <w:szCs w:val="18"/>
          <w:b w:val="1"/>
          <w:bCs w:val="1"/>
          <w:u w:val="single" w:color="auto"/>
          <w:color w:val="auto"/>
        </w:rPr>
        <w:t>Class B Shares</w:t>
      </w:r>
      <w:r>
        <w:rPr>
          <w:rFonts w:ascii="Arial" w:cs="Arial" w:eastAsia="Arial" w:hAnsi="Arial"/>
          <w:sz w:val="18"/>
          <w:szCs w:val="18"/>
          <w:b w:val="1"/>
          <w:bCs w:val="1"/>
          <w:color w:val="auto"/>
        </w:rPr>
        <w:t>.</w:t>
      </w:r>
    </w:p>
    <w:p>
      <w:pPr>
        <w:spacing w:after="0" w:line="266" w:lineRule="exact"/>
        <w:rPr>
          <w:sz w:val="20"/>
          <w:szCs w:val="20"/>
          <w:color w:val="auto"/>
        </w:rPr>
      </w:pPr>
    </w:p>
    <w:p>
      <w:pPr>
        <w:ind w:right="140" w:firstLine="1297"/>
        <w:spacing w:after="0" w:line="261" w:lineRule="exact"/>
        <w:rPr>
          <w:sz w:val="20"/>
          <w:szCs w:val="20"/>
          <w:color w:val="auto"/>
        </w:rPr>
      </w:pPr>
      <w:r>
        <w:rPr>
          <w:rFonts w:ascii="Arial" w:cs="Arial" w:eastAsia="Arial" w:hAnsi="Arial"/>
          <w:sz w:val="19"/>
          <w:szCs w:val="19"/>
          <w:color w:val="auto"/>
        </w:rPr>
        <w:t>The Class B Shares, in the aggregate, represent Fifty</w:t>
      </w:r>
      <w:r>
        <w:rPr>
          <w:rFonts w:ascii="MS PGothic" w:cs="MS PGothic" w:eastAsia="MS PGothic" w:hAnsi="MS PGothic"/>
          <w:sz w:val="19"/>
          <w:szCs w:val="19"/>
          <w:color w:val="auto"/>
        </w:rPr>
        <w:t>‑</w:t>
      </w:r>
      <w:r>
        <w:rPr>
          <w:rFonts w:ascii="Arial" w:cs="Arial" w:eastAsia="Arial" w:hAnsi="Arial"/>
          <w:sz w:val="19"/>
          <w:szCs w:val="19"/>
          <w:color w:val="auto"/>
        </w:rPr>
        <w:t>One Percent (51%) of (a) the authorized voting power of the Company, and (b) the rights to receive dividends and other distributions from, and capital of, the Company, after payment of the Class A Annual Dividend and the Class A Capital Distribution in respect of Class A Shares. Wynn Hong Kong currently owns all One Hundred Two Thousand Fifty</w:t>
      </w:r>
      <w:r>
        <w:rPr>
          <w:rFonts w:ascii="MS PGothic" w:cs="MS PGothic" w:eastAsia="MS PGothic" w:hAnsi="MS PGothic"/>
          <w:sz w:val="19"/>
          <w:szCs w:val="19"/>
          <w:color w:val="auto"/>
        </w:rPr>
        <w:t>‑</w:t>
      </w:r>
      <w:r>
        <w:rPr>
          <w:rFonts w:ascii="Arial" w:cs="Arial" w:eastAsia="Arial" w:hAnsi="Arial"/>
          <w:sz w:val="19"/>
          <w:szCs w:val="19"/>
          <w:color w:val="auto"/>
        </w:rPr>
        <w:t>One (102,051) of the authorized, issued and outstanding Class B Shares.</w:t>
      </w:r>
    </w:p>
    <w:p>
      <w:pPr>
        <w:spacing w:after="0" w:line="23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u w:val="single" w:color="auto"/>
          <w:color w:val="auto"/>
        </w:rPr>
        <w:t>Class C Shares</w:t>
      </w:r>
      <w:r>
        <w:rPr>
          <w:rFonts w:ascii="Arial" w:cs="Arial" w:eastAsia="Arial" w:hAnsi="Arial"/>
          <w:sz w:val="18"/>
          <w:szCs w:val="18"/>
          <w:b w:val="1"/>
          <w:bCs w:val="1"/>
          <w:color w:val="auto"/>
        </w:rPr>
        <w:t>.</w:t>
      </w:r>
    </w:p>
    <w:p>
      <w:pPr>
        <w:spacing w:after="0" w:line="266" w:lineRule="exact"/>
        <w:rPr>
          <w:sz w:val="20"/>
          <w:szCs w:val="20"/>
          <w:color w:val="auto"/>
        </w:rPr>
      </w:pPr>
    </w:p>
    <w:p>
      <w:pPr>
        <w:ind w:right="20" w:firstLine="1297"/>
        <w:spacing w:after="0" w:line="261" w:lineRule="exact"/>
        <w:rPr>
          <w:sz w:val="20"/>
          <w:szCs w:val="20"/>
          <w:color w:val="auto"/>
        </w:rPr>
      </w:pPr>
      <w:r>
        <w:rPr>
          <w:rFonts w:ascii="Arial" w:cs="Arial" w:eastAsia="Arial" w:hAnsi="Arial"/>
          <w:sz w:val="21"/>
          <w:szCs w:val="21"/>
          <w:color w:val="auto"/>
        </w:rPr>
        <w:t>The Class C Shares, in the aggregate, represent (a) Thirty</w:t>
      </w:r>
      <w:r>
        <w:rPr>
          <w:rFonts w:ascii="MS PGothic" w:cs="MS PGothic" w:eastAsia="MS PGothic" w:hAnsi="MS PGothic"/>
          <w:sz w:val="21"/>
          <w:szCs w:val="21"/>
          <w:color w:val="auto"/>
        </w:rPr>
        <w:t>‑</w:t>
      </w:r>
      <w:r>
        <w:rPr>
          <w:rFonts w:ascii="Arial" w:cs="Arial" w:eastAsia="Arial" w:hAnsi="Arial"/>
          <w:sz w:val="21"/>
          <w:szCs w:val="21"/>
          <w:color w:val="auto"/>
        </w:rPr>
        <w:t>Nine Percent (39%) of the authorized voting power of the Company, and (b) Forty</w:t>
      </w:r>
      <w:r>
        <w:rPr>
          <w:rFonts w:ascii="MS PGothic" w:cs="MS PGothic" w:eastAsia="MS PGothic" w:hAnsi="MS PGothic"/>
          <w:sz w:val="21"/>
          <w:szCs w:val="21"/>
          <w:color w:val="auto"/>
        </w:rPr>
        <w:t>‑</w:t>
      </w:r>
      <w:r>
        <w:rPr>
          <w:rFonts w:ascii="Arial" w:cs="Arial" w:eastAsia="Arial" w:hAnsi="Arial"/>
          <w:sz w:val="21"/>
          <w:szCs w:val="21"/>
          <w:color w:val="auto"/>
        </w:rPr>
        <w:t>Nine Percent (49%) of the rights to receive dividends and other distributions from, and capital of, the Company, after payment of the Class A Annual Dividend and the Class A Capital Distribution in respect of Class A Shares. The holders of the Class C Shares, in proportion to their ownership thereof, shall be entitled to</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40"/>
          </w:cols>
          <w:pgMar w:left="240" w:top="631" w:right="319" w:bottom="1440" w:gutter="0" w:footer="0" w:header="0"/>
        </w:sectPr>
      </w:pPr>
    </w:p>
    <w:bookmarkStart w:id="143" w:name="page144"/>
    <w:bookmarkEnd w:id="143"/>
    <w:p>
      <w:pPr>
        <w:ind w:right="80"/>
        <w:spacing w:after="0" w:line="261" w:lineRule="exact"/>
        <w:rPr>
          <w:sz w:val="20"/>
          <w:szCs w:val="20"/>
          <w:color w:val="auto"/>
        </w:rPr>
      </w:pPr>
      <w:r>
        <w:rPr>
          <w:rFonts w:ascii="Arial" w:cs="Arial" w:eastAsia="Arial" w:hAnsi="Arial"/>
          <w:sz w:val="22"/>
          <w:szCs w:val="22"/>
          <w:color w:val="auto"/>
        </w:rPr>
        <w:t>receive any dividends, distributions, capital, liquidation proceeds, par value or other emoluments that may at any time be paid to or received by the holders of the Class A Shares, except the Class A Annual Dividends and the Class A Capital Distribution. Wynn International currently owns all Seventy</w:t>
      </w:r>
      <w:r>
        <w:rPr>
          <w:rFonts w:ascii="MS PGothic" w:cs="MS PGothic" w:eastAsia="MS PGothic" w:hAnsi="MS PGothic"/>
          <w:sz w:val="22"/>
          <w:szCs w:val="22"/>
          <w:color w:val="auto"/>
        </w:rPr>
        <w:t>‑</w:t>
      </w:r>
      <w:r>
        <w:rPr>
          <w:rFonts w:ascii="Arial" w:cs="Arial" w:eastAsia="Arial" w:hAnsi="Arial"/>
          <w:sz w:val="22"/>
          <w:szCs w:val="22"/>
          <w:color w:val="auto"/>
        </w:rPr>
        <w:t>Eight Thousand Thirty</w:t>
      </w:r>
      <w:r>
        <w:rPr>
          <w:rFonts w:ascii="MS PGothic" w:cs="MS PGothic" w:eastAsia="MS PGothic" w:hAnsi="MS PGothic"/>
          <w:sz w:val="22"/>
          <w:szCs w:val="22"/>
          <w:color w:val="auto"/>
        </w:rPr>
        <w:t>‑</w:t>
      </w:r>
      <w:r>
        <w:rPr>
          <w:rFonts w:ascii="Arial" w:cs="Arial" w:eastAsia="Arial" w:hAnsi="Arial"/>
          <w:sz w:val="22"/>
          <w:szCs w:val="22"/>
          <w:color w:val="auto"/>
        </w:rPr>
        <w:t>Nine (78,039) of the authorized, issued and outstanding Class C Shares.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[not used]</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TRANSFERS OF SHARES</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u w:val="single" w:color="auto"/>
          <w:color w:val="auto"/>
        </w:rPr>
        <w:t>Restrictions on Transfer of Class A Shares</w:t>
      </w:r>
      <w:r>
        <w:rPr>
          <w:rFonts w:ascii="Arial" w:cs="Arial" w:eastAsia="Arial" w:hAnsi="Arial"/>
          <w:sz w:val="19"/>
          <w:szCs w:val="19"/>
          <w:b w:val="1"/>
          <w:bCs w:val="1"/>
          <w:color w:val="auto"/>
        </w:rPr>
        <w:t>.</w:t>
      </w:r>
    </w:p>
    <w:p>
      <w:pPr>
        <w:spacing w:after="0" w:line="266" w:lineRule="exact"/>
        <w:rPr>
          <w:sz w:val="20"/>
          <w:szCs w:val="20"/>
          <w:color w:val="auto"/>
        </w:rPr>
      </w:pPr>
    </w:p>
    <w:p>
      <w:pPr>
        <w:ind w:right="20" w:firstLine="1297"/>
        <w:spacing w:after="0" w:line="261" w:lineRule="exact"/>
        <w:rPr>
          <w:sz w:val="20"/>
          <w:szCs w:val="20"/>
          <w:color w:val="auto"/>
        </w:rPr>
      </w:pPr>
      <w:r>
        <w:rPr>
          <w:rFonts w:ascii="Arial" w:cs="Arial" w:eastAsia="Arial" w:hAnsi="Arial"/>
          <w:sz w:val="19"/>
          <w:szCs w:val="19"/>
          <w:color w:val="auto"/>
        </w:rPr>
        <w:t>The holder of the Class A Shares shall not be able to, directly or indirectly, sell, assign, give, bequeath, transfer, pledge, or encumber (a “Transfer”) any direct or indirect interest in any Class A Shares, or any portion of them, except as set forth in this Article 5. Any attempted or purported Transfer in violation of this Article 5 shall not be recognized by the Company, shall be void, and will produce no effect towards the non</w:t>
      </w:r>
      <w:r>
        <w:rPr>
          <w:rFonts w:ascii="MS PGothic" w:cs="MS PGothic" w:eastAsia="MS PGothic" w:hAnsi="MS PGothic"/>
          <w:sz w:val="19"/>
          <w:szCs w:val="19"/>
          <w:color w:val="auto"/>
        </w:rPr>
        <w:t>‑</w:t>
      </w:r>
      <w:r>
        <w:rPr>
          <w:rFonts w:ascii="Arial" w:cs="Arial" w:eastAsia="Arial" w:hAnsi="Arial"/>
          <w:sz w:val="19"/>
          <w:szCs w:val="19"/>
          <w:color w:val="auto"/>
        </w:rPr>
        <w:t>Transferring Shareholders, the Company, or any purported Transferee.</w:t>
      </w:r>
    </w:p>
    <w:p>
      <w:pPr>
        <w:spacing w:after="0" w:line="23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u w:val="single" w:color="auto"/>
          <w:color w:val="auto"/>
        </w:rPr>
        <w:t>Purchase of Class A Shares</w:t>
      </w:r>
      <w:r>
        <w:rPr>
          <w:rFonts w:ascii="Arial" w:cs="Arial" w:eastAsia="Arial" w:hAnsi="Arial"/>
          <w:sz w:val="18"/>
          <w:szCs w:val="18"/>
          <w:b w:val="1"/>
          <w:bCs w:val="1"/>
          <w:color w:val="auto"/>
        </w:rPr>
        <w:t>.</w:t>
      </w:r>
    </w:p>
    <w:p>
      <w:pPr>
        <w:spacing w:after="0" w:line="260" w:lineRule="exact"/>
        <w:rPr>
          <w:sz w:val="20"/>
          <w:szCs w:val="20"/>
          <w:color w:val="auto"/>
        </w:rPr>
      </w:pPr>
    </w:p>
    <w:p>
      <w:pPr>
        <w:ind w:left="660" w:firstLine="1293"/>
        <w:spacing w:after="0" w:line="286" w:lineRule="auto"/>
        <w:tabs>
          <w:tab w:leader="none" w:pos="2425"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w:t>
      </w:r>
      <w:r>
        <w:rPr>
          <w:rFonts w:ascii="Arial" w:cs="Arial" w:eastAsia="Arial" w:hAnsi="Arial"/>
          <w:sz w:val="19"/>
          <w:szCs w:val="19"/>
          <w:color w:val="auto"/>
        </w:rPr>
        <w:t>. Wynn International holds an option to purchase or designate a Person to purchase all the</w:t>
      </w:r>
      <w:r>
        <w:rPr>
          <w:rFonts w:ascii="Arial" w:cs="Arial" w:eastAsia="Arial" w:hAnsi="Arial"/>
          <w:sz w:val="19"/>
          <w:szCs w:val="19"/>
          <w:b w:val="1"/>
          <w:bCs w:val="1"/>
          <w:color w:val="auto"/>
        </w:rPr>
        <w:t xml:space="preserve"> </w:t>
      </w:r>
      <w:r>
        <w:rPr>
          <w:rFonts w:ascii="Arial" w:cs="Arial" w:eastAsia="Arial" w:hAnsi="Arial"/>
          <w:sz w:val="19"/>
          <w:szCs w:val="19"/>
          <w:color w:val="auto"/>
        </w:rPr>
        <w:t>Class A Shares and any other shares or equity interests in the Company held by Chen at any time pursuant to the terms and subject to the conditions of the Option Agreement. In addition, unless Wynn International exercises such option, in the event of (i) the Executive Director’s (A) death, legal disability, retirement, removal or resignation from the office of Executive Director, (B) failure to remain a permanent resident of the MSAR, (C) revocation of appointment to serve in the capacity of Executive Director, or (D) other failure to serve in the capacity of Executive Director, (ii) the occurrence of an Event of Default by or with respect to the Executive Director, (iii) the determination by any Gaming Authority or the Company or any of its Affiliates that (A) the Executive Director is unsuitable to continue to serve in the capacity of Executive Director of the Company, or (B) a Gaming Problem exists or may exist, or (iv) the determination by any Securities Authority or the Company or any of its Affiliates that (A) the Executive Director is unsuitable to continue to serve in the capacity of Executive Director of the Company, or (B) a Securities Problem exists or may exist, then the Company shall have the right (but not the obligation) to redeem, purchase, or appoint a Person to purchase all of the Class A Shares in the manner prescribed in Section 5.2(c). Neither the outgoing Executive Director nor such Person’s estate, personal representative or successor in interest shall have any further rights as the owner of the Class A Shares from and after (I) the date of the exercise by Wynn International or its designee of the right to purchase the Class A Shares pursuant to the Option Agreement, or (II) the date of</w:t>
      </w:r>
    </w:p>
    <w:p>
      <w:pPr>
        <w:sectPr>
          <w:pgSz w:w="11900" w:h="16838" w:orient="portrait"/>
          <w:cols w:equalWidth="0" w:num="1">
            <w:col w:w="11420"/>
          </w:cols>
          <w:pgMar w:left="240" w:top="631" w:right="239" w:bottom="1440" w:gutter="0" w:footer="0" w:header="0"/>
        </w:sectPr>
      </w:pPr>
    </w:p>
    <w:bookmarkStart w:id="144" w:name="page145"/>
    <w:bookmarkEnd w:id="144"/>
    <w:p>
      <w:pPr>
        <w:ind w:left="660" w:right="160"/>
        <w:spacing w:after="0" w:line="271" w:lineRule="auto"/>
        <w:rPr>
          <w:sz w:val="20"/>
          <w:szCs w:val="20"/>
          <w:color w:val="auto"/>
        </w:rPr>
      </w:pPr>
      <w:r>
        <w:rPr>
          <w:rFonts w:ascii="Arial" w:cs="Arial" w:eastAsia="Arial" w:hAnsi="Arial"/>
          <w:sz w:val="21"/>
          <w:szCs w:val="21"/>
          <w:color w:val="auto"/>
        </w:rPr>
        <w:t>exercise by the Company or its designee of the option to purchase the Class A Shares. The purchase of Class A Shares is subject to prior MSAR Government approval in accordance with the Concession Contract and such Class A Shares shall at all times be held by a Person who satisfies the requirements of the Gaming Laws.</w:t>
      </w:r>
    </w:p>
    <w:p>
      <w:pPr>
        <w:spacing w:after="0" w:line="202" w:lineRule="exact"/>
        <w:rPr>
          <w:sz w:val="20"/>
          <w:szCs w:val="20"/>
          <w:color w:val="auto"/>
        </w:rPr>
      </w:pPr>
    </w:p>
    <w:p>
      <w:pPr>
        <w:ind w:left="660" w:right="20" w:firstLine="1293"/>
        <w:spacing w:after="0" w:line="252" w:lineRule="auto"/>
        <w:tabs>
          <w:tab w:leader="none" w:pos="2437"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Price</w:t>
      </w:r>
      <w:r>
        <w:rPr>
          <w:rFonts w:ascii="Arial" w:cs="Arial" w:eastAsia="Arial" w:hAnsi="Arial"/>
          <w:sz w:val="22"/>
          <w:szCs w:val="22"/>
          <w:color w:val="auto"/>
        </w:rPr>
        <w:t>. The price to be paid by Wynn International or its designee for all of the Class A Shares is</w:t>
      </w:r>
      <w:r>
        <w:rPr>
          <w:rFonts w:ascii="Arial" w:cs="Arial" w:eastAsia="Arial" w:hAnsi="Arial"/>
          <w:sz w:val="22"/>
          <w:szCs w:val="22"/>
          <w:b w:val="1"/>
          <w:bCs w:val="1"/>
          <w:color w:val="auto"/>
        </w:rPr>
        <w:t xml:space="preserve"> </w:t>
      </w:r>
      <w:r>
        <w:rPr>
          <w:rFonts w:ascii="Arial" w:cs="Arial" w:eastAsia="Arial" w:hAnsi="Arial"/>
          <w:sz w:val="22"/>
          <w:szCs w:val="22"/>
          <w:color w:val="auto"/>
        </w:rPr>
        <w:t>prescribed in the Option Agreement. The price to be paid by the Company or its designee for all of the Class A Shares in the event of a purchase of the Class A Shares upon the occurrence of an event described in Section 5.2(a) shall be One Macau Pataca (MOP1).</w:t>
      </w:r>
    </w:p>
    <w:p>
      <w:pPr>
        <w:spacing w:after="0" w:line="220" w:lineRule="exact"/>
        <w:rPr>
          <w:rFonts w:ascii="Arial" w:cs="Arial" w:eastAsia="Arial" w:hAnsi="Arial"/>
          <w:sz w:val="22"/>
          <w:szCs w:val="22"/>
          <w:b w:val="1"/>
          <w:bCs w:val="1"/>
          <w:color w:val="auto"/>
        </w:rPr>
      </w:pPr>
    </w:p>
    <w:p>
      <w:pPr>
        <w:ind w:left="2400" w:hanging="447"/>
        <w:spacing w:after="0"/>
        <w:tabs>
          <w:tab w:leader="none" w:pos="2400" w:val="left"/>
        </w:tabs>
        <w:numPr>
          <w:ilvl w:val="1"/>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Manner of Purchase</w:t>
      </w:r>
      <w:r>
        <w:rPr>
          <w:rFonts w:ascii="Arial" w:cs="Arial" w:eastAsia="Arial" w:hAnsi="Arial"/>
          <w:sz w:val="19"/>
          <w:szCs w:val="19"/>
          <w:color w:val="auto"/>
        </w:rPr>
        <w:t>. The purchase of the Class A Shares described in Section 5.2(a) shall be effected</w:t>
      </w:r>
    </w:p>
    <w:p>
      <w:pPr>
        <w:spacing w:after="0" w:line="62" w:lineRule="exact"/>
        <w:rPr>
          <w:rFonts w:ascii="Arial" w:cs="Arial" w:eastAsia="Arial" w:hAnsi="Arial"/>
          <w:sz w:val="19"/>
          <w:szCs w:val="19"/>
          <w:b w:val="1"/>
          <w:bCs w:val="1"/>
          <w:color w:val="auto"/>
        </w:rPr>
      </w:pPr>
    </w:p>
    <w:p>
      <w:pPr>
        <w:ind w:left="660" w:hanging="4"/>
        <w:spacing w:after="0" w:line="286" w:lineRule="auto"/>
        <w:tabs>
          <w:tab w:leader="none" w:pos="918" w:val="left"/>
        </w:tabs>
        <w:numPr>
          <w:ilvl w:val="0"/>
          <w:numId w:val="55"/>
        </w:numPr>
        <w:rPr>
          <w:rFonts w:ascii="Arial" w:cs="Arial" w:eastAsia="Arial" w:hAnsi="Arial"/>
          <w:sz w:val="19"/>
          <w:szCs w:val="19"/>
          <w:color w:val="auto"/>
        </w:rPr>
      </w:pPr>
      <w:r>
        <w:rPr>
          <w:rFonts w:ascii="Arial" w:cs="Arial" w:eastAsia="Arial" w:hAnsi="Arial"/>
          <w:sz w:val="19"/>
          <w:szCs w:val="19"/>
          <w:color w:val="auto"/>
        </w:rPr>
        <w:t>by Wynn International or its designee in the manner prescribed in the Option Agreement, or (ii) by the Company or its designee giving Notice to the outgoing Executive Director or such Person’s estate after the occurrence of an event described in Section 5.2(a), specifying the place, date, and time at which payment shall be made to the outgoing Executive Director or such Person’s estate, personal representative or successor in interest, as the case may be, for the Class A Shares. On that date, and at that place and time, Wynn International, the Company or the relevant designee, who shall be designated as the replacement Executive Director, shall deliver the purchase price for the Class A Shares, determined in the manner provided in Section 5.2(b), to the outgoing Executive Director or such Person’s estate, personal representative or successor in interest, as the case may be, in cash or by registered or certified check, and all of the Class A Shares, together with all stock powers and other signed documents deemed by Wynn International, the Company or the relevant designee, as the case may be, to be necessary to transfer the Class A Shares, shall be delivered to Wynn International, the Company or the relevant designee, as the case may be, by the outgoing Executive Director or such Person’s estate, personal representative or successor in interest.</w:t>
      </w: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ind w:left="660" w:right="220" w:firstLine="1293"/>
        <w:spacing w:after="0" w:line="252" w:lineRule="auto"/>
        <w:tabs>
          <w:tab w:leader="none" w:pos="2437"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Price Full Payment for Class A Shares</w:t>
      </w:r>
      <w:r>
        <w:rPr>
          <w:rFonts w:ascii="Arial" w:cs="Arial" w:eastAsia="Arial" w:hAnsi="Arial"/>
          <w:sz w:val="22"/>
          <w:szCs w:val="22"/>
          <w:color w:val="auto"/>
        </w:rPr>
        <w:t>. Payment of the purchase price for the Class A</w:t>
      </w:r>
      <w:r>
        <w:rPr>
          <w:rFonts w:ascii="Arial" w:cs="Arial" w:eastAsia="Arial" w:hAnsi="Arial"/>
          <w:sz w:val="22"/>
          <w:szCs w:val="22"/>
          <w:b w:val="1"/>
          <w:bCs w:val="1"/>
          <w:color w:val="auto"/>
        </w:rPr>
        <w:t xml:space="preserve"> </w:t>
      </w:r>
      <w:r>
        <w:rPr>
          <w:rFonts w:ascii="Arial" w:cs="Arial" w:eastAsia="Arial" w:hAnsi="Arial"/>
          <w:sz w:val="22"/>
          <w:szCs w:val="22"/>
          <w:color w:val="auto"/>
        </w:rPr>
        <w:t>Shares pursuant to the Option Agreement or Sections 5.2(b) and 5.2(c) shall be in full payment for the Class A Shares and in lieu of any other payment to the outgoing Executive Director or such Person’s estate, personal representative, or successor in interest, as the case may be, of any kind.</w:t>
      </w:r>
    </w:p>
    <w:p>
      <w:pPr>
        <w:spacing w:after="0" w:line="220" w:lineRule="exact"/>
        <w:rPr>
          <w:rFonts w:ascii="Arial" w:cs="Arial" w:eastAsia="Arial" w:hAnsi="Arial"/>
          <w:sz w:val="22"/>
          <w:szCs w:val="22"/>
          <w:b w:val="1"/>
          <w:bCs w:val="1"/>
          <w:color w:val="auto"/>
        </w:rPr>
      </w:pPr>
    </w:p>
    <w:p>
      <w:pPr>
        <w:ind w:left="660" w:right="240" w:firstLine="1293"/>
        <w:spacing w:after="0" w:line="350" w:lineRule="auto"/>
        <w:tabs>
          <w:tab w:leader="none" w:pos="2412" w:val="left"/>
        </w:tabs>
        <w:numPr>
          <w:ilvl w:val="1"/>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Manner of Purchase or Transfer of Class A Shares</w:t>
      </w:r>
      <w:r>
        <w:rPr>
          <w:rFonts w:ascii="Arial" w:cs="Arial" w:eastAsia="Arial" w:hAnsi="Arial"/>
          <w:sz w:val="19"/>
          <w:szCs w:val="19"/>
          <w:color w:val="auto"/>
        </w:rPr>
        <w:t>. The purchase or transfer of the Class A</w:t>
      </w:r>
      <w:r>
        <w:rPr>
          <w:rFonts w:ascii="Arial" w:cs="Arial" w:eastAsia="Arial" w:hAnsi="Arial"/>
          <w:sz w:val="19"/>
          <w:szCs w:val="19"/>
          <w:b w:val="1"/>
          <w:bCs w:val="1"/>
          <w:color w:val="auto"/>
        </w:rPr>
        <w:t xml:space="preserve"> </w:t>
      </w:r>
      <w:r>
        <w:rPr>
          <w:rFonts w:ascii="Arial" w:cs="Arial" w:eastAsia="Arial" w:hAnsi="Arial"/>
          <w:sz w:val="19"/>
          <w:szCs w:val="19"/>
          <w:color w:val="auto"/>
        </w:rPr>
        <w:t>Shares may also be effected in such other manner and on such other terms as the Parties shall expressly agree in writing.</w:t>
      </w:r>
    </w:p>
    <w:p>
      <w:pPr>
        <w:spacing w:after="0" w:line="13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u w:val="single" w:color="auto"/>
          <w:color w:val="auto"/>
        </w:rPr>
        <w:t>Legends on Share Certificates; Safekeeping of Share Certificates</w:t>
      </w:r>
      <w:r>
        <w:rPr>
          <w:rFonts w:ascii="Arial" w:cs="Arial" w:eastAsia="Arial" w:hAnsi="Arial"/>
          <w:sz w:val="19"/>
          <w:szCs w:val="19"/>
          <w:b w:val="1"/>
          <w:bCs w:val="1"/>
          <w:color w:val="auto"/>
        </w:rPr>
        <w:t>.</w:t>
      </w:r>
    </w:p>
    <w:p>
      <w:pPr>
        <w:spacing w:after="0" w:line="266" w:lineRule="exact"/>
        <w:rPr>
          <w:sz w:val="20"/>
          <w:szCs w:val="20"/>
          <w:color w:val="auto"/>
        </w:rPr>
      </w:pPr>
    </w:p>
    <w:p>
      <w:pPr>
        <w:ind w:right="460" w:firstLine="1297"/>
        <w:spacing w:after="0" w:line="253" w:lineRule="auto"/>
        <w:rPr>
          <w:sz w:val="20"/>
          <w:szCs w:val="20"/>
          <w:color w:val="auto"/>
        </w:rPr>
      </w:pPr>
      <w:r>
        <w:rPr>
          <w:rFonts w:ascii="Arial" w:cs="Arial" w:eastAsia="Arial" w:hAnsi="Arial"/>
          <w:sz w:val="22"/>
          <w:szCs w:val="22"/>
          <w:color w:val="auto"/>
        </w:rPr>
        <w:t>All certificates representing Shares or other direct or indirect interests in the Company or any Affiliate of the Company shall be kept under the control of the Chairman or his designee. Each certificate representing the Shares or any other direct or indirect interest in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45" w:name="page146"/>
    <w:bookmarkEnd w:id="145"/>
    <w:p>
      <w:pPr>
        <w:ind w:right="40"/>
        <w:spacing w:after="0" w:line="263" w:lineRule="auto"/>
        <w:rPr>
          <w:sz w:val="20"/>
          <w:szCs w:val="20"/>
          <w:color w:val="auto"/>
        </w:rPr>
      </w:pPr>
      <w:r>
        <w:rPr>
          <w:rFonts w:ascii="Arial" w:cs="Arial" w:eastAsia="Arial" w:hAnsi="Arial"/>
          <w:sz w:val="22"/>
          <w:szCs w:val="22"/>
          <w:color w:val="auto"/>
        </w:rPr>
        <w:t>Company, now or hereafter held by the Shareholders or their respective Affiliates shall be stamped with certain legends required by the laws of the MSAR and a legend in substantially the following form:</w:t>
      </w:r>
    </w:p>
    <w:p>
      <w:pPr>
        <w:spacing w:after="0" w:line="215" w:lineRule="exact"/>
        <w:rPr>
          <w:sz w:val="20"/>
          <w:szCs w:val="20"/>
          <w:color w:val="auto"/>
        </w:rPr>
      </w:pPr>
    </w:p>
    <w:p>
      <w:pPr>
        <w:jc w:val="both"/>
        <w:ind w:left="1300" w:right="80"/>
        <w:spacing w:after="0" w:line="312" w:lineRule="auto"/>
        <w:rPr>
          <w:sz w:val="20"/>
          <w:szCs w:val="20"/>
          <w:color w:val="auto"/>
        </w:rPr>
      </w:pPr>
      <w:r>
        <w:rPr>
          <w:rFonts w:ascii="Arial" w:cs="Arial" w:eastAsia="Arial" w:hAnsi="Arial"/>
          <w:sz w:val="19"/>
          <w:szCs w:val="19"/>
          <w:color w:val="auto"/>
        </w:rPr>
        <w:t>“The transfer and encumbrance of, and rights in, the shares represented by this certificate are restricted under (a) the terms of a Shareholders’ Agreement, as amended from time to time, a copy of which is on file at the office of Wynn Resorts (Macau) S.A., and (b) rules of the gaming and securities authorities of various jurisdictions.”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u w:val="single" w:color="auto"/>
          <w:color w:val="auto"/>
        </w:rPr>
        <w:t>Representations and Warranties of the Shareholders</w:t>
      </w:r>
      <w:r>
        <w:rPr>
          <w:rFonts w:ascii="Arial" w:cs="Arial" w:eastAsia="Arial" w:hAnsi="Arial"/>
          <w:sz w:val="19"/>
          <w:szCs w:val="19"/>
          <w:b w:val="1"/>
          <w:bCs w:val="1"/>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of the Shareholders hereby represents and warrants to the other Parties that:</w:t>
      </w:r>
    </w:p>
    <w:p>
      <w:pPr>
        <w:spacing w:after="0" w:line="254" w:lineRule="exact"/>
        <w:rPr>
          <w:sz w:val="20"/>
          <w:szCs w:val="20"/>
          <w:color w:val="auto"/>
        </w:rPr>
      </w:pPr>
    </w:p>
    <w:p>
      <w:pPr>
        <w:ind w:left="660" w:right="60" w:firstLine="1293"/>
        <w:spacing w:after="0" w:line="248" w:lineRule="auto"/>
        <w:tabs>
          <w:tab w:leader="none" w:pos="2425"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Company Shareholders</w:t>
      </w:r>
      <w:r>
        <w:rPr>
          <w:rFonts w:ascii="Arial" w:cs="Arial" w:eastAsia="Arial" w:hAnsi="Arial"/>
          <w:sz w:val="22"/>
          <w:szCs w:val="22"/>
          <w:color w:val="auto"/>
        </w:rPr>
        <w:t>. Each of the Shareholders that is a company (i) is a private company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by shares duly organized, validly existing and in good standing under the laws of its jurisdiction of formation, (ii) possesses full beneficial ownership of all legal and economic rights associated with the Class B Shares or Class C Shares, as the case may be, held in its name, (iii) does not act as a nominee or representative for any Person in respect of any interest in such Class B Shares or Class C Shares, as the case may be, and (iv) has made all required disclosures to all relevant Gaming Authorities.</w:t>
      </w:r>
    </w:p>
    <w:p>
      <w:pPr>
        <w:spacing w:after="0" w:line="227" w:lineRule="exact"/>
        <w:rPr>
          <w:rFonts w:ascii="Arial" w:cs="Arial" w:eastAsia="Arial" w:hAnsi="Arial"/>
          <w:sz w:val="22"/>
          <w:szCs w:val="22"/>
          <w:b w:val="1"/>
          <w:bCs w:val="1"/>
          <w:color w:val="auto"/>
        </w:rPr>
      </w:pPr>
    </w:p>
    <w:p>
      <w:pPr>
        <w:ind w:left="660" w:firstLine="1293"/>
        <w:spacing w:after="0" w:line="252" w:lineRule="auto"/>
        <w:tabs>
          <w:tab w:leader="none" w:pos="243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Chen</w:t>
      </w:r>
      <w:r>
        <w:rPr>
          <w:rFonts w:ascii="Arial" w:cs="Arial" w:eastAsia="Arial" w:hAnsi="Arial"/>
          <w:sz w:val="22"/>
          <w:szCs w:val="22"/>
          <w:color w:val="auto"/>
        </w:rPr>
        <w:t>. Chen (i) is an individual who is a citizen and permanent resident of the MSAR, (ii) possesses</w:t>
      </w:r>
      <w:r>
        <w:rPr>
          <w:rFonts w:ascii="Arial" w:cs="Arial" w:eastAsia="Arial" w:hAnsi="Arial"/>
          <w:sz w:val="22"/>
          <w:szCs w:val="22"/>
          <w:b w:val="1"/>
          <w:bCs w:val="1"/>
          <w:color w:val="auto"/>
        </w:rPr>
        <w:t xml:space="preserve"> </w:t>
      </w:r>
      <w:r>
        <w:rPr>
          <w:rFonts w:ascii="Arial" w:cs="Arial" w:eastAsia="Arial" w:hAnsi="Arial"/>
          <w:sz w:val="22"/>
          <w:szCs w:val="22"/>
          <w:color w:val="auto"/>
        </w:rPr>
        <w:t>full beneficial ownership of all legal and economic rights associated with the Class A Shares, (iii) does not act as a nominee or representative for any Person in respect of any interest in the Class A Shares, and (iv) has made all required disclosures to all relevant Gaming Authorities.</w:t>
      </w:r>
    </w:p>
    <w:p>
      <w:pPr>
        <w:spacing w:after="0" w:line="220" w:lineRule="exact"/>
        <w:rPr>
          <w:rFonts w:ascii="Arial" w:cs="Arial" w:eastAsia="Arial" w:hAnsi="Arial"/>
          <w:sz w:val="22"/>
          <w:szCs w:val="22"/>
          <w:b w:val="1"/>
          <w:bCs w:val="1"/>
          <w:color w:val="auto"/>
        </w:rPr>
      </w:pPr>
    </w:p>
    <w:p>
      <w:pPr>
        <w:ind w:left="660" w:right="120" w:firstLine="1293"/>
        <w:spacing w:after="0" w:line="269" w:lineRule="auto"/>
        <w:tabs>
          <w:tab w:leader="none" w:pos="241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Power and Authority</w:t>
      </w:r>
      <w:r>
        <w:rPr>
          <w:rFonts w:ascii="Arial" w:cs="Arial" w:eastAsia="Arial" w:hAnsi="Arial"/>
          <w:sz w:val="22"/>
          <w:szCs w:val="22"/>
          <w:color w:val="auto"/>
        </w:rPr>
        <w:t>. Such Shareholder has all requisite power and authority, corporate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to carry on such Shareholder’s business as contemplated by this Agreement.</w:t>
      </w:r>
    </w:p>
    <w:p>
      <w:pPr>
        <w:spacing w:after="0" w:line="202" w:lineRule="exact"/>
        <w:rPr>
          <w:rFonts w:ascii="Arial" w:cs="Arial" w:eastAsia="Arial" w:hAnsi="Arial"/>
          <w:sz w:val="22"/>
          <w:szCs w:val="22"/>
          <w:b w:val="1"/>
          <w:bCs w:val="1"/>
          <w:color w:val="auto"/>
        </w:rPr>
      </w:pPr>
    </w:p>
    <w:p>
      <w:pPr>
        <w:ind w:left="660" w:right="220" w:firstLine="1293"/>
        <w:spacing w:after="0" w:line="249" w:lineRule="auto"/>
        <w:tabs>
          <w:tab w:leader="none" w:pos="243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Authorization of Agreement</w:t>
      </w:r>
      <w:r>
        <w:rPr>
          <w:rFonts w:ascii="Arial" w:cs="Arial" w:eastAsia="Arial" w:hAnsi="Arial"/>
          <w:sz w:val="22"/>
          <w:szCs w:val="22"/>
          <w:color w:val="auto"/>
        </w:rPr>
        <w:t>. Such Shareholder has all requisite power and authority, corporate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to enter into this Agreement and to consummate the transactions contemplated hereby. This Agreement (i) has been duly executed by such Shareholder and delivered to the other Parties, (ii) has been effectively authorized by all necessary action, corporate or otherwise, of such Shareholder, and (iii) constitutes a legal, valid, and binding obligation of such Shareholder.</w:t>
      </w:r>
    </w:p>
    <w:p>
      <w:pPr>
        <w:spacing w:after="0" w:line="227" w:lineRule="exact"/>
        <w:rPr>
          <w:rFonts w:ascii="Arial" w:cs="Arial" w:eastAsia="Arial" w:hAnsi="Arial"/>
          <w:sz w:val="22"/>
          <w:szCs w:val="22"/>
          <w:b w:val="1"/>
          <w:bCs w:val="1"/>
          <w:color w:val="auto"/>
        </w:rPr>
      </w:pPr>
    </w:p>
    <w:p>
      <w:pPr>
        <w:ind w:left="660" w:right="180" w:firstLine="1293"/>
        <w:spacing w:after="0" w:line="269" w:lineRule="auto"/>
        <w:tabs>
          <w:tab w:leader="none" w:pos="241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Breach of Other Instruments</w:t>
      </w:r>
      <w:r>
        <w:rPr>
          <w:rFonts w:ascii="Arial" w:cs="Arial" w:eastAsia="Arial" w:hAnsi="Arial"/>
          <w:sz w:val="22"/>
          <w:szCs w:val="22"/>
          <w:color w:val="auto"/>
        </w:rPr>
        <w:t>. None of the execution, delivery or performance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any of the transactions contemplated</w:t>
      </w:r>
    </w:p>
    <w:p>
      <w:pPr>
        <w:sectPr>
          <w:pgSz w:w="11900" w:h="16838" w:orient="portrait"/>
          <w:cols w:equalWidth="0" w:num="1">
            <w:col w:w="11420"/>
          </w:cols>
          <w:pgMar w:left="240" w:top="631" w:right="239" w:bottom="1440" w:gutter="0" w:footer="0" w:header="0"/>
        </w:sectPr>
      </w:pPr>
    </w:p>
    <w:bookmarkStart w:id="146" w:name="page147"/>
    <w:bookmarkEnd w:id="146"/>
    <w:p>
      <w:pPr>
        <w:spacing w:after="0" w:line="288" w:lineRule="auto"/>
        <w:rPr>
          <w:sz w:val="20"/>
          <w:szCs w:val="20"/>
          <w:color w:val="auto"/>
        </w:rPr>
      </w:pPr>
      <w:r>
        <w:rPr>
          <w:rFonts w:ascii="Arial" w:cs="Arial" w:eastAsia="Arial" w:hAnsi="Arial"/>
          <w:sz w:val="19"/>
          <w:szCs w:val="19"/>
          <w:color w:val="auto"/>
        </w:rPr>
        <w:t>hereby or the fulfillment by such Shareholder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such Shareholder under, or create any lien, security interest, charge or encumbrance on any of such Shareholder’s properties pursuant to any material agreement, indenture, mortgage, bond, deed of trust, promissory note, lease, franchise, permit, license, registration, qualification or other obligation or instrument to which such Shareholder is a party or by which such Shareholder or any of such Shareholder’s properties or assets is bound or affected, pursuant to the terms, conditions and provisions of (i) any such agreement or instrument, (ii) any law, rule or regulation applicable to such Shareholder, (iii) any order, writ, injunction, decree or judgment of any court, governmental body or arbitrator by which such Shareholder is bound, or (iv) its Charter Documents.</w:t>
      </w:r>
    </w:p>
    <w:p>
      <w:pPr>
        <w:spacing w:after="0" w:line="195" w:lineRule="exact"/>
        <w:rPr>
          <w:sz w:val="20"/>
          <w:szCs w:val="20"/>
          <w:color w:val="auto"/>
        </w:rPr>
      </w:pPr>
    </w:p>
    <w:p>
      <w:pPr>
        <w:ind w:right="40" w:firstLine="1293"/>
        <w:spacing w:after="0" w:line="262" w:lineRule="auto"/>
        <w:tabs>
          <w:tab w:leader="none" w:pos="1729"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Foreign Corrupt Practices Act; Anti-Corruption Laws</w:t>
      </w:r>
      <w:r>
        <w:rPr>
          <w:rFonts w:ascii="Arial" w:cs="Arial" w:eastAsia="Arial" w:hAnsi="Arial"/>
          <w:sz w:val="21"/>
          <w:szCs w:val="21"/>
          <w:color w:val="auto"/>
        </w:rPr>
        <w:t>. Such Shareholder has not taken any action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is in violation of the United States Foreign Corrupt Practices Act of 1977 (as amended from time to time, the “FCPA”) or any other anti-corruption law in any applicable jurisdiction, and without limiting the foregoing, such Shareholder has not paid, offered or promised to pay, or authorized the payment, directly or indirectly, of anything of value to any Person employed or acting for or on behalf of any government official or employee or any political party or candidate for political office, for the purpose of inducing or rewarding any favorable action in any manner.</w:t>
      </w:r>
    </w:p>
    <w:p>
      <w:pPr>
        <w:spacing w:after="0" w:line="21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u w:val="single" w:color="auto"/>
          <w:color w:val="auto"/>
        </w:rPr>
        <w:t>Representations and Warranties of the Company</w:t>
      </w:r>
      <w:r>
        <w:rPr>
          <w:rFonts w:ascii="Arial" w:cs="Arial" w:eastAsia="Arial" w:hAnsi="Arial"/>
          <w:sz w:val="19"/>
          <w:szCs w:val="19"/>
          <w:b w:val="1"/>
          <w:bCs w:val="1"/>
          <w:color w:val="auto"/>
        </w:rPr>
        <w: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Company represents and warrants to the Shareholders that:</w:t>
      </w:r>
    </w:p>
    <w:p>
      <w:pPr>
        <w:spacing w:after="0" w:line="254" w:lineRule="exact"/>
        <w:rPr>
          <w:sz w:val="20"/>
          <w:szCs w:val="20"/>
          <w:color w:val="auto"/>
        </w:rPr>
      </w:pPr>
    </w:p>
    <w:p>
      <w:pPr>
        <w:ind w:right="100" w:firstLine="1293"/>
        <w:spacing w:after="0" w:line="274" w:lineRule="auto"/>
        <w:tabs>
          <w:tab w:leader="none" w:pos="1765"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Organization, Good Standing, and Authority</w:t>
      </w:r>
      <w:r>
        <w:rPr>
          <w:rFonts w:ascii="Arial" w:cs="Arial" w:eastAsia="Arial" w:hAnsi="Arial"/>
          <w:sz w:val="21"/>
          <w:szCs w:val="21"/>
          <w:color w:val="auto"/>
        </w:rPr>
        <w:t>. It is a company limited by shares duly organized,</w:t>
      </w:r>
      <w:r>
        <w:rPr>
          <w:rFonts w:ascii="Arial" w:cs="Arial" w:eastAsia="Arial" w:hAnsi="Arial"/>
          <w:sz w:val="21"/>
          <w:szCs w:val="21"/>
          <w:b w:val="1"/>
          <w:bCs w:val="1"/>
          <w:color w:val="auto"/>
        </w:rPr>
        <w:t xml:space="preserve"> </w:t>
      </w:r>
      <w:r>
        <w:rPr>
          <w:rFonts w:ascii="Arial" w:cs="Arial" w:eastAsia="Arial" w:hAnsi="Arial"/>
          <w:sz w:val="21"/>
          <w:szCs w:val="21"/>
          <w:color w:val="auto"/>
        </w:rPr>
        <w:t>validly existing and in good standing under the laws of the MSAR. The Company has the corporate power and authority to own and use its properties and to carry on all business contemplated by this Agreement.</w:t>
      </w:r>
    </w:p>
    <w:p>
      <w:pPr>
        <w:spacing w:after="0" w:line="199" w:lineRule="exact"/>
        <w:rPr>
          <w:rFonts w:ascii="Arial" w:cs="Arial" w:eastAsia="Arial" w:hAnsi="Arial"/>
          <w:sz w:val="21"/>
          <w:szCs w:val="21"/>
          <w:b w:val="1"/>
          <w:bCs w:val="1"/>
          <w:color w:val="auto"/>
        </w:rPr>
      </w:pPr>
    </w:p>
    <w:p>
      <w:pPr>
        <w:ind w:right="820" w:firstLine="1293"/>
        <w:spacing w:after="0" w:line="269" w:lineRule="auto"/>
        <w:tabs>
          <w:tab w:leader="none" w:pos="1777"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Capitalization of the Company</w:t>
      </w:r>
      <w:r>
        <w:rPr>
          <w:rFonts w:ascii="Arial" w:cs="Arial" w:eastAsia="Arial" w:hAnsi="Arial"/>
          <w:sz w:val="22"/>
          <w:szCs w:val="22"/>
          <w:color w:val="auto"/>
        </w:rPr>
        <w:t>. Its entire registered, authorized and outstanding capital is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Article 3.</w:t>
      </w:r>
    </w:p>
    <w:p>
      <w:pPr>
        <w:spacing w:after="0" w:line="202" w:lineRule="exact"/>
        <w:rPr>
          <w:rFonts w:ascii="Arial" w:cs="Arial" w:eastAsia="Arial" w:hAnsi="Arial"/>
          <w:sz w:val="22"/>
          <w:szCs w:val="22"/>
          <w:b w:val="1"/>
          <w:bCs w:val="1"/>
          <w:color w:val="auto"/>
        </w:rPr>
      </w:pPr>
    </w:p>
    <w:p>
      <w:pPr>
        <w:ind w:right="80" w:firstLine="1293"/>
        <w:spacing w:after="0" w:line="267" w:lineRule="auto"/>
        <w:tabs>
          <w:tab w:leader="none" w:pos="1752"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Authorization of Agreement</w:t>
      </w:r>
      <w:r>
        <w:rPr>
          <w:rFonts w:ascii="Arial" w:cs="Arial" w:eastAsia="Arial" w:hAnsi="Arial"/>
          <w:sz w:val="21"/>
          <w:szCs w:val="21"/>
          <w:color w:val="auto"/>
        </w:rPr>
        <w:t>. It has all requisite power and authority to enter into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to consummate the transactions contemplated hereby. This Agreement (i) has been duly executed and delivered to the Shareholders by the Company, (ii) has been effectively authorized by all necessary action, corporate or otherwise, of the Company, and (iii) constitutes a legal, valid and binding obligation of the Company.</w:t>
      </w:r>
    </w:p>
    <w:p>
      <w:pPr>
        <w:spacing w:after="0" w:line="200" w:lineRule="exact"/>
        <w:rPr>
          <w:sz w:val="20"/>
          <w:szCs w:val="20"/>
          <w:color w:val="auto"/>
        </w:rPr>
      </w:pPr>
    </w:p>
    <w:p>
      <w:pPr>
        <w:spacing w:after="0" w:line="25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20"/>
          </w:cols>
          <w:pgMar w:left="900" w:top="631" w:right="279" w:bottom="1440" w:gutter="0" w:footer="0" w:header="0"/>
        </w:sectPr>
      </w:pPr>
    </w:p>
    <w:bookmarkStart w:id="147" w:name="page148"/>
    <w:bookmarkEnd w:id="147"/>
    <w:p>
      <w:pPr>
        <w:ind w:left="660" w:firstLine="1293"/>
        <w:spacing w:after="0" w:line="288" w:lineRule="auto"/>
        <w:tabs>
          <w:tab w:leader="none" w:pos="2437"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Breach of Other Instruments</w:t>
      </w:r>
      <w:r>
        <w:rPr>
          <w:rFonts w:ascii="Arial" w:cs="Arial" w:eastAsia="Arial" w:hAnsi="Arial"/>
          <w:sz w:val="19"/>
          <w:szCs w:val="19"/>
          <w:color w:val="auto"/>
        </w:rPr>
        <w:t>. None of the execution, delivery or performance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of the transactions contemplated hereby or the fulfillment by the Company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the Company under, or create any lien, security interest, charge or encumbrance on any of the properties of the Company pursuant to any material agreement, indenture, mortgage, bond, deed of trust, promissory note, lease, franchise, permit, license, registration, qualification or other obligation or instrument to which the Company is a party or by which the Company or any of the properties or assets of the Company is bound or affected, pursuant to the terms, conditions and provisions of (i) any such agreement or instrument, (ii) any law, rule, or regulation applicable to the Company, (iii) any order, writ, injunction, decree or judgment of any court, governmental body or arbitrator by which the Company is bound, or (iv) the Charter Documents of the Company.</w:t>
      </w:r>
    </w:p>
    <w:p>
      <w:pPr>
        <w:spacing w:after="0" w:line="19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u w:val="single" w:color="auto"/>
          <w:color w:val="auto"/>
        </w:rPr>
        <w:t>Covenants of Chen</w:t>
      </w:r>
      <w:r>
        <w:rPr>
          <w:rFonts w:ascii="Arial" w:cs="Arial" w:eastAsia="Arial" w:hAnsi="Arial"/>
          <w:sz w:val="19"/>
          <w:szCs w:val="19"/>
          <w:b w:val="1"/>
          <w:bCs w:val="1"/>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Chen hereby covenants and agrees that Chen shall:</w:t>
      </w:r>
    </w:p>
    <w:p>
      <w:pPr>
        <w:spacing w:after="0" w:line="260" w:lineRule="exact"/>
        <w:rPr>
          <w:sz w:val="20"/>
          <w:szCs w:val="20"/>
          <w:color w:val="auto"/>
        </w:rPr>
      </w:pPr>
    </w:p>
    <w:p>
      <w:pPr>
        <w:ind w:left="660" w:right="280" w:firstLine="1293"/>
        <w:spacing w:after="0" w:line="263" w:lineRule="auto"/>
        <w:tabs>
          <w:tab w:leader="none" w:pos="241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take no action and shall direct no Person to take any action that violates or could violate the FCPA or any other anti-corruption laws, any Gaming Laws or any Securities Laws;</w:t>
      </w:r>
    </w:p>
    <w:p>
      <w:pPr>
        <w:spacing w:after="0" w:line="215" w:lineRule="exact"/>
        <w:rPr>
          <w:rFonts w:ascii="Arial" w:cs="Arial" w:eastAsia="Arial" w:hAnsi="Arial"/>
          <w:sz w:val="22"/>
          <w:szCs w:val="22"/>
          <w:color w:val="auto"/>
        </w:rPr>
      </w:pPr>
    </w:p>
    <w:p>
      <w:pPr>
        <w:ind w:left="2420" w:hanging="467"/>
        <w:spacing w:after="0"/>
        <w:tabs>
          <w:tab w:leader="none" w:pos="2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retain full beneficial ownership of all legal and economic rights associated with Chen’s interest in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42" w:lineRule="exact"/>
        <w:rPr>
          <w:rFonts w:ascii="Arial" w:cs="Arial" w:eastAsia="Arial" w:hAnsi="Arial"/>
          <w:sz w:val="19"/>
          <w:szCs w:val="19"/>
          <w:color w:val="auto"/>
        </w:rPr>
      </w:pPr>
    </w:p>
    <w:p>
      <w:pPr>
        <w:ind w:left="660" w:right="60" w:firstLine="1293"/>
        <w:spacing w:after="0" w:line="253" w:lineRule="auto"/>
        <w:tabs>
          <w:tab w:leader="none" w:pos="2413" w:val="left"/>
        </w:tabs>
        <w:numPr>
          <w:ilvl w:val="0"/>
          <w:numId w:val="60"/>
        </w:numPr>
        <w:rPr>
          <w:rFonts w:ascii="Arial" w:cs="Arial" w:eastAsia="Arial" w:hAnsi="Arial"/>
          <w:sz w:val="22"/>
          <w:szCs w:val="22"/>
          <w:color w:val="auto"/>
        </w:rPr>
      </w:pPr>
      <w:r>
        <w:rPr>
          <w:rFonts w:ascii="Arial" w:cs="Arial" w:eastAsia="Arial" w:hAnsi="Arial"/>
          <w:sz w:val="22"/>
          <w:szCs w:val="22"/>
          <w:color w:val="auto"/>
        </w:rPr>
        <w:t>make all disclosures required of Chen to all relevant Gaming Authorities and Securities Authorities and cooperate with Wynn International and its Affiliates to make any disclosures required of them to any relevant Gaming Authority or Securities Authority;</w:t>
      </w:r>
    </w:p>
    <w:p>
      <w:pPr>
        <w:spacing w:after="0" w:line="226" w:lineRule="exact"/>
        <w:rPr>
          <w:rFonts w:ascii="Arial" w:cs="Arial" w:eastAsia="Arial" w:hAnsi="Arial"/>
          <w:sz w:val="22"/>
          <w:szCs w:val="22"/>
          <w:color w:val="auto"/>
        </w:rPr>
      </w:pPr>
    </w:p>
    <w:p>
      <w:pPr>
        <w:ind w:left="2420" w:hanging="467"/>
        <w:spacing w:after="0"/>
        <w:tabs>
          <w:tab w:leader="none" w:pos="24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faithfully observe the restrictions on Transfers of interests in or portions of Class A Shares set forth in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Article 5; and</w:t>
      </w:r>
    </w:p>
    <w:p>
      <w:pPr>
        <w:spacing w:after="0" w:line="242" w:lineRule="exact"/>
        <w:rPr>
          <w:rFonts w:ascii="Arial" w:cs="Arial" w:eastAsia="Arial" w:hAnsi="Arial"/>
          <w:sz w:val="19"/>
          <w:szCs w:val="19"/>
          <w:color w:val="auto"/>
        </w:rPr>
      </w:pPr>
    </w:p>
    <w:p>
      <w:pPr>
        <w:ind w:left="2400" w:hanging="447"/>
        <w:spacing w:after="0"/>
        <w:tabs>
          <w:tab w:leader="none" w:pos="24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perform all obligations required of Chen under this Agreement.</w:t>
      </w:r>
    </w:p>
    <w:p>
      <w:pPr>
        <w:spacing w:after="0" w:line="260"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Chen shall provide a sworn and notarized declaration of the matters contained in Section 6.1 and this Section 6.3 in the form attached hereto as Exhibit C.</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ectPr>
          <w:pgSz w:w="11900" w:h="16838" w:orient="portrait"/>
          <w:cols w:equalWidth="0" w:num="1">
            <w:col w:w="11420"/>
          </w:cols>
          <w:pgMar w:left="240" w:top="625" w:right="239" w:bottom="1440" w:gutter="0" w:footer="0" w:header="0"/>
        </w:sectPr>
      </w:pPr>
    </w:p>
    <w:bookmarkStart w:id="148" w:name="page149"/>
    <w:bookmarkEnd w:id="148"/>
    <w:p>
      <w:pPr>
        <w:ind w:left="1300"/>
        <w:spacing w:after="0"/>
        <w:tabs>
          <w:tab w:leader="none" w:pos="17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b w:val="1"/>
          <w:bCs w:val="1"/>
          <w:color w:val="auto"/>
        </w:rPr>
        <w:t>.</w:t>
      </w:r>
    </w:p>
    <w:p>
      <w:pPr>
        <w:spacing w:after="0" w:line="266"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auto"/>
        </w:rPr>
        <w:t>This Agreement will continue in effect for so long as Wynn International, Wynn Hong Kong or any of their respective Affiliates, or Chen owns any of the Shares, unless it is earlier terminated pursuant to the terms of this Agreement; provided, however, that notwithstanding the termination of the Company under the laws of the MSAR, this Agreement shall continue in effect as a contract among the Shareholders with respect to such provisions as impose a continuing obligation upon any of them; and provided further that a Party that has sold or transferred its (or hers or his) Shares in compliance with the terms of this Agreement shall no longer be bound by the terms of this Agreement, except as to the obligations that are intended to continue to apply to such Party.</w:t>
      </w:r>
    </w:p>
    <w:p>
      <w:pPr>
        <w:spacing w:after="0" w:line="23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occurrence and continuation of any of the following events or circumstances by or with respect to any holder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Class A Shares shall constitute an Event of Default by such Shareholder:</w:t>
      </w:r>
    </w:p>
    <w:p>
      <w:pPr>
        <w:spacing w:after="0" w:line="242" w:lineRule="exact"/>
        <w:rPr>
          <w:sz w:val="20"/>
          <w:szCs w:val="20"/>
          <w:color w:val="auto"/>
        </w:rPr>
      </w:pPr>
    </w:p>
    <w:p>
      <w:pPr>
        <w:ind w:left="2400" w:hanging="447"/>
        <w:spacing w:after="0"/>
        <w:tabs>
          <w:tab w:leader="none" w:pos="24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liquidation, bankruptcy, dissolution, or appointment of an administrator for such Shareholder;</w:t>
      </w:r>
    </w:p>
    <w:p>
      <w:pPr>
        <w:spacing w:after="0" w:line="294" w:lineRule="exact"/>
        <w:rPr>
          <w:rFonts w:ascii="Arial" w:cs="Arial" w:eastAsia="Arial" w:hAnsi="Arial"/>
          <w:sz w:val="19"/>
          <w:szCs w:val="19"/>
          <w:color w:val="auto"/>
        </w:rPr>
      </w:pPr>
    </w:p>
    <w:p>
      <w:pPr>
        <w:ind w:left="660" w:firstLine="1293"/>
        <w:spacing w:after="0" w:line="263" w:lineRule="auto"/>
        <w:tabs>
          <w:tab w:leader="none" w:pos="24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failure by such Shareholder to cure its material breach of any material provision of this Agreement within thirty (30) days following Notice from the Company of such breach;</w:t>
      </w:r>
    </w:p>
    <w:p>
      <w:pPr>
        <w:spacing w:after="0" w:line="215" w:lineRule="exact"/>
        <w:rPr>
          <w:rFonts w:ascii="Arial" w:cs="Arial" w:eastAsia="Arial" w:hAnsi="Arial"/>
          <w:sz w:val="22"/>
          <w:szCs w:val="22"/>
          <w:color w:val="auto"/>
        </w:rPr>
      </w:pPr>
    </w:p>
    <w:p>
      <w:pPr>
        <w:ind w:left="660" w:right="120" w:firstLine="1293"/>
        <w:spacing w:after="0" w:line="253" w:lineRule="auto"/>
        <w:tabs>
          <w:tab w:leader="none" w:pos="240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commission by such Shareholder of any act of fraud or embezzlement or any other intentional misconduct that may adversely affect the business or affairs of the Company, Wynn International or any of their respective Affiliates;</w:t>
      </w:r>
    </w:p>
    <w:p>
      <w:pPr>
        <w:spacing w:after="0" w:line="226" w:lineRule="exact"/>
        <w:rPr>
          <w:rFonts w:ascii="Arial" w:cs="Arial" w:eastAsia="Arial" w:hAnsi="Arial"/>
          <w:sz w:val="22"/>
          <w:szCs w:val="22"/>
          <w:color w:val="auto"/>
        </w:rPr>
      </w:pPr>
    </w:p>
    <w:p>
      <w:pPr>
        <w:ind w:left="2420" w:hanging="467"/>
        <w:spacing w:after="0"/>
        <w:tabs>
          <w:tab w:leader="none" w:pos="242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existence or occurrence of any Gaming Problem or Securities Problem, or any violation of</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FCPA or any other anti-corruption laws, by or with respect to Chen; or</w:t>
      </w:r>
    </w:p>
    <w:p>
      <w:pPr>
        <w:spacing w:after="0" w:line="242" w:lineRule="exact"/>
        <w:rPr>
          <w:sz w:val="20"/>
          <w:szCs w:val="20"/>
          <w:color w:val="auto"/>
        </w:rPr>
      </w:pPr>
    </w:p>
    <w:p>
      <w:pPr>
        <w:ind w:left="660" w:right="240" w:firstLine="1293"/>
        <w:spacing w:after="0" w:line="263" w:lineRule="auto"/>
        <w:tabs>
          <w:tab w:leader="none" w:pos="240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Transfer or attempted Transfer by such Shareholder of any Class A Shares, except in accordance with Article 5 and as authorized by the MSAR Government.</w:t>
      </w:r>
    </w:p>
    <w:p>
      <w:pPr>
        <w:spacing w:after="0" w:line="20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u w:val="single" w:color="auto"/>
          <w:color w:val="auto"/>
        </w:rPr>
        <w:t>Remedies Upon Events of Default</w:t>
      </w:r>
      <w:r>
        <w:rPr>
          <w:rFonts w:ascii="Arial" w:cs="Arial" w:eastAsia="Arial" w:hAnsi="Arial"/>
          <w:sz w:val="19"/>
          <w:szCs w:val="19"/>
          <w:b w:val="1"/>
          <w:bCs w:val="1"/>
          <w:color w:val="auto"/>
        </w:rPr>
        <w:t>.</w:t>
      </w:r>
    </w:p>
    <w:p>
      <w:pPr>
        <w:spacing w:after="0" w:line="266" w:lineRule="exact"/>
        <w:rPr>
          <w:sz w:val="20"/>
          <w:szCs w:val="20"/>
          <w:color w:val="auto"/>
        </w:rPr>
      </w:pPr>
    </w:p>
    <w:p>
      <w:pPr>
        <w:ind w:right="280" w:firstLine="1297"/>
        <w:spacing w:after="0" w:line="263" w:lineRule="auto"/>
        <w:rPr>
          <w:sz w:val="20"/>
          <w:szCs w:val="20"/>
          <w:color w:val="auto"/>
        </w:rPr>
      </w:pPr>
      <w:r>
        <w:rPr>
          <w:rFonts w:ascii="Arial" w:cs="Arial" w:eastAsia="Arial" w:hAnsi="Arial"/>
          <w:sz w:val="21"/>
          <w:szCs w:val="21"/>
          <w:color w:val="auto"/>
        </w:rPr>
        <w:t>If an Event of Default described in Section 7.2 has occurred and is continuing, the Company or any Person designated by the Company shall have the right (but not the obligation) to redeem or purchase all Class A Shares owned by the Shareholder to which the Event of Default relates (the “Defaulting Shareholder”) at an aggregate price equal to One Macau Pataca (MOP1) (the “Default Price”). The exercise by the Company of a right to redeem or purchase Class A Shares pursuant to this Section 7.3 imposes no obligation on the Company to</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40" w:top="625" w:right="299" w:bottom="1440" w:gutter="0" w:footer="0" w:header="0"/>
        </w:sectPr>
      </w:pPr>
    </w:p>
    <w:bookmarkStart w:id="149" w:name="page150"/>
    <w:bookmarkEnd w:id="149"/>
    <w:p>
      <w:pPr>
        <w:ind w:right="120"/>
        <w:spacing w:after="0" w:line="263" w:lineRule="auto"/>
        <w:rPr>
          <w:sz w:val="20"/>
          <w:szCs w:val="20"/>
          <w:color w:val="auto"/>
        </w:rPr>
      </w:pPr>
      <w:r>
        <w:rPr>
          <w:rFonts w:ascii="Arial" w:cs="Arial" w:eastAsia="Arial" w:hAnsi="Arial"/>
          <w:sz w:val="22"/>
          <w:szCs w:val="22"/>
          <w:color w:val="auto"/>
        </w:rPr>
        <w:t>redeem or purchase any Shares and will not alter any other rights to which the Company or the other Shareholders may be entitled at law or in equity, including, without limitation, any personal liability of any Party.</w:t>
      </w:r>
    </w:p>
    <w:p>
      <w:pPr>
        <w:spacing w:after="0" w:line="20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u w:val="single" w:color="auto"/>
          <w:color w:val="auto"/>
        </w:rPr>
        <w:t>Manner of Exercise</w:t>
      </w:r>
      <w:r>
        <w:rPr>
          <w:rFonts w:ascii="Arial" w:cs="Arial" w:eastAsia="Arial" w:hAnsi="Arial"/>
          <w:sz w:val="19"/>
          <w:szCs w:val="19"/>
          <w:b w:val="1"/>
          <w:bCs w:val="1"/>
          <w:color w:val="auto"/>
        </w:rPr>
        <w:t>.</w:t>
      </w:r>
    </w:p>
    <w:p>
      <w:pPr>
        <w:spacing w:after="0" w:line="266" w:lineRule="exact"/>
        <w:rPr>
          <w:sz w:val="20"/>
          <w:szCs w:val="20"/>
          <w:color w:val="auto"/>
        </w:rPr>
      </w:pPr>
    </w:p>
    <w:p>
      <w:pPr>
        <w:jc w:val="both"/>
        <w:ind w:right="40" w:firstLine="1297"/>
        <w:spacing w:after="0" w:line="253" w:lineRule="auto"/>
        <w:rPr>
          <w:sz w:val="20"/>
          <w:szCs w:val="20"/>
          <w:color w:val="auto"/>
        </w:rPr>
      </w:pPr>
      <w:r>
        <w:rPr>
          <w:rFonts w:ascii="Arial" w:cs="Arial" w:eastAsia="Arial" w:hAnsi="Arial"/>
          <w:sz w:val="22"/>
          <w:szCs w:val="22"/>
          <w:color w:val="auto"/>
        </w:rPr>
        <w:t>The Company may exercise the option under Section 7.3 by Notice to the Defaulting Shareholder stating that all or part of the Shares directly or indirectly owned by such Defaulting Shareholder are being redeemed or purchased and specifying the Event of Default giving rise to the option.</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266"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color w:val="auto"/>
        </w:rPr>
        <w:t>The closing of any redemption, purchase or sale made pursuant to Sections 7.3 and 7.4 shall be held at a date, time and place specified by the Company.</w:t>
      </w:r>
    </w:p>
    <w:p>
      <w:pPr>
        <w:spacing w:after="0" w:line="20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u w:val="single" w:color="auto"/>
          <w:color w:val="auto"/>
        </w:rPr>
        <w:t>Enforcement of Rights</w:t>
      </w:r>
      <w:r>
        <w:rPr>
          <w:rFonts w:ascii="Arial" w:cs="Arial" w:eastAsia="Arial" w:hAnsi="Arial"/>
          <w:sz w:val="19"/>
          <w:szCs w:val="19"/>
          <w:b w:val="1"/>
          <w:bCs w:val="1"/>
          <w:color w:val="auto"/>
        </w:rPr>
        <w:t>.</w:t>
      </w:r>
    </w:p>
    <w:p>
      <w:pPr>
        <w:spacing w:after="0" w:line="266" w:lineRule="exact"/>
        <w:rPr>
          <w:sz w:val="20"/>
          <w:szCs w:val="20"/>
          <w:color w:val="auto"/>
        </w:rPr>
      </w:pPr>
    </w:p>
    <w:p>
      <w:pPr>
        <w:ind w:right="40" w:firstLine="1297"/>
        <w:spacing w:after="0" w:line="263" w:lineRule="auto"/>
        <w:rPr>
          <w:sz w:val="20"/>
          <w:szCs w:val="20"/>
          <w:color w:val="auto"/>
        </w:rPr>
      </w:pPr>
      <w:r>
        <w:rPr>
          <w:rFonts w:ascii="Arial" w:cs="Arial" w:eastAsia="Arial" w:hAnsi="Arial"/>
          <w:sz w:val="21"/>
          <w:szCs w:val="21"/>
          <w:color w:val="auto"/>
        </w:rPr>
        <w:t>Any Transferring Shareholder or any other Shareholder against whom the Company is contemplating exercising some right or option or pursuing some remedy under this Agreement, hereby covenants and agrees that such Shareholder, as a Shareholder and, subject to any fiduciary duties as a Director, officer or manager of the Company, shall vote the same way as the majority of the other Shareholders or directors, shareholders, officers or managers (as the case may be) in all matters relating to the exercise of such right or option or the pursuit of such remedy.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INDEMNIFICATION</w:t>
      </w:r>
    </w:p>
    <w:p>
      <w:pPr>
        <w:spacing w:after="0" w:line="25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u w:val="single" w:color="auto"/>
          <w:color w:val="auto"/>
        </w:rPr>
        <w:t>Indemnification by the Shareholders</w:t>
      </w:r>
      <w:r>
        <w:rPr>
          <w:rFonts w:ascii="Arial" w:cs="Arial" w:eastAsia="Arial" w:hAnsi="Arial"/>
          <w:sz w:val="19"/>
          <w:szCs w:val="19"/>
          <w:b w:val="1"/>
          <w:bCs w:val="1"/>
          <w:color w:val="auto"/>
        </w:rPr>
        <w:t>.</w:t>
      </w:r>
    </w:p>
    <w:p>
      <w:pPr>
        <w:spacing w:after="0" w:line="266"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Each Shareholder hereby indemnifies the Company and holds the Company harmless in respect of any and all claims, losses, damages, liabilities and expenses (including, without limitation, settlement costs and any legal, accounting and other expenses of investigating or defending any actions, claims or legal proceedings or threatened actions, claims or legal proceedings, and any taxes or other governmental charges payable in respect of any indemnification payments hereunder) incurred by the Company, together with interest on cash disbursements in connection therewith at the Reference Rate from the date such cash disbursements were made by the Company until paid by the Shareholder, in connection with the misrepresentation or breach of any representation, warranty, covenant, agreement or obligation of the Shareholder contained in this Agreement or any other instrument contemplated by this Agreement.</w:t>
      </w:r>
    </w:p>
    <w:p>
      <w:pPr>
        <w:sectPr>
          <w:pgSz w:w="11900" w:h="16838" w:orient="portrait"/>
          <w:cols w:equalWidth="0" w:num="1">
            <w:col w:w="11380"/>
          </w:cols>
          <w:pgMar w:left="240" w:top="631" w:right="279" w:bottom="1440" w:gutter="0" w:footer="0" w:header="0"/>
        </w:sectPr>
      </w:pPr>
    </w:p>
    <w:bookmarkStart w:id="150" w:name="page151"/>
    <w:bookmarkEnd w:id="150"/>
    <w:p>
      <w:pPr>
        <w:ind w:left="1300"/>
        <w:spacing w:after="0"/>
        <w:tabs>
          <w:tab w:leader="none" w:pos="17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u w:val="single" w:color="auto"/>
          <w:color w:val="auto"/>
        </w:rPr>
        <w:t>Indemnification by the Company</w:t>
      </w:r>
      <w:r>
        <w:rPr>
          <w:rFonts w:ascii="Arial" w:cs="Arial" w:eastAsia="Arial" w:hAnsi="Arial"/>
          <w:sz w:val="19"/>
          <w:szCs w:val="19"/>
          <w:b w:val="1"/>
          <w:bCs w:val="1"/>
          <w:color w:val="auto"/>
        </w:rPr>
        <w:t>.</w:t>
      </w:r>
    </w:p>
    <w:p>
      <w:pPr>
        <w:spacing w:after="0" w:line="266"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The Company hereby indemnifies the Shareholders and holds the Shareholders and their respective Affiliates harmless in respect of any and all claims, losses, damages, liabilities and expenses (including, without limitation, settlement costs and any legal, accounting and other expenses of investigating or defending any actions, claims or legal proceedings or threatened actions, claims or legal proceedings and any taxes or other governmental charges payable in respect of any indemnification payments hereunder) incurred by the Shareholders or their respective Affiliates, together with interest on cash disbursements in connection therewith at the Reference Rate from the date that such cash disbursements were made by the Shareholders or their respective Affiliates until paid by the Company, in connection with the misrepresentation or breach of any representation, warranty, covenant, agreement or obligation of the Company contained in this Agreement or any other instrument contemplated by this Agreement,</w:t>
      </w:r>
    </w:p>
    <w:p>
      <w:pPr>
        <w:spacing w:after="0" w:line="21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u w:val="single" w:color="auto"/>
          <w:color w:val="auto"/>
        </w:rPr>
        <w:t>Claims for Indemnification</w:t>
      </w:r>
      <w:r>
        <w:rPr>
          <w:rFonts w:ascii="Arial" w:cs="Arial" w:eastAsia="Arial" w:hAnsi="Arial"/>
          <w:sz w:val="19"/>
          <w:szCs w:val="19"/>
          <w:b w:val="1"/>
          <w:bCs w:val="1"/>
          <w:color w:val="auto"/>
        </w:rPr>
        <w:t>.</w:t>
      </w:r>
    </w:p>
    <w:p>
      <w:pPr>
        <w:spacing w:after="0" w:line="266" w:lineRule="exact"/>
        <w:rPr>
          <w:sz w:val="20"/>
          <w:szCs w:val="20"/>
          <w:color w:val="auto"/>
        </w:rPr>
      </w:pPr>
    </w:p>
    <w:p>
      <w:pPr>
        <w:ind w:right="120" w:firstLine="1297"/>
        <w:spacing w:after="0" w:line="248" w:lineRule="auto"/>
        <w:rPr>
          <w:sz w:val="20"/>
          <w:szCs w:val="20"/>
          <w:color w:val="auto"/>
        </w:rPr>
      </w:pPr>
      <w:r>
        <w:rPr>
          <w:rFonts w:ascii="Arial" w:cs="Arial" w:eastAsia="Arial" w:hAnsi="Arial"/>
          <w:sz w:val="22"/>
          <w:szCs w:val="22"/>
          <w:color w:val="auto"/>
        </w:rPr>
        <w:t>Whenever any claim shall arise for indemnification hereunder, the Indemnified Party shall promptly give Notice to the Indemnifying Party of the claim and, when known, the facts constituting the basis for such claim. In the event of any claim for indemnification hereunder resulting from or in connection with any action, claim or legal proceedings by a Person who is not a Party, the Notice to the Indemnifying Party shall specify, if known, the amount or an estimate of the amount of the liability arising therefrom.</w:t>
      </w:r>
    </w:p>
    <w:p>
      <w:pPr>
        <w:spacing w:after="0" w:line="22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u w:val="single" w:color="auto"/>
          <w:color w:val="auto"/>
        </w:rPr>
        <w:t>Defense by Indemnifying Party</w:t>
      </w:r>
      <w:r>
        <w:rPr>
          <w:rFonts w:ascii="Arial" w:cs="Arial" w:eastAsia="Arial" w:hAnsi="Arial"/>
          <w:sz w:val="19"/>
          <w:szCs w:val="19"/>
          <w:b w:val="1"/>
          <w:bCs w:val="1"/>
          <w:color w:val="auto"/>
        </w:rPr>
        <w:t>.</w:t>
      </w:r>
    </w:p>
    <w:p>
      <w:pPr>
        <w:spacing w:after="0" w:line="266" w:lineRule="exact"/>
        <w:rPr>
          <w:sz w:val="20"/>
          <w:szCs w:val="20"/>
          <w:color w:val="auto"/>
        </w:rPr>
      </w:pPr>
    </w:p>
    <w:p>
      <w:pPr>
        <w:ind w:right="40" w:firstLine="1297"/>
        <w:spacing w:after="0" w:line="286" w:lineRule="auto"/>
        <w:rPr>
          <w:sz w:val="20"/>
          <w:szCs w:val="20"/>
          <w:color w:val="auto"/>
        </w:rPr>
      </w:pPr>
      <w:r>
        <w:rPr>
          <w:rFonts w:ascii="Arial" w:cs="Arial" w:eastAsia="Arial" w:hAnsi="Arial"/>
          <w:sz w:val="19"/>
          <w:szCs w:val="19"/>
          <w:color w:val="auto"/>
        </w:rPr>
        <w:t>In connection with any claim giving rise to indemnification hereunder resulting from or arising out of any action, claim or legal proceeding by a Person who is not a Party, if the Indemnifying Party is the Company or is the holder of the Class B Shares or the Class A Shares, then such Indemnifying Party at its sole cost and expense may, upon Notice to the Indemnified Party, assume the defense of any such action, claim or legal proceeding if it acknowledges to the Indemnified Party in writing its obligation to indemnify the Indemnified Party pursuant to this Agreement in respect of such action, claim or legal proceeding. The Indemnified Party shall be entitled to participate in (but not control) the defense of any such action, claim or legal proceeding with its own counsel and at its own expense. If the Indemnifying Party so assumes the defense of any such action, claim or legal proceeding, the Indemnifying Party shall select counsel to conduct the defense of such action, claim or legal proceeding, at its sole cost and expense. The Indemnifying Party shall not consent to a settlement of, or the entry of any judgment arising from, any such action, claim or legal proceeding without the prior written consent (which consent shall not be unreasonably withheld or delayed) of the Indemnified Party. If the Indemnifying Party is permitted to but does not assume the defense of any such action, claim or legal proceeding as aforesaid, (a) the Indemnified Party may defend against such action, claim or legal proceeding, in such manner as it may deem appropriate, including, without limitation, settling such action, claim or legal proceeding, after giving Notice of the same to the Indemnifying Party, on such terms as the Indemnified Party may deem appropriate, and (b) the Indemnifying Party shall be entitled to participate in (but not control) the defense of such action,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625" w:right="279" w:bottom="1440" w:gutter="0" w:footer="0" w:header="0"/>
        </w:sectPr>
      </w:pPr>
    </w:p>
    <w:bookmarkStart w:id="151" w:name="page152"/>
    <w:bookmarkEnd w:id="151"/>
    <w:p>
      <w:pPr>
        <w:spacing w:after="0" w:line="302" w:lineRule="auto"/>
        <w:rPr>
          <w:sz w:val="20"/>
          <w:szCs w:val="20"/>
          <w:color w:val="auto"/>
        </w:rPr>
      </w:pPr>
      <w:r>
        <w:rPr>
          <w:rFonts w:ascii="Arial" w:cs="Arial" w:eastAsia="Arial" w:hAnsi="Arial"/>
          <w:sz w:val="19"/>
          <w:szCs w:val="19"/>
          <w:color w:val="auto"/>
        </w:rPr>
        <w:t>claim or legal proceeding with its own counsel and at its own expense. If the Indemnifying Party thereafter seeks to question the manner in which the Indemnified Party defended such third Person’s action, claim or legal proceeding or the amount or nature of any such settlement, the Indemnifying Party shall have the burden to prove by a preponderance of the evidence that the Indemnified Party did not defend or settle such action, claim or legal Proceeding in a reasonably prudent manner.</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u w:val="single" w:color="auto"/>
          <w:color w:val="auto"/>
        </w:rPr>
        <w:t>Manner of Indemnification</w:t>
      </w:r>
      <w:r>
        <w:rPr>
          <w:rFonts w:ascii="Arial" w:cs="Arial" w:eastAsia="Arial" w:hAnsi="Arial"/>
          <w:sz w:val="19"/>
          <w:szCs w:val="19"/>
          <w:b w:val="1"/>
          <w:bCs w:val="1"/>
          <w:color w:val="auto"/>
        </w:rPr>
        <w:t>.</w:t>
      </w:r>
    </w:p>
    <w:p>
      <w:pPr>
        <w:spacing w:after="0" w:line="266" w:lineRule="exact"/>
        <w:rPr>
          <w:sz w:val="20"/>
          <w:szCs w:val="20"/>
          <w:color w:val="auto"/>
        </w:rPr>
      </w:pPr>
    </w:p>
    <w:p>
      <w:pPr>
        <w:ind w:right="60" w:firstLine="1297"/>
        <w:spacing w:after="0" w:line="260" w:lineRule="exact"/>
        <w:rPr>
          <w:sz w:val="20"/>
          <w:szCs w:val="20"/>
          <w:color w:val="auto"/>
        </w:rPr>
      </w:pPr>
      <w:r>
        <w:rPr>
          <w:rFonts w:ascii="Arial" w:cs="Arial" w:eastAsia="Arial" w:hAnsi="Arial"/>
          <w:sz w:val="22"/>
          <w:szCs w:val="22"/>
          <w:color w:val="auto"/>
        </w:rPr>
        <w:t>All indemnification provided hereunder shall be effected, at the sole option of the Indemnified Party (a) out of a holdback or set</w:t>
      </w:r>
      <w:r>
        <w:rPr>
          <w:rFonts w:ascii="MS PGothic" w:cs="MS PGothic" w:eastAsia="MS PGothic" w:hAnsi="MS PGothic"/>
          <w:sz w:val="22"/>
          <w:szCs w:val="22"/>
          <w:color w:val="auto"/>
        </w:rPr>
        <w:t>‑</w:t>
      </w:r>
      <w:r>
        <w:rPr>
          <w:rFonts w:ascii="Arial" w:cs="Arial" w:eastAsia="Arial" w:hAnsi="Arial"/>
          <w:sz w:val="22"/>
          <w:szCs w:val="22"/>
          <w:color w:val="auto"/>
        </w:rPr>
        <w:t>off against any payment of any amount of any type payable to the Indemnifying Party or any of its Affiliates by the Indemnified Party or any of its Affiliates, (b) by (i) the payment of cash in United States Dollars, (ii) delivery of a certified or official bank check in United States Dollars, or (iii) a wire or telegraphic transfer of funds in United States Dollars, in each case by the Indemnifying Party.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[not used]</w:t>
      </w:r>
    </w:p>
    <w:p>
      <w:pPr>
        <w:spacing w:after="0" w:line="25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5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66" w:lineRule="exact"/>
        <w:rPr>
          <w:sz w:val="20"/>
          <w:szCs w:val="20"/>
          <w:color w:val="auto"/>
        </w:rPr>
      </w:pPr>
    </w:p>
    <w:p>
      <w:pPr>
        <w:ind w:right="300" w:firstLine="1297"/>
        <w:spacing w:after="0" w:line="250" w:lineRule="auto"/>
        <w:rPr>
          <w:sz w:val="20"/>
          <w:szCs w:val="20"/>
          <w:color w:val="auto"/>
        </w:rPr>
      </w:pPr>
      <w:r>
        <w:rPr>
          <w:rFonts w:ascii="Arial" w:cs="Arial" w:eastAsia="Arial" w:hAnsi="Arial"/>
          <w:sz w:val="22"/>
          <w:szCs w:val="22"/>
          <w:color w:val="auto"/>
        </w:rPr>
        <w:t>All notices, demands, and other communications required or permitted under this Agreement (each, a ”Notice”) shall be in writing and, at the option of the notifying Party, shall be either (a) personally delivered, (b) transmitted by certified or registered mail or reputable international courier, postage prepaid, return receipt requested, or (c) transmitted by telefax, answerback requested, to the appropriate Party, as follows:</w:t>
      </w:r>
    </w:p>
    <w:p>
      <w:pPr>
        <w:spacing w:after="0" w:line="229"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To the Company:</w:t>
      </w:r>
      <w:r>
        <w:rPr>
          <w:sz w:val="20"/>
          <w:szCs w:val="20"/>
          <w:color w:val="auto"/>
        </w:rPr>
        <w:tab/>
      </w:r>
      <w:r>
        <w:rPr>
          <w:rFonts w:ascii="Arial" w:cs="Arial" w:eastAsia="Arial" w:hAnsi="Arial"/>
          <w:sz w:val="19"/>
          <w:szCs w:val="19"/>
          <w:color w:val="auto"/>
        </w:rPr>
        <w:t>Wynn Resorts (Macau) S.A.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Rua Cidade de Sintra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Nape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Chief Financial Officer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Telefax: +853 2888 9966 / +853 2832 9966</w:t>
      </w:r>
    </w:p>
    <w:p>
      <w:pPr>
        <w:sectPr>
          <w:pgSz w:w="11900" w:h="16838" w:orient="portrait"/>
          <w:cols w:equalWidth="0" w:num="1">
            <w:col w:w="11420"/>
          </w:cols>
          <w:pgMar w:left="240" w:top="631" w:right="239" w:bottom="1440" w:gutter="0" w:footer="0" w:header="0"/>
        </w:sectPr>
      </w:pPr>
    </w:p>
    <w:bookmarkStart w:id="152" w:name="page153"/>
    <w:bookmarkEnd w:id="152"/>
    <w:p>
      <w:pPr>
        <w:spacing w:after="0"/>
        <w:tabs>
          <w:tab w:leader="none" w:pos="2120" w:val="left"/>
        </w:tabs>
        <w:rPr>
          <w:sz w:val="20"/>
          <w:szCs w:val="20"/>
          <w:color w:val="auto"/>
        </w:rPr>
      </w:pPr>
      <w:r>
        <w:rPr>
          <w:rFonts w:ascii="Arial" w:cs="Arial" w:eastAsia="Arial" w:hAnsi="Arial"/>
          <w:sz w:val="22"/>
          <w:szCs w:val="22"/>
          <w:color w:val="auto"/>
        </w:rPr>
        <w:t>To Wynn Hong Kong:</w:t>
      </w:r>
      <w:r>
        <w:rPr>
          <w:sz w:val="20"/>
          <w:szCs w:val="20"/>
          <w:color w:val="auto"/>
        </w:rPr>
        <w:tab/>
      </w:r>
      <w:r>
        <w:rPr>
          <w:rFonts w:ascii="Arial" w:cs="Arial" w:eastAsia="Arial" w:hAnsi="Arial"/>
          <w:sz w:val="19"/>
          <w:szCs w:val="19"/>
          <w:color w:val="auto"/>
        </w:rPr>
        <w:t>Wynn Resorts (Macau), Limited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21/F, Edinburgh Tower,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Landmark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15 Queen's Road Central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Hong Kong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Ms. Betty Ho (Sekots Secretarial Services Limited)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Telefax: +852 2289 6709 / +852 2810 9888</w:t>
      </w:r>
    </w:p>
    <w:p>
      <w:pPr>
        <w:spacing w:after="0" w:line="242" w:lineRule="exact"/>
        <w:rPr>
          <w:sz w:val="20"/>
          <w:szCs w:val="20"/>
          <w:color w:val="auto"/>
        </w:rPr>
      </w:pPr>
    </w:p>
    <w:p>
      <w:pPr>
        <w:spacing w:after="0"/>
        <w:tabs>
          <w:tab w:leader="none" w:pos="2220" w:val="left"/>
        </w:tabs>
        <w:rPr>
          <w:sz w:val="20"/>
          <w:szCs w:val="20"/>
          <w:color w:val="auto"/>
        </w:rPr>
      </w:pPr>
      <w:r>
        <w:rPr>
          <w:rFonts w:ascii="Arial" w:cs="Arial" w:eastAsia="Arial" w:hAnsi="Arial"/>
          <w:sz w:val="22"/>
          <w:szCs w:val="22"/>
          <w:color w:val="auto"/>
        </w:rPr>
        <w:t>To Wynn International:</w:t>
      </w:r>
      <w:r>
        <w:rPr>
          <w:sz w:val="20"/>
          <w:szCs w:val="20"/>
          <w:color w:val="auto"/>
        </w:rPr>
        <w:tab/>
      </w:r>
      <w:r>
        <w:rPr>
          <w:rFonts w:ascii="Arial" w:cs="Arial" w:eastAsia="Arial" w:hAnsi="Arial"/>
          <w:sz w:val="19"/>
          <w:szCs w:val="19"/>
          <w:color w:val="auto"/>
        </w:rPr>
        <w:t>Wynn Resorts International, Ltd.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First Floor, Millennium House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Victoria Road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Douglas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Isle of Man IM2 4RW</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Attn: ILS Secretaries Limited, Company Secretary of Wynn Resorts International, Ltd.</w:t>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Telefax: +44 1624 682 500 / +44 1624 682 555</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notices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Company, Wynn Hong Kong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 Wynn International,</w:t>
      </w:r>
    </w:p>
    <w:p>
      <w:pPr>
        <w:spacing w:after="0" w:line="4"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with copies to:</w:t>
      </w:r>
      <w:r>
        <w:rPr>
          <w:sz w:val="20"/>
          <w:szCs w:val="20"/>
          <w:color w:val="auto"/>
        </w:rPr>
        <w:tab/>
      </w:r>
      <w:r>
        <w:rPr>
          <w:rFonts w:ascii="Arial" w:cs="Arial" w:eastAsia="Arial" w:hAnsi="Arial"/>
          <w:sz w:val="19"/>
          <w:szCs w:val="19"/>
          <w:color w:val="auto"/>
        </w:rPr>
        <w:t>Wynn Resorts (Macau) S.A.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Rua Cidade de Sintra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Nape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Legal Department of Wynn Resorts (Macau) S.A.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Telefax: +853 2888 9966 / +853 2832 9966</w:t>
      </w:r>
    </w:p>
    <w:p>
      <w:pPr>
        <w:spacing w:after="0" w:line="200" w:lineRule="exact"/>
        <w:rPr>
          <w:sz w:val="20"/>
          <w:szCs w:val="20"/>
          <w:color w:val="auto"/>
        </w:rPr>
      </w:pPr>
    </w:p>
    <w:p>
      <w:pPr>
        <w:spacing w:after="0" w:line="29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To Chen:</w:t>
      </w:r>
      <w:r>
        <w:rPr>
          <w:sz w:val="20"/>
          <w:szCs w:val="20"/>
          <w:color w:val="auto"/>
        </w:rPr>
        <w:tab/>
      </w:r>
      <w:r>
        <w:rPr>
          <w:rFonts w:ascii="Arial" w:cs="Arial" w:eastAsia="Arial" w:hAnsi="Arial"/>
          <w:sz w:val="19"/>
          <w:szCs w:val="19"/>
          <w:color w:val="auto"/>
        </w:rPr>
        <w:t>Ms. Chen Chih Ling Linda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Estrada De Pac OnS/NM-10,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EDF. Moradias 10 (Island Park), R/C M-10,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Taipa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Macau</w:t>
      </w:r>
    </w:p>
    <w:p>
      <w:pPr>
        <w:spacing w:after="0" w:line="242" w:lineRule="exact"/>
        <w:rPr>
          <w:sz w:val="20"/>
          <w:szCs w:val="20"/>
          <w:color w:val="auto"/>
        </w:rPr>
      </w:pPr>
    </w:p>
    <w:p>
      <w:pPr>
        <w:ind w:right="440" w:firstLine="1297"/>
        <w:spacing w:after="0" w:line="250" w:lineRule="auto"/>
        <w:rPr>
          <w:sz w:val="20"/>
          <w:szCs w:val="20"/>
          <w:color w:val="auto"/>
        </w:rPr>
      </w:pPr>
      <w:r>
        <w:rPr>
          <w:rFonts w:ascii="Arial" w:cs="Arial" w:eastAsia="Arial" w:hAnsi="Arial"/>
          <w:sz w:val="22"/>
          <w:szCs w:val="22"/>
          <w:color w:val="auto"/>
        </w:rPr>
        <w:t>The effective date of any Notice will be deemed to be (i) the date of receipt, if delivered personally, (ii) the date seven (7) Business Days after posting, if mailed or sent by courier, or (iii) twelve (12) hours after transmission by telefax with confirmed answerback. The address of any Person set forth above may be changed at any time and from time to time by such Person by Notice given pursuant to this Section 10.1.</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631" w:right="259" w:bottom="1440" w:gutter="0" w:footer="0" w:header="0"/>
        </w:sectPr>
      </w:pPr>
    </w:p>
    <w:bookmarkStart w:id="153" w:name="page154"/>
    <w:bookmarkEnd w:id="153"/>
    <w:p>
      <w:pPr>
        <w:ind w:left="1300"/>
        <w:spacing w:after="0"/>
        <w:tabs>
          <w:tab w:leader="none" w:pos="18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266"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Except as expressly provided in this Agreement, none of the Parties has any right to Transfer any of the rights, duties or obligations granted by or imposed in this Agreement. Any purported Transfer by any Party of any of the rights, duties or obligations granted by or imposed in this Agreement shall be void and without effect.</w:t>
      </w:r>
    </w:p>
    <w:p>
      <w:pPr>
        <w:spacing w:after="0" w:line="220"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8"/>
          <w:szCs w:val="18"/>
          <w:b w:val="1"/>
          <w:bCs w:val="1"/>
          <w:u w:val="single" w:color="auto"/>
          <w:color w:val="auto"/>
        </w:rPr>
        <w:t>Successors and Permitted Transferees</w:t>
      </w:r>
      <w:r>
        <w:rPr>
          <w:rFonts w:ascii="Arial" w:cs="Arial" w:eastAsia="Arial" w:hAnsi="Arial"/>
          <w:sz w:val="18"/>
          <w:szCs w:val="18"/>
          <w:b w:val="1"/>
          <w:bCs w:val="1"/>
          <w:color w:val="auto"/>
        </w:rPr>
        <w:t>.</w:t>
      </w:r>
    </w:p>
    <w:p>
      <w:pPr>
        <w:spacing w:after="0" w:line="266" w:lineRule="exact"/>
        <w:rPr>
          <w:sz w:val="20"/>
          <w:szCs w:val="20"/>
          <w:color w:val="auto"/>
        </w:rPr>
      </w:pPr>
    </w:p>
    <w:p>
      <w:pPr>
        <w:ind w:right="260" w:firstLine="1297"/>
        <w:spacing w:after="0" w:line="250" w:lineRule="auto"/>
        <w:rPr>
          <w:sz w:val="20"/>
          <w:szCs w:val="20"/>
          <w:color w:val="auto"/>
        </w:rPr>
      </w:pPr>
      <w:r>
        <w:rPr>
          <w:rFonts w:ascii="Arial" w:cs="Arial" w:eastAsia="Arial" w:hAnsi="Arial"/>
          <w:sz w:val="22"/>
          <w:szCs w:val="22"/>
          <w:color w:val="auto"/>
        </w:rPr>
        <w:t>This Agreement shall be binding upon and inure to the benefit of the Parties and their respective permitted successors and permitted Transferees; provided, however, that this provision shall not be deemed to authorize the Transfer of any Shares or any interest therein or portion thereof, which may be accomplished only as expressly permitted pursuant to this Agreement.</w:t>
      </w:r>
    </w:p>
    <w:p>
      <w:pPr>
        <w:spacing w:after="0" w:line="22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w:t>
      </w:r>
    </w:p>
    <w:p>
      <w:pPr>
        <w:spacing w:after="0" w:line="266"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2"/>
          <w:szCs w:val="22"/>
          <w:color w:val="auto"/>
        </w:rPr>
        <w:t>This Agreement shall be governed by, and construed, interpreted and enforced in accordance with, the internal laws and not the laws pertaining to choice or conflicts of laws, of the MSAR. The Parties hereby submit to the exclusive jurisdiction of the courts of the MSAR in all actions relating to the construction, interpretation, or enforcement of this Agreement and all rights and obligations relating hereto.</w:t>
      </w:r>
    </w:p>
    <w:p>
      <w:pPr>
        <w:spacing w:after="0" w:line="22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u w:val="single" w:color="auto"/>
          <w:color w:val="auto"/>
        </w:rPr>
        <w:t>Modifications, Amendments, and Waivers</w:t>
      </w:r>
      <w:r>
        <w:rPr>
          <w:rFonts w:ascii="Arial" w:cs="Arial" w:eastAsia="Arial" w:hAnsi="Arial"/>
          <w:sz w:val="19"/>
          <w:szCs w:val="19"/>
          <w:b w:val="1"/>
          <w:bCs w:val="1"/>
          <w:color w:val="auto"/>
        </w:rPr>
        <w:t>.</w:t>
      </w:r>
    </w:p>
    <w:p>
      <w:pPr>
        <w:spacing w:after="0" w:line="266" w:lineRule="exact"/>
        <w:rPr>
          <w:sz w:val="20"/>
          <w:szCs w:val="20"/>
          <w:color w:val="auto"/>
        </w:rPr>
      </w:pPr>
    </w:p>
    <w:p>
      <w:pPr>
        <w:ind w:right="80" w:firstLine="1297"/>
        <w:spacing w:after="0" w:line="246" w:lineRule="auto"/>
        <w:rPr>
          <w:sz w:val="20"/>
          <w:szCs w:val="20"/>
          <w:color w:val="auto"/>
        </w:rPr>
      </w:pPr>
      <w:r>
        <w:rPr>
          <w:rFonts w:ascii="Arial" w:cs="Arial" w:eastAsia="Arial" w:hAnsi="Arial"/>
          <w:sz w:val="22"/>
          <w:szCs w:val="22"/>
          <w:color w:val="auto"/>
        </w:rPr>
        <w:t>No modification, amendment or waiver of any provision of this Agreement shall be effective unless it is in writing and signed by the Party to be charged. No failure by any Party to (a) object to or act upon any breach by any other Party of any provision of this Agreement, (b) insist upon strict performance of any of the terms or provisions of this Agreement, or (c)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10.5 may not be modified, amended or waived except in accordance with this Section 10.5.</w:t>
      </w:r>
    </w:p>
    <w:p>
      <w:pPr>
        <w:spacing w:after="0" w:line="23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Not for Benefit of Creditors</w:t>
      </w:r>
      <w:r>
        <w:rPr>
          <w:rFonts w:ascii="Arial" w:cs="Arial" w:eastAsia="Arial" w:hAnsi="Arial"/>
          <w:sz w:val="19"/>
          <w:szCs w:val="19"/>
          <w:b w:val="1"/>
          <w:bCs w:val="1"/>
          <w:color w:val="auto"/>
        </w:rPr>
        <w:t>.</w:t>
      </w:r>
    </w:p>
    <w:p>
      <w:pPr>
        <w:spacing w:after="0" w:line="266" w:lineRule="exact"/>
        <w:rPr>
          <w:sz w:val="20"/>
          <w:szCs w:val="20"/>
          <w:color w:val="auto"/>
        </w:rPr>
      </w:pPr>
    </w:p>
    <w:p>
      <w:pPr>
        <w:jc w:val="both"/>
        <w:ind w:right="840" w:firstLine="1297"/>
        <w:spacing w:after="0" w:line="263" w:lineRule="exact"/>
        <w:rPr>
          <w:sz w:val="20"/>
          <w:szCs w:val="20"/>
          <w:color w:val="auto"/>
        </w:rPr>
      </w:pPr>
      <w:r>
        <w:rPr>
          <w:rFonts w:ascii="Arial" w:cs="Arial" w:eastAsia="Arial" w:hAnsi="Arial"/>
          <w:sz w:val="22"/>
          <w:szCs w:val="22"/>
          <w:color w:val="auto"/>
        </w:rPr>
        <w:t>The provisions of this Agreement are intended only for the regulation of relations between the Parties. This Agreement is not intended for the benefit of non</w:t>
      </w:r>
      <w:r>
        <w:rPr>
          <w:rFonts w:ascii="MS PGothic" w:cs="MS PGothic" w:eastAsia="MS PGothic" w:hAnsi="MS PGothic"/>
          <w:sz w:val="22"/>
          <w:szCs w:val="22"/>
          <w:color w:val="auto"/>
        </w:rPr>
        <w:t>‑</w:t>
      </w:r>
      <w:r>
        <w:rPr>
          <w:rFonts w:ascii="Arial" w:cs="Arial" w:eastAsia="Arial" w:hAnsi="Arial"/>
          <w:sz w:val="22"/>
          <w:szCs w:val="22"/>
          <w:color w:val="auto"/>
        </w:rPr>
        <w:t>Party creditors and no rights are granted to non</w:t>
      </w:r>
      <w:r>
        <w:rPr>
          <w:rFonts w:ascii="MS PGothic" w:cs="MS PGothic" w:eastAsia="MS PGothic" w:hAnsi="MS PGothic"/>
          <w:sz w:val="22"/>
          <w:szCs w:val="22"/>
          <w:color w:val="auto"/>
        </w:rPr>
        <w:t>‑</w:t>
      </w:r>
      <w:r>
        <w:rPr>
          <w:rFonts w:ascii="Arial" w:cs="Arial" w:eastAsia="Arial" w:hAnsi="Arial"/>
          <w:sz w:val="22"/>
          <w:szCs w:val="22"/>
          <w:color w:val="auto"/>
        </w:rPr>
        <w:t>Party creditors under this Agreement.</w:t>
      </w:r>
    </w:p>
    <w:p>
      <w:pPr>
        <w:sectPr>
          <w:pgSz w:w="11900" w:h="16838" w:orient="portrait"/>
          <w:cols w:equalWidth="0" w:num="1">
            <w:col w:w="11420"/>
          </w:cols>
          <w:pgMar w:left="240" w:top="626" w:right="239" w:bottom="1440" w:gutter="0" w:footer="0" w:header="0"/>
        </w:sectPr>
      </w:pPr>
    </w:p>
    <w:bookmarkStart w:id="154" w:name="page155"/>
    <w:bookmarkEnd w:id="154"/>
    <w:p>
      <w:pPr>
        <w:ind w:left="1300"/>
        <w:spacing w:after="0"/>
        <w:tabs>
          <w:tab w:leader="none" w:pos="188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w:t>
      </w:r>
    </w:p>
    <w:p>
      <w:pPr>
        <w:spacing w:after="0" w:line="266" w:lineRule="exact"/>
        <w:rPr>
          <w:sz w:val="20"/>
          <w:szCs w:val="20"/>
          <w:color w:val="auto"/>
        </w:rPr>
      </w:pPr>
    </w:p>
    <w:p>
      <w:pPr>
        <w:ind w:right="560" w:firstLine="1297"/>
        <w:spacing w:after="0" w:line="263" w:lineRule="auto"/>
        <w:rPr>
          <w:sz w:val="20"/>
          <w:szCs w:val="20"/>
          <w:color w:val="auto"/>
        </w:rPr>
      </w:pPr>
      <w:r>
        <w:rPr>
          <w:rFonts w:ascii="Arial" w:cs="Arial" w:eastAsia="Arial" w:hAnsi="Arial"/>
          <w:sz w:val="22"/>
          <w:szCs w:val="22"/>
          <w:color w:val="auto"/>
        </w:rPr>
        <w:t>The time and exactitude of the performance of each of the terms, obligations, covenants and conditions of this Agreement are hereby declared and acknowledged by the Parties to be of the essence.</w:t>
      </w:r>
    </w:p>
    <w:p>
      <w:pPr>
        <w:spacing w:after="0" w:line="20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w:t>
      </w:r>
    </w:p>
    <w:p>
      <w:pPr>
        <w:spacing w:after="0" w:line="266"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auto"/>
        </w:rPr>
        <w:t>Wherever possible, each provision of this Agreement shall be interpreted in such a manner as to be valid, legal and effective and to 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23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19"/>
          <w:szCs w:val="19"/>
          <w:b w:val="1"/>
          <w:bCs w:val="1"/>
          <w:u w:val="single" w:color="auto"/>
          <w:color w:val="auto"/>
        </w:rPr>
        <w:t>Survival</w:t>
      </w:r>
      <w:r>
        <w:rPr>
          <w:rFonts w:ascii="Arial" w:cs="Arial" w:eastAsia="Arial" w:hAnsi="Arial"/>
          <w:sz w:val="19"/>
          <w:szCs w:val="19"/>
          <w:b w:val="1"/>
          <w:bCs w:val="1"/>
          <w:color w:val="auto"/>
        </w:rPr>
        <w:t>.</w:t>
      </w:r>
    </w:p>
    <w:p>
      <w:pPr>
        <w:spacing w:after="0" w:line="266" w:lineRule="exact"/>
        <w:rPr>
          <w:sz w:val="20"/>
          <w:szCs w:val="20"/>
          <w:color w:val="auto"/>
        </w:rPr>
      </w:pPr>
    </w:p>
    <w:p>
      <w:pPr>
        <w:ind w:right="60" w:firstLine="1297"/>
        <w:spacing w:after="0" w:line="263" w:lineRule="auto"/>
        <w:rPr>
          <w:sz w:val="20"/>
          <w:szCs w:val="20"/>
          <w:color w:val="auto"/>
        </w:rPr>
      </w:pPr>
      <w:r>
        <w:rPr>
          <w:rFonts w:ascii="Arial" w:cs="Arial" w:eastAsia="Arial" w:hAnsi="Arial"/>
          <w:sz w:val="21"/>
          <w:szCs w:val="21"/>
          <w:color w:val="auto"/>
        </w:rPr>
        <w:t>The provisions of Articles 5, 6, 7, 8 and 10 and all obligations to make or complete any payments due at the time of or as a result of any termination of this Agreement shall remain in full force and effect notwithstanding the termination of this Agreement (including the termination of this Agreement as to a Party hereto), the dissolution of any of the Parties, the cessation of the carrying on of the business by any of the Parties, and any investigation at any time made by or on behalf of any Party, and shall expire only upon the expiration of the applicable statute of limitations, if any.</w:t>
      </w:r>
    </w:p>
    <w:p>
      <w:pPr>
        <w:spacing w:after="0" w:line="21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b w:val="1"/>
          <w:bCs w:val="1"/>
          <w:color w:val="auto"/>
        </w:rPr>
        <w:t>10.10</w:t>
      </w:r>
      <w:r>
        <w:rPr>
          <w:sz w:val="20"/>
          <w:szCs w:val="20"/>
          <w:color w:val="auto"/>
        </w:rPr>
        <w:tab/>
      </w:r>
      <w:r>
        <w:rPr>
          <w:rFonts w:ascii="Arial" w:cs="Arial" w:eastAsia="Arial" w:hAnsi="Arial"/>
          <w:sz w:val="19"/>
          <w:szCs w:val="19"/>
          <w:b w:val="1"/>
          <w:bCs w:val="1"/>
          <w:u w:val="single" w:color="auto"/>
          <w:color w:val="auto"/>
        </w:rPr>
        <w:t>Specific Performance</w:t>
      </w:r>
      <w:r>
        <w:rPr>
          <w:rFonts w:ascii="Arial" w:cs="Arial" w:eastAsia="Arial" w:hAnsi="Arial"/>
          <w:sz w:val="19"/>
          <w:szCs w:val="19"/>
          <w:b w:val="1"/>
          <w:bCs w:val="1"/>
          <w:color w:val="auto"/>
        </w:rPr>
        <w:t>.</w:t>
      </w:r>
    </w:p>
    <w:p>
      <w:pPr>
        <w:spacing w:after="0" w:line="266" w:lineRule="exact"/>
        <w:rPr>
          <w:sz w:val="20"/>
          <w:szCs w:val="20"/>
          <w:color w:val="auto"/>
        </w:rPr>
      </w:pPr>
    </w:p>
    <w:p>
      <w:pPr>
        <w:jc w:val="both"/>
        <w:ind w:right="60" w:firstLine="1297"/>
        <w:spacing w:after="0" w:line="263" w:lineRule="auto"/>
        <w:rPr>
          <w:sz w:val="20"/>
          <w:szCs w:val="20"/>
          <w:color w:val="auto"/>
        </w:rPr>
      </w:pPr>
      <w:r>
        <w:rPr>
          <w:rFonts w:ascii="Arial" w:cs="Arial" w:eastAsia="Arial" w:hAnsi="Arial"/>
          <w:sz w:val="21"/>
          <w:szCs w:val="21"/>
          <w:color w:val="auto"/>
        </w:rPr>
        <w:t>The Parties agree that it is impossible to measure in money the damages that would accrue to a Party by reason of a failure of the other to perform any of its obligations under this Agreement. Therefore, if any Party shall institute any action, claim or legal proceeding to enforce the provisions of this Agreement, any Party against whom such action, claim or legal proceeding is brought hereby waives the claim or defense that such Party has an adequate remedy at law and this Agreement may be enforced by injunction or other equitable relief ordered by any court of competent jurisdiction.</w:t>
      </w:r>
    </w:p>
    <w:p>
      <w:pPr>
        <w:spacing w:after="0" w:line="21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b w:val="1"/>
          <w:bCs w:val="1"/>
          <w:color w:val="auto"/>
        </w:rPr>
        <w:t>10.11</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w:t>
      </w:r>
    </w:p>
    <w:p>
      <w:pPr>
        <w:spacing w:after="0" w:line="266" w:lineRule="exact"/>
        <w:rPr>
          <w:sz w:val="20"/>
          <w:szCs w:val="20"/>
          <w:color w:val="auto"/>
        </w:rPr>
      </w:pPr>
    </w:p>
    <w:p>
      <w:pPr>
        <w:ind w:right="340" w:firstLine="1297"/>
        <w:spacing w:after="0" w:line="302" w:lineRule="auto"/>
        <w:rPr>
          <w:sz w:val="20"/>
          <w:szCs w:val="20"/>
          <w:color w:val="auto"/>
        </w:rPr>
      </w:pPr>
      <w:r>
        <w:rPr>
          <w:rFonts w:ascii="Arial" w:cs="Arial" w:eastAsia="Arial" w:hAnsi="Arial"/>
          <w:sz w:val="19"/>
          <w:szCs w:val="19"/>
          <w:color w:val="auto"/>
        </w:rPr>
        <w:t>This Agreement, including the Exhibits attached hereto and incorporated herein, constitutes the entire agreement among the Parties relating to the matters contained 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17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b w:val="1"/>
          <w:bCs w:val="1"/>
          <w:color w:val="auto"/>
        </w:rPr>
        <w:t>10.12</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This Agreement may be executed in multiple counterparts, each of which will be deemed to be an original, but all of which together constitute one (1) and the same instrument.</w:t>
      </w:r>
    </w:p>
    <w:p>
      <w:pPr>
        <w:sectPr>
          <w:pgSz w:w="11900" w:h="16838" w:orient="portrait"/>
          <w:cols w:equalWidth="0" w:num="1">
            <w:col w:w="11380"/>
          </w:cols>
          <w:pgMar w:left="240" w:top="6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380"/>
          </w:cols>
          <w:pgMar w:left="240" w:top="625" w:right="279" w:bottom="1440" w:gutter="0" w:footer="0" w:header="0"/>
          <w:type w:val="continuous"/>
        </w:sectPr>
      </w:pPr>
    </w:p>
    <w:bookmarkStart w:id="155" w:name="page156"/>
    <w:bookmarkEnd w:id="155"/>
    <w:p>
      <w:pPr>
        <w:ind w:left="1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each of the Parties has caused this Agreement to be executed on the Effective Date.</w:t>
      </w:r>
    </w:p>
    <w:p>
      <w:pPr>
        <w:spacing w:after="0" w:line="200" w:lineRule="exact"/>
        <w:rPr>
          <w:sz w:val="20"/>
          <w:szCs w:val="20"/>
          <w:color w:val="auto"/>
        </w:rPr>
      </w:pPr>
    </w:p>
    <w:p>
      <w:pPr>
        <w:spacing w:after="0" w:line="351" w:lineRule="exact"/>
        <w:rPr>
          <w:sz w:val="20"/>
          <w:szCs w:val="20"/>
          <w:color w:val="auto"/>
        </w:rPr>
      </w:pPr>
    </w:p>
    <w:p>
      <w:pPr>
        <w:ind w:left="3340" w:right="400" w:firstLine="648"/>
        <w:spacing w:after="0" w:line="269" w:lineRule="auto"/>
        <w:rPr>
          <w:sz w:val="20"/>
          <w:szCs w:val="20"/>
          <w:color w:val="auto"/>
        </w:rPr>
      </w:pPr>
      <w:r>
        <w:rPr>
          <w:rFonts w:ascii="Arial" w:cs="Arial" w:eastAsia="Arial" w:hAnsi="Arial"/>
          <w:sz w:val="22"/>
          <w:szCs w:val="22"/>
          <w:color w:val="auto"/>
        </w:rPr>
        <w:t xml:space="preserve">For an on behalf of </w:t>
      </w:r>
      <w:r>
        <w:rPr>
          <w:rFonts w:ascii="Arial" w:cs="Arial" w:eastAsia="Arial" w:hAnsi="Arial"/>
          <w:sz w:val="22"/>
          <w:szCs w:val="22"/>
          <w:b w:val="1"/>
          <w:bCs w:val="1"/>
          <w:color w:val="auto"/>
        </w:rPr>
        <w:t>WYNN RESORTS (MACAU) S.A.</w:t>
      </w:r>
      <w:r>
        <w:rPr>
          <w:rFonts w:ascii="Arial" w:cs="Arial" w:eastAsia="Arial" w:hAnsi="Arial"/>
          <w:sz w:val="22"/>
          <w:szCs w:val="22"/>
          <w:color w:val="auto"/>
        </w:rPr>
        <w:t>, a Macau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-17780</wp:posOffset>
            </wp:positionV>
            <wp:extent cx="1174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Jason M. Schall</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93" w:lineRule="exact"/>
        <w:rPr>
          <w:sz w:val="20"/>
          <w:szCs w:val="20"/>
          <w:color w:val="auto"/>
        </w:rPr>
      </w:pPr>
    </w:p>
    <w:p>
      <w:pPr>
        <w:ind w:left="3340" w:right="420" w:firstLine="648"/>
        <w:spacing w:after="0" w:line="269" w:lineRule="auto"/>
        <w:rPr>
          <w:sz w:val="20"/>
          <w:szCs w:val="20"/>
          <w:color w:val="auto"/>
        </w:rPr>
      </w:pPr>
      <w:r>
        <w:rPr>
          <w:rFonts w:ascii="Arial" w:cs="Arial" w:eastAsia="Arial" w:hAnsi="Arial"/>
          <w:sz w:val="22"/>
          <w:szCs w:val="22"/>
          <w:color w:val="auto"/>
        </w:rPr>
        <w:t xml:space="preserve">For an on behalf of </w:t>
      </w:r>
      <w:r>
        <w:rPr>
          <w:rFonts w:ascii="Arial" w:cs="Arial" w:eastAsia="Arial" w:hAnsi="Arial"/>
          <w:sz w:val="22"/>
          <w:szCs w:val="22"/>
          <w:b w:val="1"/>
          <w:bCs w:val="1"/>
          <w:color w:val="auto"/>
        </w:rPr>
        <w:t>WYNN RESORTS (MACAU), LIMITED</w:t>
      </w:r>
      <w:r>
        <w:rPr>
          <w:rFonts w:ascii="Arial" w:cs="Arial" w:eastAsia="Arial" w:hAnsi="Arial"/>
          <w:sz w:val="22"/>
          <w:szCs w:val="22"/>
          <w:color w:val="auto"/>
        </w:rPr>
        <w:t>, a Hong Kong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-17780</wp:posOffset>
            </wp:positionV>
            <wp:extent cx="11741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Jason M. Schall</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Authorized</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Signatory</w:t>
      </w:r>
    </w:p>
    <w:p>
      <w:pPr>
        <w:spacing w:after="0" w:line="236" w:lineRule="exact"/>
        <w:rPr>
          <w:sz w:val="20"/>
          <w:szCs w:val="20"/>
          <w:color w:val="auto"/>
        </w:rPr>
      </w:pPr>
    </w:p>
    <w:p>
      <w:pPr>
        <w:ind w:left="3340" w:right="80" w:firstLine="648"/>
        <w:spacing w:after="0" w:line="269" w:lineRule="auto"/>
        <w:rPr>
          <w:sz w:val="20"/>
          <w:szCs w:val="20"/>
          <w:color w:val="auto"/>
        </w:rPr>
      </w:pPr>
      <w:r>
        <w:rPr>
          <w:rFonts w:ascii="Arial" w:cs="Arial" w:eastAsia="Arial" w:hAnsi="Arial"/>
          <w:sz w:val="22"/>
          <w:szCs w:val="22"/>
          <w:color w:val="auto"/>
        </w:rPr>
        <w:t xml:space="preserve">For and on behalf of </w:t>
      </w:r>
      <w:r>
        <w:rPr>
          <w:rFonts w:ascii="Arial" w:cs="Arial" w:eastAsia="Arial" w:hAnsi="Arial"/>
          <w:sz w:val="22"/>
          <w:szCs w:val="22"/>
          <w:b w:val="1"/>
          <w:bCs w:val="1"/>
          <w:color w:val="auto"/>
        </w:rPr>
        <w:t>WYNN RESORTS INTERNATIONAL, LTD.</w:t>
      </w:r>
      <w:r>
        <w:rPr>
          <w:rFonts w:ascii="Arial" w:cs="Arial" w:eastAsia="Arial" w:hAnsi="Arial"/>
          <w:sz w:val="22"/>
          <w:szCs w:val="22"/>
          <w:color w:val="auto"/>
        </w:rPr>
        <w:t>, an Isle of Man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-17780</wp:posOffset>
            </wp:positionV>
            <wp:extent cx="1174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40" w:lineRule="exact"/>
        <w:rPr>
          <w:sz w:val="20"/>
          <w:szCs w:val="20"/>
          <w:color w:val="auto"/>
        </w:rPr>
      </w:pPr>
    </w:p>
    <w:p>
      <w:pPr>
        <w:ind w:left="9180"/>
        <w:spacing w:after="0"/>
        <w:rPr>
          <w:sz w:val="20"/>
          <w:szCs w:val="20"/>
          <w:color w:val="auto"/>
        </w:rPr>
      </w:pPr>
      <w:r>
        <w:rPr>
          <w:rFonts w:ascii="Arial" w:cs="Arial" w:eastAsia="Arial" w:hAnsi="Arial"/>
          <w:sz w:val="22"/>
          <w:szCs w:val="22"/>
          <w:color w:val="auto"/>
        </w:rPr>
        <w:t>Jason M.</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Schall</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Authorized</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Attorney</w:t>
      </w:r>
    </w:p>
    <w:p>
      <w:pPr>
        <w:spacing w:after="0" w:line="23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CHEN CHIH LING LINDA</w:t>
      </w:r>
    </w:p>
    <w:p>
      <w:pPr>
        <w:spacing w:after="0" w:line="200" w:lineRule="exact"/>
        <w:rPr>
          <w:sz w:val="20"/>
          <w:szCs w:val="20"/>
          <w:color w:val="auto"/>
        </w:rPr>
      </w:pPr>
    </w:p>
    <w:p>
      <w:pPr>
        <w:spacing w:after="0" w:line="32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 Chen Chih Ling Linda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-17780</wp:posOffset>
            </wp:positionV>
            <wp:extent cx="1539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6">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2"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CHEN CHIH LING LINDA</w:t>
      </w:r>
      <w:r>
        <w:rPr>
          <w:rFonts w:ascii="Arial" w:cs="Arial" w:eastAsia="Arial" w:hAnsi="Arial"/>
          <w:sz w:val="22"/>
          <w:szCs w:val="22"/>
          <w:color w:val="auto"/>
        </w:rPr>
        <w:t>, an individual</w:t>
      </w:r>
    </w:p>
    <w:p>
      <w:pPr>
        <w:sectPr>
          <w:pgSz w:w="11900" w:h="16838" w:orient="portrait"/>
          <w:cols w:equalWidth="0" w:num="1">
            <w:col w:w="10160"/>
          </w:cols>
          <w:pgMar w:left="1440" w:top="625" w:right="29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Hanger,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98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127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Gardner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Mystic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Scott Place,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Thompson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Thorndike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Broadway,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Everett Broadway, LLC (a Massachusetts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Indonesia Marketing,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International Marketing, Ltd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 Insurance,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IV, LLC</w:t>
      </w:r>
    </w:p>
    <w:p>
      <w:pPr>
        <w:sectPr>
          <w:pgSz w:w="11900" w:h="16838" w:orient="portrait"/>
          <w:cols w:equalWidth="0" w:num="1">
            <w:col w:w="11420"/>
          </w:cols>
          <w:pgMar w:left="240" w:top="738"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Wynn Design &amp;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Energy,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Macau, Limited (a Cayman Islands company and a 72% owned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WML Corp. Ltd. (a Cayman Islands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WML Finance I Limited (a Cayman Islands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IOM Holdco II,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Palo Marketing Services Limited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Plaza,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Plaza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Plaza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 America,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Everett Property, LLC (a Massachusetts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Wynn Las Vegas Holdings,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WLV Events,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Retail,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Wynn/CA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Wynn/CA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Social Gaming,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subsidiaries are formed in the State of Nevada and wholly owned unless otherwise specifically identified.</w:t>
      </w:r>
    </w:p>
    <w:p>
      <w:pPr>
        <w:sectPr>
          <w:pgSz w:w="11900" w:h="16838" w:orient="portrait"/>
          <w:cols w:equalWidth="0" w:num="1">
            <w:col w:w="10219"/>
          </w:cols>
          <w:pgMar w:left="240" w:top="584"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Registration Statements No. 333-196113, No. 333-168323 and No. 333-100891 on Form S-8 pertaining to the securities to be offered to employees in benefit plans of Wynn Resorts, Limited and Registration Statement No. 333-214505 on Form S-3 of Wynn Resorts, Limited of our reports dated February 28, 2018 with respect to the consolidated financial statements and schedule of Wynn Resorts, Limited and the effectiveness of internal control over financial reporting of Wynn Resorts, Limited, included in this Annual Report on Form 10-K for the year ended December 31, 2017.</w:t>
      </w:r>
    </w:p>
    <w:p>
      <w:pPr>
        <w:spacing w:after="0" w:line="200" w:lineRule="exact"/>
        <w:rPr>
          <w:sz w:val="20"/>
          <w:szCs w:val="20"/>
          <w:color w:val="auto"/>
        </w:rPr>
      </w:pPr>
    </w:p>
    <w:p>
      <w:pPr>
        <w:spacing w:after="0" w:line="360"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2018</w:t>
      </w:r>
    </w:p>
    <w:p>
      <w:pPr>
        <w:sectPr>
          <w:pgSz w:w="11900" w:h="16838" w:orient="portrait"/>
          <w:cols w:equalWidth="0" w:num="1">
            <w:col w:w="11420"/>
          </w:cols>
          <w:pgMar w:left="240" w:top="57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63" w:lineRule="exact"/>
        <w:rPr>
          <w:sz w:val="20"/>
          <w:szCs w:val="20"/>
          <w:color w:val="auto"/>
        </w:rPr>
      </w:pPr>
    </w:p>
    <w:p>
      <w:pPr>
        <w:ind w:left="980" w:hanging="972"/>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1334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7">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77" w:lineRule="auto"/>
        <w:tabs>
          <w:tab w:leader="none" w:pos="19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187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8">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color w:val="auto"/>
        </w:rPr>
        <w:t>Exhibit 32</w:t>
      </w:r>
    </w:p>
    <w:p>
      <w:pPr>
        <w:spacing w:after="0" w:line="16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2017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980" w:hanging="97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780" w:hanging="972"/>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 Maddox</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Chief Executive Officer and President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28,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Craig S. Billings</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Chief Financial Officer and Treasurer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lowerRoman"/>
      <w:start w:val="2"/>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emdash "/>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3"/>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32"/>
    </w:lvl>
  </w:abstractNum>
  <w:abstractNum w:abstractNumId="43">
    <w:nsid w:val="4F4EF005"/>
    <w:multiLevelType w:val="hybridMultilevel"/>
    <w:lvl w:ilvl="0">
      <w:lvlJc w:val="left"/>
      <w:lvlText w:val="*"/>
      <w:numFmt w:val="bullet"/>
      <w:start w:val="1"/>
    </w:lvl>
    <w:lvl w:ilvl="1">
      <w:lvlJc w:val="left"/>
      <w:lvlText w:val="(%2)"/>
      <w:numFmt w:val="lowerRoman"/>
      <w:start w:val="2"/>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A"/>
      <w:numFmt w:val="bullet"/>
      <w:start w:val="1"/>
    </w:lvl>
  </w:abstractNum>
  <w:abstractNum w:abstractNumId="46">
    <w:nsid w:val="275AC794"/>
    <w:multiLevelType w:val="hybridMultilevel"/>
    <w:lvl w:ilvl="0">
      <w:lvlJc w:val="left"/>
      <w:lvlText w:val="B"/>
      <w:numFmt w:val="bullet"/>
      <w:start w:val="1"/>
    </w:lvl>
  </w:abstractNum>
  <w:abstractNum w:abstractNumId="47">
    <w:nsid w:val="39386575"/>
    <w:multiLevelType w:val="hybridMultilevel"/>
    <w:lvl w:ilvl="0">
      <w:lvlJc w:val="left"/>
      <w:lvlText w:val="C"/>
      <w:numFmt w:val="bullet"/>
      <w:start w:val="1"/>
    </w:lvl>
  </w:abstractNum>
  <w:abstractNum w:abstractNumId="48">
    <w:nsid w:val="1CF10FD8"/>
    <w:multiLevelType w:val="hybridMultilevel"/>
    <w:lvl w:ilvl="0">
      <w:lvlJc w:val="left"/>
      <w:lvlText w:val="%1."/>
      <w:numFmt w:val="upperLetter"/>
      <w:start w:val="1"/>
    </w:lvl>
  </w:abstractNum>
  <w:abstractNum w:abstractNumId="49">
    <w:nsid w:val="180115BE"/>
    <w:multiLevelType w:val="hybridMultilevel"/>
    <w:lvl w:ilvl="0">
      <w:lvlJc w:val="left"/>
      <w:lvlText w:val="%1."/>
      <w:numFmt w:val="upperLetter"/>
      <w:start w:val="6"/>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lvl w:ilvl="1">
      <w:lvlJc w:val="left"/>
      <w:lvlText w:val="(%2)"/>
      <w:numFmt w:val="lowerLetter"/>
      <w:start w:val="2"/>
    </w:lvl>
  </w:abstractNum>
  <w:abstractNum w:abstractNumId="54">
    <w:nsid w:val="741226BB"/>
    <w:multiLevelType w:val="hybridMultilevel"/>
    <w:lvl w:ilvl="0">
      <w:lvlJc w:val="left"/>
      <w:lvlText w:val="(%1)"/>
      <w:numFmt w:val="lowerLetter"/>
      <w:start w:val="9"/>
    </w:lvl>
    <w:lvl w:ilvl="1">
      <w:lvlJc w:val="left"/>
      <w:lvlText w:val="(%2)"/>
      <w:numFmt w:val="lowerLetter"/>
      <w:start w:val="4"/>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6"/>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4"/>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Letter"/>
      <w:start w:val="5"/>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142" Type="http://schemas.openxmlformats.org/officeDocument/2006/relationships/image" Target="media/image55.png"/><Relationship Id="rId143" Type="http://schemas.openxmlformats.org/officeDocument/2006/relationships/image" Target="media/image56.png"/><Relationship Id="rId144" Type="http://schemas.openxmlformats.org/officeDocument/2006/relationships/image" Target="media/image57.png"/><Relationship Id="rId145" Type="http://schemas.openxmlformats.org/officeDocument/2006/relationships/image" Target="media/image58.png"/><Relationship Id="rId146" Type="http://schemas.openxmlformats.org/officeDocument/2006/relationships/image" Target="media/image59.png"/><Relationship Id="rId147" Type="http://schemas.openxmlformats.org/officeDocument/2006/relationships/image" Target="media/image60.png"/><Relationship Id="rId148" Type="http://schemas.openxmlformats.org/officeDocument/2006/relationships/image" Target="media/image61.png"/><Relationship Id="rId149" Type="http://schemas.openxmlformats.org/officeDocument/2006/relationships/image" Target="media/image62.png"/><Relationship Id="rId150" Type="http://schemas.openxmlformats.org/officeDocument/2006/relationships/image" Target="media/image63.png"/><Relationship Id="rId62" Type="http://schemas.openxmlformats.org/officeDocument/2006/relationships/hyperlink" Target="http://www.sec.gov/Archives/edgar/data/1174922/000117492215000044/ex-31.htm" TargetMode="External"/><Relationship Id="rId63" Type="http://schemas.openxmlformats.org/officeDocument/2006/relationships/hyperlink" Target="http://www.sec.gov/Archives/edgar/data/1174922/000117492215000106/ex-32.htm" TargetMode="External"/><Relationship Id="rId64" Type="http://schemas.openxmlformats.org/officeDocument/2006/relationships/hyperlink" Target="http://www.sec.gov/Archives/edgar/data/1174922/000091205702037826/a2089719zex-4_1.htm" TargetMode="External"/><Relationship Id="rId65" Type="http://schemas.openxmlformats.org/officeDocument/2006/relationships/hyperlink" Target="http://www.sec.gov/Archives/edgar/data/1174922/000119312512112261/d314198dex41.htm" TargetMode="External"/><Relationship Id="rId66" Type="http://schemas.openxmlformats.org/officeDocument/2006/relationships/hyperlink" Target="http://www.sec.gov/Archives/edgar/data/1174922/000119312513231532/d542917dex41.htm" TargetMode="External"/><Relationship Id="rId67" Type="http://schemas.openxmlformats.org/officeDocument/2006/relationships/hyperlink" Target="http://www.sec.gov/Archives/edgar/data/1174922/000117492215000017/ex41-indenture.htm" TargetMode="External"/><Relationship Id="rId68" Type="http://schemas.openxmlformats.org/officeDocument/2006/relationships/hyperlink" Target="http://www.sec.gov/Archives/edgar/data/1174922/000117492215000021/ex49-supplementalindenture.htm" TargetMode="External"/><Relationship Id="rId69" Type="http://schemas.openxmlformats.org/officeDocument/2006/relationships/hyperlink" Target="http://www.sec.gov/Archives/edgar/data/1174922/000117492215000021/ex410-supplementalindentur.htm" TargetMode="External"/><Relationship Id="rId70" Type="http://schemas.openxmlformats.org/officeDocument/2006/relationships/hyperlink" Target="http://www.sec.gov/Archives/edgar/data/1174922/000117492217000107/ex41x8k51117.htm" TargetMode="External"/><Relationship Id="rId71" Type="http://schemas.openxmlformats.org/officeDocument/2006/relationships/hyperlink" Target="http://www.sec.gov/Archives/edgar/data/1174922/000117492217000177/ex10x3-20170930.htm" TargetMode="External"/><Relationship Id="rId72" Type="http://schemas.openxmlformats.org/officeDocument/2006/relationships/hyperlink" Target="http://www.sec.gov/Archives/edgar/data/1174922/000117492217000177/ex10x4-20170930.htm" TargetMode="External"/><Relationship Id="rId73" Type="http://schemas.openxmlformats.org/officeDocument/2006/relationships/hyperlink" Target="http://www.sec.gov/Archives/edgar/data/1174922/000091205702037826/a2089719zex-10_46.htm" TargetMode="External"/><Relationship Id="rId74" Type="http://schemas.openxmlformats.org/officeDocument/2006/relationships/hyperlink" Target="http://www.sec.gov/Archives/edgar/data/1174922/000119312504186496/dex106.htm" TargetMode="External"/><Relationship Id="rId75" Type="http://schemas.openxmlformats.org/officeDocument/2006/relationships/hyperlink" Target="http://www.sec.gov/Archives/edgar/data/1174922/000119312507044367/dex10104.htm" TargetMode="External"/><Relationship Id="rId76" Type="http://schemas.openxmlformats.org/officeDocument/2006/relationships/hyperlink" Target="http://www.sec.gov/Archives/edgar/data/1174922/000134100408002101/ex10.htm" TargetMode="External"/><Relationship Id="rId77" Type="http://schemas.openxmlformats.org/officeDocument/2006/relationships/hyperlink" Target="http://www.sec.gov/Archives/edgar/data/1174922/000119312509041408/dex106.htm" TargetMode="External"/><Relationship Id="rId78" Type="http://schemas.openxmlformats.org/officeDocument/2006/relationships/hyperlink" Target="http://www.sec.gov/Archives/edgar/data/1174922/000119312509107226/dex101.htm" TargetMode="External"/><Relationship Id="rId79" Type="http://schemas.openxmlformats.org/officeDocument/2006/relationships/hyperlink" Target="http://www.sec.gov/Archives/edgar/data/1174922/000134100411000608/exh10-1.htm" TargetMode="External"/><Relationship Id="rId80" Type="http://schemas.openxmlformats.org/officeDocument/2006/relationships/hyperlink" Target="http://www.sec.gov/Archives/edgar/data/1174922/000117492215000021/ex10117-seventhamendmentto.htm" TargetMode="External"/><Relationship Id="rId81" Type="http://schemas.openxmlformats.org/officeDocument/2006/relationships/hyperlink" Target="http://www.sec.gov/Archives/edgar/data/1174922/000117492217000098/ex101.htm" TargetMode="External"/><Relationship Id="rId82" Type="http://schemas.openxmlformats.org/officeDocument/2006/relationships/hyperlink" Target="http://www.sec.gov/Archives/edgar/data/1174922/000119312510043336/dex1024.htm" TargetMode="External"/><Relationship Id="rId83" Type="http://schemas.openxmlformats.org/officeDocument/2006/relationships/hyperlink" Target="http://www.sec.gov/Archives/edgar/data/1174922/000119312510043336/dex1025.htm" TargetMode="External"/><Relationship Id="rId84" Type="http://schemas.openxmlformats.org/officeDocument/2006/relationships/hyperlink" Target="http://www.sec.gov/Archives/edgar/data/1174922/000119312510043336/dex1026.htm" TargetMode="External"/><Relationship Id="rId85" Type="http://schemas.openxmlformats.org/officeDocument/2006/relationships/hyperlink" Target="http://www.sec.gov/Archives/edgar/data/1174922/000119312510043336/dex1027.htm" TargetMode="External"/><Relationship Id="rId86" Type="http://schemas.openxmlformats.org/officeDocument/2006/relationships/hyperlink" Target="http://www.sec.gov/Archives/edgar/data/1174922/000117492214000025/wrl-20140630xexx101.htm" TargetMode="External"/><Relationship Id="rId87" Type="http://schemas.openxmlformats.org/officeDocument/2006/relationships/hyperlink" Target="http://www.sec.gov/Archives/edgar/data/1174922/000117492215000064/ex-101ksinatraea.htm" TargetMode="External"/><Relationship Id="rId88" Type="http://schemas.openxmlformats.org/officeDocument/2006/relationships/hyperlink" Target="http://www.sec.gov/Archives/edgar/data/1174922/000117492217000098/ex102.htm" TargetMode="External"/><Relationship Id="rId89" Type="http://schemas.openxmlformats.org/officeDocument/2006/relationships/hyperlink" Target="http://www.sec.gov/Archives/edgar/data/1174922/000119312514077632/d644551dex10160.htm" TargetMode="External"/><Relationship Id="rId90" Type="http://schemas.openxmlformats.org/officeDocument/2006/relationships/hyperlink" Target="http://www.sec.gov/Archives/edgar/data/1174922/000119312514077632/d644551dex10161.htm" TargetMode="External"/><Relationship Id="rId91" Type="http://schemas.openxmlformats.org/officeDocument/2006/relationships/hyperlink" Target="http://www.sec.gov/Archives/edgar/data/1174922/000119312514077632/d644551dex10162.htm" TargetMode="External"/><Relationship Id="rId92" Type="http://schemas.openxmlformats.org/officeDocument/2006/relationships/hyperlink" Target="http://www.sec.gov/Archives/edgar/data/1174922/000119312514077632/d644551dex10163.htm" TargetMode="External"/><Relationship Id="rId93" Type="http://schemas.openxmlformats.org/officeDocument/2006/relationships/hyperlink" Target="http://www.sec.gov/Archives/edgar/data/1174922/000119312514077632/d644551dex10164.htm" TargetMode="External"/><Relationship Id="rId94" Type="http://schemas.openxmlformats.org/officeDocument/2006/relationships/hyperlink" Target="http://www.sec.gov/Archives/edgar/data/1174922/000119312514077632/d644551dex10165.htm" TargetMode="External"/><Relationship Id="rId95" Type="http://schemas.openxmlformats.org/officeDocument/2006/relationships/hyperlink" Target="http://www.sec.gov/Archives/edgar/data/1174922/000119312514077632/d644551dex10166.htm" TargetMode="External"/><Relationship Id="rId96" Type="http://schemas.openxmlformats.org/officeDocument/2006/relationships/hyperlink" Target="http://www.sec.gov/Archives/edgar/data/1174922/000117492214000025/wrl-20140630xexx102.htm" TargetMode="External"/><Relationship Id="rId97" Type="http://schemas.openxmlformats.org/officeDocument/2006/relationships/hyperlink" Target="http://www.sec.gov/Archives/edgar/data/1174922/000117492214000025/wrl-20140630xexx103.htm" TargetMode="External"/><Relationship Id="rId98" Type="http://schemas.openxmlformats.org/officeDocument/2006/relationships/hyperlink" Target="http://www.sec.gov/Archives/edgar/data/1174922/000117492215000021/ex10162-scooteyamendedempl.htm" TargetMode="External"/><Relationship Id="rId99" Type="http://schemas.openxmlformats.org/officeDocument/2006/relationships/hyperlink" Target="http://www.sec.gov/Archives/edgar/data/1174922/000117492217000098/ex104.htm" TargetMode="External"/><Relationship Id="rId100" Type="http://schemas.openxmlformats.org/officeDocument/2006/relationships/hyperlink" Target="http://www.sec.gov/Archives/edgar/data/1174922/000117492217000098/ex103.htm" TargetMode="External"/><Relationship Id="rId101" Type="http://schemas.openxmlformats.org/officeDocument/2006/relationships/hyperlink" Target="http://www.sec.gov/Archives/edgar/data/1174922/000117492217000027/ex1021.htm" TargetMode="External"/><Relationship Id="rId102" Type="http://schemas.openxmlformats.org/officeDocument/2006/relationships/hyperlink" Target="http://www.sec.gov/Archives/edgar/data/1174922/000134100410000026/wynn_ex10-1.htm" TargetMode="External"/><Relationship Id="rId103" Type="http://schemas.openxmlformats.org/officeDocument/2006/relationships/hyperlink" Target="http://www.sec.gov/Archives/edgar/data/1174922/000134100410001957/ex10-1.htm" TargetMode="External"/><Relationship Id="rId104" Type="http://schemas.openxmlformats.org/officeDocument/2006/relationships/hyperlink" Target="http://www.sec.gov/Archives/edgar/data/1174922/000134100410002066/ex10-1.htm" TargetMode="External"/><Relationship Id="rId105" Type="http://schemas.openxmlformats.org/officeDocument/2006/relationships/hyperlink" Target="http://www.sec.gov/Archives/edgar/data/1174922/000091205702032887/a2085104zex-10_24.htm" TargetMode="External"/><Relationship Id="rId106" Type="http://schemas.openxmlformats.org/officeDocument/2006/relationships/hyperlink" Target="http://www.sec.gov/Archives/edgar/data/1174922/000091205702035839/a2088833zex-10_27.htm" TargetMode="External"/><Relationship Id="rId107" Type="http://schemas.openxmlformats.org/officeDocument/2006/relationships/hyperlink" Target="http://www.sec.gov/Archives/edgar/data/1174922/000119312504130300/dex108.htm" TargetMode="External"/><Relationship Id="rId108" Type="http://schemas.openxmlformats.org/officeDocument/2006/relationships/hyperlink" Target="http://www.sec.gov/Archives/edgar/data/1174922/000119312512203005/d342364dex101.htm" TargetMode="External"/><Relationship Id="rId109" Type="http://schemas.openxmlformats.org/officeDocument/2006/relationships/hyperlink" Target="http://www.sec.gov/Archives/edgar/data/1174922/000119312504186496/dex1030.htm" TargetMode="External"/><Relationship Id="rId110" Type="http://schemas.openxmlformats.org/officeDocument/2006/relationships/hyperlink" Target="http://www.sec.gov/Archives/edgar/data/1174922/000119312504186496/dex102.htm" TargetMode="External"/><Relationship Id="rId111" Type="http://schemas.openxmlformats.org/officeDocument/2006/relationships/hyperlink" Target="http://www.sec.gov/Archives/edgar/data/1174922/000119312504186496/dex103.htm" TargetMode="External"/><Relationship Id="rId112" Type="http://schemas.openxmlformats.org/officeDocument/2006/relationships/hyperlink" Target="http://www.sec.gov/Archives/edgar/data/1174922/000119312505051268/dex10108.htm" TargetMode="External"/><Relationship Id="rId113" Type="http://schemas.openxmlformats.org/officeDocument/2006/relationships/hyperlink" Target="http://www.sec.gov/Archives/edgar/data/1174922/000117492215000021/ex10113-intellectualproper.htm" TargetMode="External"/><Relationship Id="rId114" Type="http://schemas.openxmlformats.org/officeDocument/2006/relationships/hyperlink" Target="http://www.sec.gov/Archives/edgar/data/1174922/000117492215000021/ex10114-amendedandrestated.htm" TargetMode="External"/><Relationship Id="rId115" Type="http://schemas.openxmlformats.org/officeDocument/2006/relationships/hyperlink" Target="http://www.sec.gov/Archives/edgar/data/1174922/000117492215000044/ex-108.htm" TargetMode="External"/><Relationship Id="rId116" Type="http://schemas.openxmlformats.org/officeDocument/2006/relationships/hyperlink" Target="http://www.sec.gov/Archives/edgar/data/1174922/000117492216000144/ex10524.htm" TargetMode="External"/><Relationship Id="rId117" Type="http://schemas.openxmlformats.org/officeDocument/2006/relationships/hyperlink" Target="http://www.sec.gov/Archives/edgar/data/1174922/000117492215000106/ex-101.htm" TargetMode="External"/><Relationship Id="rId118" Type="http://schemas.openxmlformats.org/officeDocument/2006/relationships/hyperlink" Target="http://www.sec.gov/Archives/edgar/data/1174922/000117492215000106/ex-102.htm" TargetMode="External"/><Relationship Id="rId119" Type="http://schemas.openxmlformats.org/officeDocument/2006/relationships/hyperlink" Target="http://www.sec.gov/Archives/edgar/data/1174922/000117492215000106/ex-103.htm" TargetMode="External"/><Relationship Id="rId120" Type="http://schemas.openxmlformats.org/officeDocument/2006/relationships/hyperlink" Target="http://www.sec.gov/Archives/edgar/data/1174922/000119312504186496/dex1026.htm" TargetMode="External"/><Relationship Id="rId121" Type="http://schemas.openxmlformats.org/officeDocument/2006/relationships/hyperlink" Target="http://www.sec.gov/Archives/edgar/data/1174922/000117492217000027/ex1083.htm" TargetMode="External"/><Relationship Id="rId122" Type="http://schemas.openxmlformats.org/officeDocument/2006/relationships/hyperlink" Target="http://www.sec.gov/Archives/edgar/data/1174922/000119312512463380/d411552dex104.htm" TargetMode="External"/><Relationship Id="rId123" Type="http://schemas.openxmlformats.org/officeDocument/2006/relationships/hyperlink" Target="http://www.sec.gov/Archives/edgar/data/1174922/000117492215000021/ex10914-aircrafttimesharin.htm" TargetMode="External"/><Relationship Id="rId124" Type="http://schemas.openxmlformats.org/officeDocument/2006/relationships/hyperlink" Target="http://www.sec.gov/Archives/edgar/data/1174922/000119312513087674/d459372dex1094.htm" TargetMode="External"/><Relationship Id="rId125" Type="http://schemas.openxmlformats.org/officeDocument/2006/relationships/hyperlink" Target="http://www.sec.gov/Archives/edgar/data/1174922/000091205702035839/a2088833zex-10_15.htm" TargetMode="External"/><Relationship Id="rId126" Type="http://schemas.openxmlformats.org/officeDocument/2006/relationships/hyperlink" Target="http://www.sec.gov/Archives/edgar/data/1174922/000117492215000021/ex10110-corporateallocatio.htm" TargetMode="External"/><Relationship Id="rId127" Type="http://schemas.openxmlformats.org/officeDocument/2006/relationships/hyperlink" Target="http://www.sec.gov/Archives/edgar/data/1174922/000117492215000021/ex10111-amendedandrestated.htm" TargetMode="External"/><Relationship Id="rId128" Type="http://schemas.openxmlformats.org/officeDocument/2006/relationships/hyperlink" Target="http://www.sec.gov/Archives/edgar/data/1174922/000117492215000021/ex10112-managementfeecorpo.htm" TargetMode="External"/><Relationship Id="rId129" Type="http://schemas.openxmlformats.org/officeDocument/2006/relationships/hyperlink" Target="http://www.sec.gov/Archives/edgar/data/1174922/000117492216000144/ex10113.htm" TargetMode="External"/><Relationship Id="rId130" Type="http://schemas.openxmlformats.org/officeDocument/2006/relationships/hyperlink" Target="http://www.sec.gov/Archives/edgar/data/1174922/000089882212000078/exhibit101promissorynote.htm" TargetMode="External"/><Relationship Id="rId131" Type="http://schemas.openxmlformats.org/officeDocument/2006/relationships/hyperlink" Target="http://www.sec.gov/Archives/edgar/data/1174922/000119312512112261/d314198dex101.htm" TargetMode="External"/><Relationship Id="rId132" Type="http://schemas.openxmlformats.org/officeDocument/2006/relationships/hyperlink" Target="http://www.sec.gov/Archives/edgar/data/1174922/000117492215000021/ex10120-creditagreement.htm" TargetMode="External"/><Relationship Id="rId133" Type="http://schemas.openxmlformats.org/officeDocument/2006/relationships/hyperlink" Target="http://www.sec.gov/Archives/edgar/data/1174922/000117492215000106/ex-104.htm" TargetMode="External"/><Relationship Id="rId134" Type="http://schemas.openxmlformats.org/officeDocument/2006/relationships/hyperlink" Target="http://www.sec.gov/Archives/edgar/data/1174922/000117492216000144/ex10122.htm" TargetMode="External"/><Relationship Id="rId135" Type="http://schemas.openxmlformats.org/officeDocument/2006/relationships/hyperlink" Target="http://www.sec.gov/Archives/edgar/data/1174922/000117492216000199/ex101q216.htm" TargetMode="External"/><Relationship Id="rId136" Type="http://schemas.openxmlformats.org/officeDocument/2006/relationships/hyperlink" Target="http://www.sec.gov/Archives/edgar/data/1174922/000117492216000199/ex102q216.htm" TargetMode="External"/><Relationship Id="rId137" Type="http://schemas.openxmlformats.org/officeDocument/2006/relationships/hyperlink" Target="http://www.sec.gov/Archives/edgar/data/1174922/000117492217000098/ex105.htm" TargetMode="External"/><Relationship Id="rId138" Type="http://schemas.openxmlformats.org/officeDocument/2006/relationships/hyperlink" Target="http://www.sec.gov/Archives/edgar/data/1174922/000117492215000021/ex10121-completionguaranty.htm" TargetMode="External"/><Relationship Id="rId139" Type="http://schemas.openxmlformats.org/officeDocument/2006/relationships/hyperlink" Target="http://www.sec.gov/Archives/edgar/data/1174922/000117492215000021/ex10122-securityagreement.htm" TargetMode="External"/><Relationship Id="rId140" Type="http://schemas.openxmlformats.org/officeDocument/2006/relationships/hyperlink" Target="http://www.sec.gov/Archives/edgar/data/1174922/000117492217000177/ex10x1-20170930.htm" TargetMode="External"/><Relationship Id="rId141" Type="http://schemas.openxmlformats.org/officeDocument/2006/relationships/hyperlink" Target="http://www.sec.gov/Archives/edgar/data/1174922/000117492217000177/ex10x2-2017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2019-12-29T01:09:43Z</dcterms:created>
  <dcterms:modified xsi:type="dcterms:W3CDTF">2019-12-29T01:09:43Z</dcterms:modified>
</cp:coreProperties>
</file>