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22,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4400" w:type="dxa"/>
            <w:vAlign w:val="bottom"/>
          </w:tcPr>
          <w:p>
            <w:pPr>
              <w:jc w:val="center"/>
              <w:ind w:right="2572"/>
              <w:spacing w:after="0"/>
              <w:rPr>
                <w:sz w:val="20"/>
                <w:szCs w:val="20"/>
                <w:color w:val="auto"/>
              </w:rPr>
            </w:pPr>
            <w:r>
              <w:rPr>
                <w:rFonts w:ascii="Arial" w:cs="Arial" w:eastAsia="Arial" w:hAnsi="Arial"/>
                <w:sz w:val="14"/>
                <w:szCs w:val="14"/>
                <w:b w:val="1"/>
                <w:bCs w:val="1"/>
                <w:color w:val="auto"/>
                <w:w w:val="88"/>
              </w:rPr>
              <w:t>Nevada</w:t>
            </w:r>
          </w:p>
        </w:tc>
        <w:tc>
          <w:tcPr>
            <w:tcW w:w="164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7990</w:t>
            </w:r>
          </w:p>
        </w:tc>
        <w:tc>
          <w:tcPr>
            <w:tcW w:w="1620" w:type="dxa"/>
            <w:vAlign w:val="bottom"/>
          </w:tcPr>
          <w:p>
            <w:pPr>
              <w:spacing w:after="0"/>
              <w:rPr>
                <w:sz w:val="14"/>
                <w:szCs w:val="14"/>
                <w:color w:val="auto"/>
              </w:rPr>
            </w:pPr>
          </w:p>
        </w:tc>
        <w:tc>
          <w:tcPr>
            <w:tcW w:w="2860" w:type="dxa"/>
            <w:vAlign w:val="bottom"/>
          </w:tcPr>
          <w:p>
            <w:pPr>
              <w:jc w:val="center"/>
              <w:ind w:left="1532"/>
              <w:spacing w:after="0"/>
              <w:rPr>
                <w:sz w:val="20"/>
                <w:szCs w:val="20"/>
                <w:color w:val="auto"/>
              </w:rPr>
            </w:pPr>
            <w:r>
              <w:rPr>
                <w:rFonts w:ascii="Arial" w:cs="Arial" w:eastAsia="Arial" w:hAnsi="Arial"/>
                <w:sz w:val="14"/>
                <w:szCs w:val="14"/>
                <w:b w:val="1"/>
                <w:bCs w:val="1"/>
                <w:color w:val="auto"/>
                <w:w w:val="88"/>
              </w:rPr>
              <w:t>46-0484987</w:t>
            </w:r>
          </w:p>
        </w:tc>
      </w:tr>
      <w:tr>
        <w:trPr>
          <w:trHeight w:val="149"/>
        </w:trPr>
        <w:tc>
          <w:tcPr>
            <w:tcW w:w="4400" w:type="dxa"/>
            <w:vAlign w:val="bottom"/>
          </w:tcPr>
          <w:p>
            <w:pPr>
              <w:jc w:val="center"/>
              <w:ind w:right="2592"/>
              <w:spacing w:after="0" w:line="149" w:lineRule="exact"/>
              <w:rPr>
                <w:sz w:val="20"/>
                <w:szCs w:val="20"/>
                <w:color w:val="auto"/>
              </w:rPr>
            </w:pPr>
            <w:r>
              <w:rPr>
                <w:rFonts w:ascii="Arial" w:cs="Arial" w:eastAsia="Arial" w:hAnsi="Arial"/>
                <w:sz w:val="14"/>
                <w:szCs w:val="14"/>
                <w:color w:val="auto"/>
                <w:w w:val="88"/>
              </w:rPr>
              <w:t>(State or other jurisdiction</w:t>
            </w:r>
          </w:p>
        </w:tc>
        <w:tc>
          <w:tcPr>
            <w:tcW w:w="3260" w:type="dxa"/>
            <w:vAlign w:val="bottom"/>
            <w:gridSpan w:val="2"/>
          </w:tcPr>
          <w:p>
            <w:pPr>
              <w:jc w:val="center"/>
              <w:ind w:right="1520"/>
              <w:spacing w:after="0" w:line="149" w:lineRule="exact"/>
              <w:rPr>
                <w:sz w:val="20"/>
                <w:szCs w:val="20"/>
                <w:color w:val="auto"/>
              </w:rPr>
            </w:pPr>
            <w:r>
              <w:rPr>
                <w:rFonts w:ascii="Arial" w:cs="Arial" w:eastAsia="Arial" w:hAnsi="Arial"/>
                <w:sz w:val="14"/>
                <w:szCs w:val="14"/>
                <w:color w:val="auto"/>
                <w:w w:val="88"/>
              </w:rPr>
              <w:t>(Primary Standard Industrial</w:t>
            </w:r>
          </w:p>
        </w:tc>
        <w:tc>
          <w:tcPr>
            <w:tcW w:w="2860" w:type="dxa"/>
            <w:vAlign w:val="bottom"/>
          </w:tcPr>
          <w:p>
            <w:pPr>
              <w:jc w:val="center"/>
              <w:ind w:left="15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4400" w:type="dxa"/>
            <w:vAlign w:val="bottom"/>
          </w:tcPr>
          <w:p>
            <w:pPr>
              <w:jc w:val="center"/>
              <w:ind w:right="2572"/>
              <w:spacing w:after="0"/>
              <w:rPr>
                <w:sz w:val="20"/>
                <w:szCs w:val="20"/>
                <w:color w:val="auto"/>
              </w:rPr>
            </w:pPr>
            <w:r>
              <w:rPr>
                <w:rFonts w:ascii="Arial" w:cs="Arial" w:eastAsia="Arial" w:hAnsi="Arial"/>
                <w:sz w:val="14"/>
                <w:szCs w:val="14"/>
                <w:color w:val="auto"/>
                <w:w w:val="89"/>
              </w:rPr>
              <w:t>of incorporation or organization)</w:t>
            </w:r>
          </w:p>
        </w:tc>
        <w:tc>
          <w:tcPr>
            <w:tcW w:w="3260" w:type="dxa"/>
            <w:vAlign w:val="bottom"/>
            <w:gridSpan w:val="2"/>
          </w:tcPr>
          <w:p>
            <w:pPr>
              <w:jc w:val="center"/>
              <w:ind w:right="1520"/>
              <w:spacing w:after="0"/>
              <w:rPr>
                <w:sz w:val="20"/>
                <w:szCs w:val="20"/>
                <w:color w:val="auto"/>
              </w:rPr>
            </w:pPr>
            <w:r>
              <w:rPr>
                <w:rFonts w:ascii="Arial" w:cs="Arial" w:eastAsia="Arial" w:hAnsi="Arial"/>
                <w:sz w:val="14"/>
                <w:szCs w:val="14"/>
                <w:color w:val="auto"/>
                <w:w w:val="88"/>
              </w:rPr>
              <w:t>Classification Code Number)</w:t>
            </w:r>
          </w:p>
        </w:tc>
        <w:tc>
          <w:tcPr>
            <w:tcW w:w="2860" w:type="dxa"/>
            <w:vAlign w:val="bottom"/>
          </w:tcPr>
          <w:p>
            <w:pPr>
              <w:jc w:val="center"/>
              <w:ind w:left="1532"/>
              <w:spacing w:after="0"/>
              <w:rPr>
                <w:sz w:val="20"/>
                <w:szCs w:val="20"/>
                <w:color w:val="auto"/>
              </w:rPr>
            </w:pPr>
            <w:r>
              <w:rPr>
                <w:rFonts w:ascii="Arial" w:cs="Arial" w:eastAsia="Arial" w:hAnsi="Arial"/>
                <w:sz w:val="14"/>
                <w:szCs w:val="14"/>
                <w:color w:val="auto"/>
                <w:w w:val="91"/>
              </w:rPr>
              <w:t>Identification Number)</w:t>
            </w:r>
          </w:p>
        </w:tc>
      </w:tr>
      <w:tr>
        <w:trPr>
          <w:trHeight w:val="105"/>
        </w:trPr>
        <w:tc>
          <w:tcPr>
            <w:tcW w:w="440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20" w:type="dxa"/>
            <w:vAlign w:val="bottom"/>
          </w:tcPr>
          <w:p>
            <w:pPr>
              <w:spacing w:after="0"/>
              <w:rPr>
                <w:sz w:val="9"/>
                <w:szCs w:val="9"/>
                <w:color w:val="auto"/>
              </w:rPr>
            </w:pPr>
          </w:p>
        </w:tc>
        <w:tc>
          <w:tcPr>
            <w:tcW w:w="28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1"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2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2940" w:type="dxa"/>
            <w:vAlign w:val="bottom"/>
            <w:gridSpan w:val="2"/>
          </w:tcPr>
          <w:p>
            <w:pPr>
              <w:jc w:val="center"/>
              <w:ind w:right="1300"/>
              <w:spacing w:after="0"/>
              <w:rPr>
                <w:sz w:val="20"/>
                <w:szCs w:val="20"/>
                <w:color w:val="auto"/>
              </w:rPr>
            </w:pPr>
            <w:r>
              <w:rPr>
                <w:rFonts w:ascii="Arial" w:cs="Arial" w:eastAsia="Arial" w:hAnsi="Arial"/>
                <w:sz w:val="14"/>
                <w:szCs w:val="14"/>
                <w:b w:val="1"/>
                <w:bCs w:val="1"/>
                <w:i w:val="1"/>
                <w:iCs w:val="1"/>
                <w:color w:val="auto"/>
                <w:w w:val="81"/>
              </w:rPr>
              <w:t>Copies to:</w:t>
            </w:r>
          </w:p>
        </w:tc>
        <w:tc>
          <w:tcPr>
            <w:tcW w:w="1900" w:type="dxa"/>
            <w:vAlign w:val="bottom"/>
          </w:tcPr>
          <w:p>
            <w:pPr>
              <w:spacing w:after="0"/>
              <w:rPr>
                <w:sz w:val="14"/>
                <w:szCs w:val="14"/>
                <w:color w:val="auto"/>
              </w:rPr>
            </w:pPr>
          </w:p>
        </w:tc>
      </w:tr>
      <w:tr>
        <w:trPr>
          <w:trHeight w:val="339"/>
        </w:trPr>
        <w:tc>
          <w:tcPr>
            <w:tcW w:w="6220" w:type="dxa"/>
            <w:vAlign w:val="bottom"/>
            <w:gridSpan w:val="3"/>
          </w:tcPr>
          <w:p>
            <w:pPr>
              <w:jc w:val="center"/>
              <w:ind w:right="4200"/>
              <w:spacing w:after="0"/>
              <w:rPr>
                <w:sz w:val="20"/>
                <w:szCs w:val="20"/>
                <w:color w:val="auto"/>
              </w:rPr>
            </w:pPr>
            <w:r>
              <w:rPr>
                <w:rFonts w:ascii="Arial" w:cs="Arial" w:eastAsia="Arial" w:hAnsi="Arial"/>
                <w:sz w:val="14"/>
                <w:szCs w:val="14"/>
                <w:b w:val="1"/>
                <w:bCs w:val="1"/>
                <w:color w:val="auto"/>
                <w:w w:val="89"/>
              </w:rPr>
              <w:t>C. Kevin McGeehan, Esq.</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6220" w:type="dxa"/>
            <w:vAlign w:val="bottom"/>
            <w:gridSpan w:val="3"/>
          </w:tcPr>
          <w:p>
            <w:pPr>
              <w:jc w:val="center"/>
              <w:ind w:right="4200"/>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6220" w:type="dxa"/>
            <w:vAlign w:val="bottom"/>
            <w:gridSpan w:val="3"/>
          </w:tcPr>
          <w:p>
            <w:pPr>
              <w:jc w:val="center"/>
              <w:ind w:right="4180"/>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3280" w:type="dxa"/>
            <w:vAlign w:val="bottom"/>
          </w:tcPr>
          <w:p>
            <w:pPr>
              <w:jc w:val="center"/>
              <w:ind w:right="1172"/>
              <w:spacing w:after="0"/>
              <w:rPr>
                <w:sz w:val="20"/>
                <w:szCs w:val="20"/>
                <w:color w:val="auto"/>
              </w:rPr>
            </w:pPr>
            <w:r>
              <w:rPr>
                <w:rFonts w:ascii="Arial" w:cs="Arial" w:eastAsia="Arial" w:hAnsi="Arial"/>
                <w:sz w:val="14"/>
                <w:szCs w:val="14"/>
                <w:b w:val="1"/>
                <w:bCs w:val="1"/>
                <w:color w:val="auto"/>
                <w:w w:val="87"/>
              </w:rPr>
              <w:t>(310) 277-1010</w:t>
            </w:r>
          </w:p>
        </w:tc>
        <w:tc>
          <w:tcPr>
            <w:tcW w:w="1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339"/>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5"/>
              </w:rPr>
              <w:t>Approximate date of commencement of proposed sale to the public:</w:t>
            </w:r>
          </w:p>
        </w:tc>
        <w:tc>
          <w:tcPr>
            <w:tcW w:w="1900" w:type="dxa"/>
            <w:vAlign w:val="bottom"/>
          </w:tcPr>
          <w:p>
            <w:pPr>
              <w:spacing w:after="0"/>
              <w:rPr>
                <w:sz w:val="24"/>
                <w:szCs w:val="24"/>
                <w:color w:val="auto"/>
              </w:rPr>
            </w:pPr>
          </w:p>
        </w:tc>
      </w:tr>
      <w:tr>
        <w:trPr>
          <w:trHeight w:val="174"/>
        </w:trPr>
        <w:tc>
          <w:tcPr>
            <w:tcW w:w="6220" w:type="dxa"/>
            <w:vAlign w:val="bottom"/>
            <w:gridSpan w:val="3"/>
          </w:tcPr>
          <w:p>
            <w:pPr>
              <w:jc w:val="center"/>
              <w:ind w:left="1912"/>
              <w:spacing w:after="0"/>
              <w:rPr>
                <w:sz w:val="20"/>
                <w:szCs w:val="20"/>
                <w:color w:val="auto"/>
              </w:rPr>
            </w:pPr>
            <w:r>
              <w:rPr>
                <w:rFonts w:ascii="Arial" w:cs="Arial" w:eastAsia="Arial" w:hAnsi="Arial"/>
                <w:sz w:val="14"/>
                <w:szCs w:val="14"/>
                <w:b w:val="1"/>
                <w:bCs w:val="1"/>
                <w:color w:val="auto"/>
                <w:w w:val="84"/>
              </w:rPr>
              <w:t>As soon as practicable after this registration statement becomes effective.</w:t>
            </w:r>
          </w:p>
        </w:tc>
        <w:tc>
          <w:tcPr>
            <w:tcW w:w="1900" w:type="dxa"/>
            <w:vAlign w:val="bottom"/>
          </w:tcPr>
          <w:p>
            <w:pPr>
              <w:spacing w:after="0"/>
              <w:rPr>
                <w:sz w:val="15"/>
                <w:szCs w:val="15"/>
                <w:color w:val="auto"/>
              </w:rPr>
            </w:pPr>
          </w:p>
        </w:tc>
      </w:tr>
      <w:tr>
        <w:trPr>
          <w:trHeight w:val="213"/>
        </w:trPr>
        <w:tc>
          <w:tcPr>
            <w:tcW w:w="328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050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645287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287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0" w:type="dxa"/>
            <w:vAlign w:val="bottom"/>
          </w:tcPr>
          <w:p>
            <w:pPr>
              <w:jc w:val="center"/>
              <w:ind w:left="972"/>
              <w:spacing w:after="0"/>
              <w:rPr>
                <w:sz w:val="20"/>
                <w:szCs w:val="20"/>
                <w:color w:val="auto"/>
              </w:rPr>
            </w:pPr>
            <w:r>
              <w:rPr>
                <w:rFonts w:ascii="Arial" w:cs="Arial" w:eastAsia="Arial" w:hAnsi="Arial"/>
                <w:sz w:val="14"/>
                <w:szCs w:val="14"/>
                <w:b w:val="1"/>
                <w:bCs w:val="1"/>
                <w:color w:val="auto"/>
                <w:w w:val="87"/>
              </w:rPr>
              <w:t>Proposed Maximum</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jc w:val="center"/>
              <w:ind w:left="872"/>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3000" w:type="dxa"/>
            <w:vAlign w:val="bottom"/>
          </w:tcPr>
          <w:p>
            <w:pPr>
              <w:jc w:val="center"/>
              <w:ind w:left="972"/>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jc w:val="center"/>
              <w:ind w:left="872"/>
              <w:spacing w:after="0"/>
              <w:rPr>
                <w:sz w:val="20"/>
                <w:szCs w:val="20"/>
                <w:color w:val="auto"/>
              </w:rPr>
            </w:pPr>
            <w:r>
              <w:rPr>
                <w:rFonts w:ascii="Arial" w:cs="Arial" w:eastAsia="Arial" w:hAnsi="Arial"/>
                <w:sz w:val="14"/>
                <w:szCs w:val="14"/>
                <w:b w:val="1"/>
                <w:bCs w:val="1"/>
                <w:color w:val="auto"/>
                <w:w w:val="84"/>
              </w:rPr>
              <w:t>Securities to be Registered</w:t>
            </w:r>
          </w:p>
        </w:tc>
        <w:tc>
          <w:tcPr>
            <w:tcW w:w="3000" w:type="dxa"/>
            <w:vAlign w:val="bottom"/>
          </w:tcPr>
          <w:p>
            <w:pPr>
              <w:jc w:val="center"/>
              <w:ind w:left="992"/>
              <w:spacing w:after="0"/>
              <w:rPr>
                <w:sz w:val="20"/>
                <w:szCs w:val="20"/>
                <w:color w:val="auto"/>
              </w:rPr>
            </w:pPr>
            <w:r>
              <w:rPr>
                <w:rFonts w:ascii="Arial" w:cs="Arial" w:eastAsia="Arial" w:hAnsi="Arial"/>
                <w:sz w:val="14"/>
                <w:szCs w:val="14"/>
                <w:b w:val="1"/>
                <w:bCs w:val="1"/>
                <w:color w:val="auto"/>
                <w:w w:val="89"/>
              </w:rPr>
              <w:t>Offering Price(1)(2)</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Registration Fee(3)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par value $0.01 per share</w:t>
            </w:r>
          </w:p>
        </w:tc>
        <w:tc>
          <w:tcPr>
            <w:tcW w:w="3000" w:type="dxa"/>
            <w:vAlign w:val="bottom"/>
            <w:shd w:val="clear" w:color="auto" w:fill="CCEEFF"/>
          </w:tcPr>
          <w:p>
            <w:pPr>
              <w:jc w:val="center"/>
              <w:ind w:left="992"/>
              <w:spacing w:after="0" w:line="149" w:lineRule="exact"/>
              <w:rPr>
                <w:sz w:val="20"/>
                <w:szCs w:val="20"/>
                <w:color w:val="auto"/>
              </w:rPr>
            </w:pPr>
            <w:r>
              <w:rPr>
                <w:rFonts w:ascii="Arial" w:cs="Arial" w:eastAsia="Arial" w:hAnsi="Arial"/>
                <w:sz w:val="14"/>
                <w:szCs w:val="14"/>
                <w:color w:val="auto"/>
                <w:w w:val="86"/>
              </w:rPr>
              <w:t>$517,517,250</w:t>
            </w:r>
          </w:p>
        </w:tc>
        <w:tc>
          <w:tcPr>
            <w:tcW w:w="1800" w:type="dxa"/>
            <w:vAlign w:val="bottom"/>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6"/>
              </w:rPr>
              <w:t>$47,612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6443345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Includes $67,502,250 of aggregate offering price of shares of common stock that may be sold pursuant to the underwriters' over-allotment options.</w:t>
      </w:r>
    </w:p>
    <w:p>
      <w:pPr>
        <w:ind w:left="540" w:hanging="532"/>
        <w:spacing w:after="0" w:line="197" w:lineRule="auto"/>
        <w:tabs>
          <w:tab w:leader="none" w:pos="540" w:val="left"/>
        </w:tabs>
        <w:numPr>
          <w:ilvl w:val="0"/>
          <w:numId w:val="1"/>
        </w:numPr>
        <w:rPr>
          <w:rFonts w:ascii="Arial" w:cs="Arial" w:eastAsia="Arial" w:hAnsi="Arial"/>
          <w:sz w:val="10"/>
          <w:szCs w:val="10"/>
          <w:color w:val="auto"/>
          <w:vertAlign w:val="subscript"/>
        </w:rPr>
      </w:pPr>
      <w:r>
        <w:rPr>
          <w:rFonts w:ascii="Arial" w:cs="Arial" w:eastAsia="Arial" w:hAnsi="Arial"/>
          <w:sz w:val="8"/>
          <w:szCs w:val="8"/>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w:t>
      </w:r>
    </w:p>
    <w:p>
      <w:pPr>
        <w:spacing w:after="0" w:line="191" w:lineRule="exact"/>
        <w:rPr>
          <w:sz w:val="24"/>
          <w:szCs w:val="24"/>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23"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FF4040"/>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Subject to Completion, Dated October 22, 2002</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23,685,000 Shares</w:t>
      </w: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is the initial public offering of Wynn Resorts, Limited. We are offering 23,685,000 shares of our common stock. We anticipate that the initial public offering price will be between $18.00 and $20.00 per share. Our common stock has been approved for quotation on The Nasdaq National Market under the symbol "WYNN."</w:t>
      </w:r>
    </w:p>
    <w:p>
      <w:pPr>
        <w:spacing w:after="0" w:line="19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Concurrent with this offering, our wholly owned subsidiaries, Wynn Las Vegas, LLC and Wynn Las Vegas Capital Corp., are jointly offering $340 million in aggregate principal amount of second mortgage notes and Wynn Las Vegas is entering into credit facilities providing for borrowings of up to $1 billion and a $188.5 million loan facility for the purchase of certain furniture, fixtures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10.</w:t>
      </w:r>
    </w:p>
    <w:p>
      <w:pPr>
        <w:spacing w:after="0" w:line="219"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20" w:type="dxa"/>
            <w:vAlign w:val="bottom"/>
          </w:tcPr>
          <w:p>
            <w:pPr>
              <w:spacing w:after="0"/>
              <w:rPr>
                <w:sz w:val="15"/>
                <w:szCs w:val="15"/>
                <w:color w:val="auto"/>
              </w:rPr>
            </w:pPr>
          </w:p>
        </w:tc>
        <w:tc>
          <w:tcPr>
            <w:tcW w:w="2280" w:type="dxa"/>
            <w:vAlign w:val="bottom"/>
          </w:tcPr>
          <w:p>
            <w:pPr>
              <w:ind w:left="1160"/>
              <w:spacing w:after="0"/>
              <w:rPr>
                <w:sz w:val="20"/>
                <w:szCs w:val="20"/>
                <w:color w:val="auto"/>
              </w:rPr>
            </w:pPr>
            <w:r>
              <w:rPr>
                <w:rFonts w:ascii="Arial" w:cs="Arial" w:eastAsia="Arial" w:hAnsi="Arial"/>
                <w:sz w:val="14"/>
                <w:szCs w:val="14"/>
                <w:b w:val="1"/>
                <w:bCs w:val="1"/>
                <w:color w:val="auto"/>
              </w:rPr>
              <w:t>Per Share</w:t>
            </w:r>
          </w:p>
        </w:tc>
        <w:tc>
          <w:tcPr>
            <w:tcW w:w="820" w:type="dxa"/>
            <w:vAlign w:val="bottom"/>
          </w:tcPr>
          <w:p>
            <w:pPr>
              <w:ind w:left="540"/>
              <w:spacing w:after="0"/>
              <w:rPr>
                <w:sz w:val="20"/>
                <w:szCs w:val="20"/>
                <w:color w:val="auto"/>
              </w:rPr>
            </w:pPr>
            <w:r>
              <w:rPr>
                <w:rFonts w:ascii="Arial" w:cs="Arial" w:eastAsia="Arial" w:hAnsi="Arial"/>
                <w:sz w:val="14"/>
                <w:szCs w:val="14"/>
                <w:b w:val="1"/>
                <w:bCs w:val="1"/>
                <w:color w:val="auto"/>
                <w:w w:val="77"/>
              </w:rPr>
              <w:t>Total</w:t>
            </w:r>
          </w:p>
        </w:tc>
      </w:tr>
      <w:tr>
        <w:trPr>
          <w:trHeight w:val="438"/>
        </w:trPr>
        <w:tc>
          <w:tcPr>
            <w:tcW w:w="4920" w:type="dxa"/>
            <w:vAlign w:val="bottom"/>
          </w:tcPr>
          <w:p>
            <w:pPr>
              <w:spacing w:after="0"/>
              <w:rPr>
                <w:sz w:val="20"/>
                <w:szCs w:val="20"/>
                <w:color w:val="auto"/>
              </w:rPr>
            </w:pPr>
            <w:r>
              <w:rPr>
                <w:rFonts w:ascii="Arial" w:cs="Arial" w:eastAsia="Arial" w:hAnsi="Arial"/>
                <w:sz w:val="18"/>
                <w:szCs w:val="18"/>
                <w:color w:val="auto"/>
              </w:rPr>
              <w:t>Public offering price</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Proceeds, before expenses, to Wynn Resorts, Limited</w:t>
            </w:r>
          </w:p>
        </w:tc>
        <w:tc>
          <w:tcPr>
            <w:tcW w:w="2280" w:type="dxa"/>
            <w:vAlign w:val="bottom"/>
          </w:tcPr>
          <w:p>
            <w:pPr>
              <w:ind w:left="11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to the underwriters the right to purchase up to 3,552,750 additional shares of common stock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20" w:type="dxa"/>
            <w:vAlign w:val="bottom"/>
            <w:gridSpan w:val="3"/>
          </w:tcPr>
          <w:p>
            <w:pPr>
              <w:ind w:left="40"/>
              <w:spacing w:after="0"/>
              <w:rPr>
                <w:sz w:val="20"/>
                <w:szCs w:val="20"/>
                <w:color w:val="auto"/>
              </w:rPr>
            </w:pPr>
            <w:r>
              <w:rPr>
                <w:rFonts w:ascii="Arial" w:cs="Arial" w:eastAsia="Arial" w:hAnsi="Arial"/>
                <w:sz w:val="18"/>
                <w:szCs w:val="18"/>
                <w:i w:val="1"/>
                <w:iCs w:val="1"/>
                <w:color w:val="auto"/>
              </w:rPr>
              <w:t>Joint Book-Running Managers</w:t>
            </w:r>
          </w:p>
        </w:tc>
      </w:tr>
      <w:tr>
        <w:trPr>
          <w:trHeight w:val="471"/>
        </w:trPr>
        <w:tc>
          <w:tcPr>
            <w:tcW w:w="6540" w:type="dxa"/>
            <w:vAlign w:val="bottom"/>
            <w:gridSpan w:val="4"/>
          </w:tcPr>
          <w:p>
            <w:pPr>
              <w:jc w:val="center"/>
              <w:ind w:left="1559"/>
              <w:spacing w:after="0"/>
              <w:rPr>
                <w:sz w:val="20"/>
                <w:szCs w:val="20"/>
                <w:color w:val="auto"/>
              </w:rPr>
            </w:pPr>
            <w:r>
              <w:rPr>
                <w:rFonts w:ascii="Arial" w:cs="Arial" w:eastAsia="Arial" w:hAnsi="Arial"/>
                <w:sz w:val="22"/>
                <w:szCs w:val="22"/>
                <w:b w:val="1"/>
                <w:bCs w:val="1"/>
                <w:color w:val="auto"/>
                <w:w w:val="90"/>
              </w:rPr>
              <w:t>Deutsche Bank Securities  Bear, Stearns &amp; Co. Inc.</w:t>
            </w:r>
          </w:p>
        </w:tc>
        <w:tc>
          <w:tcPr>
            <w:tcW w:w="4880" w:type="dxa"/>
            <w:vAlign w:val="bottom"/>
          </w:tcPr>
          <w:p>
            <w:pPr>
              <w:ind w:left="180"/>
              <w:spacing w:after="0"/>
              <w:rPr>
                <w:sz w:val="20"/>
                <w:szCs w:val="20"/>
                <w:color w:val="auto"/>
              </w:rPr>
            </w:pPr>
            <w:r>
              <w:rPr>
                <w:rFonts w:ascii="Arial" w:cs="Arial" w:eastAsia="Arial" w:hAnsi="Arial"/>
                <w:sz w:val="22"/>
                <w:szCs w:val="22"/>
                <w:b w:val="1"/>
                <w:bCs w:val="1"/>
                <w:color w:val="auto"/>
              </w:rPr>
              <w:t>Banc of America Securities LLC</w:t>
            </w:r>
          </w:p>
        </w:tc>
      </w:tr>
      <w:tr>
        <w:trPr>
          <w:trHeight w:val="216"/>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2640" w:type="dxa"/>
            <w:vAlign w:val="bottom"/>
          </w:tcPr>
          <w:p>
            <w:pPr>
              <w:spacing w:after="0"/>
              <w:rPr>
                <w:sz w:val="24"/>
                <w:szCs w:val="24"/>
                <w:color w:val="auto"/>
              </w:rPr>
            </w:pPr>
          </w:p>
        </w:tc>
        <w:tc>
          <w:tcPr>
            <w:tcW w:w="1960" w:type="dxa"/>
            <w:vAlign w:val="bottom"/>
          </w:tcPr>
          <w:p>
            <w:pPr>
              <w:jc w:val="center"/>
              <w:ind w:left="862"/>
              <w:spacing w:after="0"/>
              <w:rPr>
                <w:sz w:val="20"/>
                <w:szCs w:val="20"/>
                <w:color w:val="auto"/>
              </w:rPr>
            </w:pPr>
            <w:r>
              <w:rPr>
                <w:rFonts w:ascii="Arial" w:cs="Arial" w:eastAsia="Arial" w:hAnsi="Arial"/>
                <w:sz w:val="22"/>
                <w:szCs w:val="22"/>
                <w:b w:val="1"/>
                <w:bCs w:val="1"/>
                <w:color w:val="auto"/>
                <w:w w:val="93"/>
              </w:rPr>
              <w:t>JPMorgan</w:t>
            </w:r>
          </w:p>
        </w:tc>
        <w:tc>
          <w:tcPr>
            <w:tcW w:w="6820" w:type="dxa"/>
            <w:vAlign w:val="bottom"/>
            <w:gridSpan w:val="3"/>
          </w:tcPr>
          <w:p>
            <w:pPr>
              <w:ind w:left="200"/>
              <w:spacing w:after="0"/>
              <w:rPr>
                <w:sz w:val="20"/>
                <w:szCs w:val="20"/>
                <w:color w:val="auto"/>
              </w:rPr>
            </w:pPr>
            <w:r>
              <w:rPr>
                <w:rFonts w:ascii="Arial" w:cs="Arial" w:eastAsia="Arial" w:hAnsi="Arial"/>
                <w:sz w:val="22"/>
                <w:szCs w:val="22"/>
                <w:b w:val="1"/>
                <w:bCs w:val="1"/>
                <w:color w:val="auto"/>
              </w:rPr>
              <w:t>Dresdner Kleinwort Wasserstein</w:t>
            </w:r>
          </w:p>
        </w:tc>
      </w:tr>
      <w:tr>
        <w:trPr>
          <w:trHeight w:val="216"/>
        </w:trPr>
        <w:tc>
          <w:tcPr>
            <w:tcW w:w="46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4880" w:type="dxa"/>
            <w:vAlign w:val="bottom"/>
          </w:tcPr>
          <w:p>
            <w:pPr>
              <w:spacing w:after="0"/>
              <w:rPr>
                <w:sz w:val="18"/>
                <w:szCs w:val="18"/>
                <w:color w:val="auto"/>
              </w:rPr>
            </w:pPr>
          </w:p>
        </w:tc>
      </w:tr>
      <w:tr>
        <w:trPr>
          <w:trHeight w:val="466"/>
        </w:trPr>
        <w:tc>
          <w:tcPr>
            <w:tcW w:w="4600" w:type="dxa"/>
            <w:vAlign w:val="bottom"/>
            <w:gridSpan w:val="2"/>
          </w:tcPr>
          <w:p>
            <w:pPr>
              <w:jc w:val="right"/>
              <w:ind w:right="102"/>
              <w:spacing w:after="0"/>
              <w:rPr>
                <w:sz w:val="20"/>
                <w:szCs w:val="20"/>
                <w:color w:val="auto"/>
              </w:rPr>
            </w:pPr>
            <w:r>
              <w:rPr>
                <w:rFonts w:ascii="Arial" w:cs="Arial" w:eastAsia="Arial" w:hAnsi="Arial"/>
                <w:sz w:val="22"/>
                <w:szCs w:val="22"/>
                <w:b w:val="1"/>
                <w:bCs w:val="1"/>
                <w:color w:val="auto"/>
              </w:rPr>
              <w:t>Jefferies &amp; Company, Inc.</w:t>
            </w:r>
          </w:p>
        </w:tc>
        <w:tc>
          <w:tcPr>
            <w:tcW w:w="1940" w:type="dxa"/>
            <w:vAlign w:val="bottom"/>
            <w:gridSpan w:val="2"/>
          </w:tcPr>
          <w:p>
            <w:pPr>
              <w:ind w:left="20"/>
              <w:spacing w:after="0"/>
              <w:rPr>
                <w:sz w:val="20"/>
                <w:szCs w:val="20"/>
                <w:color w:val="auto"/>
              </w:rPr>
            </w:pPr>
            <w:r>
              <w:rPr>
                <w:rFonts w:ascii="Arial" w:cs="Arial" w:eastAsia="Arial" w:hAnsi="Arial"/>
                <w:sz w:val="22"/>
                <w:szCs w:val="22"/>
                <w:b w:val="1"/>
                <w:bCs w:val="1"/>
                <w:color w:val="auto"/>
                <w:w w:val="98"/>
              </w:rPr>
              <w:t>Lazard  SG Cowen</w:t>
            </w:r>
          </w:p>
        </w:tc>
        <w:tc>
          <w:tcPr>
            <w:tcW w:w="4880" w:type="dxa"/>
            <w:vAlign w:val="bottom"/>
          </w:tcPr>
          <w:p>
            <w:pPr>
              <w:ind w:left="160"/>
              <w:spacing w:after="0"/>
              <w:rPr>
                <w:sz w:val="20"/>
                <w:szCs w:val="20"/>
                <w:color w:val="auto"/>
              </w:rPr>
            </w:pPr>
            <w:r>
              <w:rPr>
                <w:rFonts w:ascii="Arial" w:cs="Arial" w:eastAsia="Arial" w:hAnsi="Arial"/>
                <w:sz w:val="22"/>
                <w:szCs w:val="22"/>
                <w:b w:val="1"/>
                <w:bCs w:val="1"/>
                <w:color w:val="auto"/>
              </w:rPr>
              <w:t>Thomas Weisel Partners LLC</w:t>
            </w:r>
          </w:p>
        </w:tc>
      </w:tr>
      <w:tr>
        <w:trPr>
          <w:trHeight w:val="420"/>
        </w:trPr>
        <w:tc>
          <w:tcPr>
            <w:tcW w:w="26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960" w:type="dxa"/>
            <w:vAlign w:val="bottom"/>
          </w:tcPr>
          <w:p>
            <w:pPr>
              <w:jc w:val="right"/>
              <w:ind w:right="822"/>
              <w:spacing w:after="0"/>
              <w:rPr>
                <w:sz w:val="20"/>
                <w:szCs w:val="20"/>
                <w:color w:val="auto"/>
              </w:rPr>
            </w:pPr>
            <w:r>
              <w:rPr>
                <w:rFonts w:ascii="Arial" w:cs="Arial" w:eastAsia="Arial" w:hAnsi="Arial"/>
                <w:sz w:val="18"/>
                <w:szCs w:val="18"/>
                <w:color w:val="auto"/>
              </w:rPr>
              <w:t>, 2002.</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28"/>
        </w:trPr>
        <w:tc>
          <w:tcPr>
            <w:tcW w:w="26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-1180465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-734695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-734695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DESCRIPTION OF ARTWORK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 Rêve site map and map of geography of Macau and surrounding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10 before making an investment decision.</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Wynn Resorts, Limited was recently organized as a Nevada corporation in preparation for this offering. Until recently, our assets and operations were held by and conducted through Valvino Lamore, LLC, a Nevada limited liability company, and its subsidiaries. In September 2002, all of the members of Valvino contributed their membership interests in Valvino to Wynn Resorts in exchange for 40,000,000 shares of the common stock of Wynn Resorts, and Valvino became a wholly owned subsidiary of Wynn Resorts.</w:t>
      </w:r>
    </w:p>
    <w:p>
      <w:pPr>
        <w:spacing w:after="0" w:line="197"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Wynn Resorts, Limited and its consolidated subsidiaries. References to any other entity mean that entity without any subsidiaries.</w:t>
      </w:r>
    </w:p>
    <w:p>
      <w:pPr>
        <w:sectPr>
          <w:pgSz w:w="11900" w:h="16838" w:orient="portrait"/>
          <w:cols w:equalWidth="0" w:num="1">
            <w:col w:w="11420"/>
          </w:cols>
          <w:pgMar w:left="240" w:top="368" w:right="239" w:bottom="244" w:gutter="0" w:footer="0" w:header="0"/>
        </w:sect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Overview</w:t>
      </w:r>
    </w:p>
    <w:p>
      <w:pPr>
        <w:sectPr>
          <w:pgSz w:w="11900" w:h="16838" w:orient="portrait"/>
          <w:cols w:equalWidth="0" w:num="1">
            <w:col w:w="11420"/>
          </w:cols>
          <w:pgMar w:left="240" w:top="368" w:right="239" w:bottom="244" w:gutter="0" w:footer="0" w:header="0"/>
          <w:type w:val="continuous"/>
        </w:sectPr>
      </w:pPr>
    </w:p>
    <w:bookmarkStart w:id="2" w:name="page3"/>
    <w:bookmarkEnd w:id="2"/>
    <w:p>
      <w:pPr>
        <w:ind w:firstLine="348"/>
        <w:spacing w:after="0" w:line="288" w:lineRule="auto"/>
        <w:rPr>
          <w:sz w:val="20"/>
          <w:szCs w:val="20"/>
          <w:color w:val="auto"/>
        </w:rPr>
      </w:pPr>
      <w:r>
        <w:rPr>
          <w:rFonts w:ascii="Arial" w:cs="Arial" w:eastAsia="Arial" w:hAnsi="Arial"/>
          <w:sz w:val="16"/>
          <w:szCs w:val="16"/>
          <w:color w:val="auto"/>
        </w:rPr>
        <w:t>We, through our wholly owned subsidiary Wynn Las Vegas, LLC,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Wynn Resorts (Macau) S.A., a Macau company and majority-owned indirect subsidiary of Wynn Resorts referred to as 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$2.1 billion in gaming revenue in 2000. Wynn Macau currently is one of three concessionaires permitted to operate a casino gaming business in Macau.</w:t>
      </w:r>
    </w:p>
    <w:p>
      <w:pPr>
        <w:spacing w:after="0" w:line="248" w:lineRule="exact"/>
        <w:rPr>
          <w:sz w:val="20"/>
          <w:szCs w:val="20"/>
          <w:color w:val="auto"/>
        </w:rPr>
      </w:pPr>
    </w:p>
    <w:p>
      <w:pPr>
        <w:ind w:right="280" w:firstLine="348"/>
        <w:spacing w:after="0" w:line="318"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Company Strategy</w:t>
      </w:r>
    </w:p>
    <w:p>
      <w:pPr>
        <w:spacing w:after="0" w:line="245" w:lineRule="exact"/>
        <w:rPr>
          <w:sz w:val="20"/>
          <w:szCs w:val="20"/>
          <w:color w:val="auto"/>
        </w:rPr>
      </w:pPr>
    </w:p>
    <w:p>
      <w:pPr>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 and that Le Rêve will represent a natural extension of the concepts Mr. Wynn has utilized in developing other major destination casino resorts.</w:t>
      </w:r>
    </w:p>
    <w:p>
      <w:pPr>
        <w:spacing w:after="0" w:line="221"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w:t>
      </w:r>
      <w:r>
        <w:rPr>
          <w:rFonts w:ascii="Arial" w:cs="Arial" w:eastAsia="Arial" w:hAnsi="Arial"/>
          <w:sz w:val="18"/>
          <w:szCs w:val="18"/>
          <w:i w:val="1"/>
          <w:iCs w:val="1"/>
          <w:color w:val="auto"/>
        </w:rPr>
        <w:t xml:space="preserve"> </w:t>
      </w:r>
      <w:r>
        <w:rPr>
          <w:rFonts w:ascii="Arial" w:cs="Arial" w:eastAsia="Arial" w:hAnsi="Arial"/>
          <w:sz w:val="18"/>
          <w:szCs w:val="18"/>
          <w:color w:val="auto"/>
        </w:rPr>
        <w:t>guests a luxurious experience at a premier destination casino resort in Las Vegas in a first-class environment of elegance, sophistication and luxury.</w:t>
      </w:r>
    </w:p>
    <w:p>
      <w:pPr>
        <w:spacing w:after="0" w:line="20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Pursue the Opportunity to be One of Three Casino Operators in Macau. </w:t>
      </w:r>
      <w:r>
        <w:rPr>
          <w:rFonts w:ascii="Arial" w:cs="Arial" w:eastAsia="Arial" w:hAnsi="Arial"/>
          <w:sz w:val="18"/>
          <w:szCs w:val="18"/>
          <w:color w:val="auto"/>
        </w:rPr>
        <w:t>Wynn Macau will pursue its opportunity to be one of only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concessionaires permitted to operate casinos in Macau, an established gaming market with access to gaming patrons principally from Hong Kong and mainland China.</w:t>
      </w:r>
    </w:p>
    <w:p>
      <w:pPr>
        <w:spacing w:after="0" w:line="207"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Our 212-acre site in Las Vegas includes a parcel of approximately 20 acres fronting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Boulevard and an approximately 137-acre plot located behind the hotel on which the new golf course will be built. Subject to being released from liens under our subsidiaries' indebtedness, those parcels would provide the potential for future projects in Las Vegas, including a possible second hotel casino as a Phase II development on the 20-acre parcel.</w:t>
      </w:r>
    </w:p>
    <w:p>
      <w:pPr>
        <w:spacing w:after="0" w:line="224"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Experienced Management Team. </w:t>
      </w:r>
      <w:r>
        <w:rPr>
          <w:rFonts w:ascii="Arial" w:cs="Arial" w:eastAsia="Arial" w:hAnsi="Arial"/>
          <w:sz w:val="16"/>
          <w:szCs w:val="16"/>
          <w:color w:val="auto"/>
        </w:rPr>
        <w:t>Mr. Wynn is designing Le Rêve and brings to the project his experience as the designer of</w:t>
      </w:r>
      <w:r>
        <w:rPr>
          <w:rFonts w:ascii="Arial" w:cs="Arial" w:eastAsia="Arial" w:hAnsi="Arial"/>
          <w:sz w:val="16"/>
          <w:szCs w:val="16"/>
          <w:i w:val="1"/>
          <w:iCs w:val="1"/>
          <w:color w:val="auto"/>
        </w:rPr>
        <w:t xml:space="preserve"> </w:t>
      </w:r>
      <w:r>
        <w:rPr>
          <w:rFonts w:ascii="Arial" w:cs="Arial" w:eastAsia="Arial" w:hAnsi="Arial"/>
          <w:sz w:val="16"/>
          <w:szCs w:val="16"/>
          <w:color w:val="auto"/>
        </w:rPr>
        <w:t>Bellagio, The Mirage and Treasure Island at The Mirage. Many of our other key people worked with Mr. Wynn at Mirage Resorts.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 Rêve Strategy</w:t>
      </w:r>
    </w:p>
    <w:p>
      <w:pPr>
        <w:spacing w:after="0" w:line="245" w:lineRule="exact"/>
        <w:rPr>
          <w:sz w:val="20"/>
          <w:szCs w:val="20"/>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Create a "Must-Visit" Destination Casino Resort on the Las Vegas Strip. </w:t>
      </w:r>
      <w:r>
        <w:rPr>
          <w:rFonts w:ascii="Arial" w:cs="Arial" w:eastAsia="Arial" w:hAnsi="Arial"/>
          <w:sz w:val="16"/>
          <w:szCs w:val="16"/>
          <w:color w:val="auto"/>
        </w:rPr>
        <w:t>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Open the First New Major Hotel Casino Resort on the Las Vegas Strip in Almost Five Years. </w:t>
      </w:r>
      <w:r>
        <w:rPr>
          <w:rFonts w:ascii="Arial" w:cs="Arial" w:eastAsia="Arial" w:hAnsi="Arial"/>
          <w:sz w:val="16"/>
          <w:szCs w:val="16"/>
          <w:color w:val="auto"/>
        </w:rPr>
        <w:t>We believe that, at the time of Le Rêve's planned</w:t>
      </w:r>
      <w:r>
        <w:rPr>
          <w:rFonts w:ascii="Arial" w:cs="Arial" w:eastAsia="Arial" w:hAnsi="Arial"/>
          <w:sz w:val="16"/>
          <w:szCs w:val="16"/>
          <w:i w:val="1"/>
          <w:iCs w:val="1"/>
          <w:color w:val="auto"/>
        </w:rPr>
        <w:t xml:space="preserve"> </w:t>
      </w:r>
      <w:r>
        <w:rPr>
          <w:rFonts w:ascii="Arial" w:cs="Arial" w:eastAsia="Arial" w:hAnsi="Arial"/>
          <w:sz w:val="16"/>
          <w:szCs w:val="16"/>
          <w:color w:val="auto"/>
        </w:rPr>
        <w:t>opening in April 2005, it will have been almost five years since a major new hotel casino resort opened on the Las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Vegas Strip. As a result, we expect that there will be a high level of customer anticipation for Le Rêve.</w:t>
      </w:r>
    </w:p>
    <w:p>
      <w:pPr>
        <w:spacing w:after="0" w:line="252" w:lineRule="exact"/>
        <w:rPr>
          <w:sz w:val="20"/>
          <w:szCs w:val="20"/>
          <w:color w:val="auto"/>
        </w:rPr>
      </w:pPr>
    </w:p>
    <w:p>
      <w:pPr>
        <w:ind w:left="1080" w:right="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ectPr>
          <w:pgSz w:w="11900" w:h="16838" w:orient="portrait"/>
          <w:cols w:equalWidth="0" w:num="1">
            <w:col w:w="11420"/>
          </w:cols>
          <w:pgMar w:left="240" w:top="131" w:right="239" w:bottom="9" w:gutter="0" w:footer="0" w:header="0"/>
        </w:sectPr>
      </w:pPr>
    </w:p>
    <w:bookmarkStart w:id="3" w:name="page4"/>
    <w:bookmarkEnd w:id="3"/>
    <w:p>
      <w:pPr>
        <w:spacing w:after="0" w:line="108" w:lineRule="exact"/>
        <w:rPr>
          <w:sz w:val="20"/>
          <w:szCs w:val="20"/>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52"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20" w:hanging="532"/>
        <w:spacing w:after="0" w:line="259"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07"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52"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on-site, full-service Ferrari and Maserati dealership;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 art gallery displaying works from the private art collection of Mr. Wynn and his wife, Elaine Wynn.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Generate Substantial Revenue from Le Rêve's Non-Gaming Amenities. </w:t>
      </w:r>
      <w:r>
        <w:rPr>
          <w:rFonts w:ascii="Arial" w:cs="Arial" w:eastAsia="Arial" w:hAnsi="Arial"/>
          <w:sz w:val="18"/>
          <w:szCs w:val="18"/>
          <w:color w:val="auto"/>
        </w:rPr>
        <w:t>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85" w:lineRule="exact"/>
        <w:rPr>
          <w:rFonts w:ascii="Arial" w:cs="Arial" w:eastAsia="Arial" w:hAnsi="Arial"/>
          <w:sz w:val="16"/>
          <w:szCs w:val="16"/>
          <w:color w:val="auto"/>
        </w:rPr>
      </w:pPr>
    </w:p>
    <w:p>
      <w:pPr>
        <w:ind w:left="1080" w:right="120" w:hanging="532"/>
        <w:spacing w:after="0" w:line="29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Carefully Manage Construction Costs and Risks. </w:t>
      </w:r>
      <w:r>
        <w:rPr>
          <w:rFonts w:ascii="Arial" w:cs="Arial" w:eastAsia="Arial" w:hAnsi="Arial"/>
          <w:sz w:val="16"/>
          <w:szCs w:val="16"/>
          <w:color w:val="auto"/>
        </w:rPr>
        <w:t>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this offering;</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this offering;</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620" w:right="4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$33.8 million under Wynn Las Vegas' revolving credit facility that may be used to pay interest and other financing fees with respect to our subsidiaries' indebtedness if completion is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Macau Strategy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ectPr>
          <w:pgSz w:w="11900" w:h="16947" w:orient="portrait"/>
          <w:cols w:equalWidth="0" w:num="1">
            <w:col w:w="11380"/>
          </w:cols>
          <w:pgMar w:left="240" w:top="145" w:right="279" w:bottom="0" w:gutter="0" w:footer="0" w:header="0"/>
        </w:sectPr>
      </w:pPr>
    </w:p>
    <w:bookmarkStart w:id="4" w:name="page5"/>
    <w:bookmarkEnd w:id="4"/>
    <w:p>
      <w:pPr>
        <w:spacing w:after="0" w:line="13"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phase of Wynn Macau's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Wynn Macau expects to exercise its right to lease the first permanent casino site and to begin construction of the initial phase after certain necessary legislative changes are enacted by the Macau government and the financing is completed. Based upon our discussions with government officials, we believe these legislative changes will be introduced by early 2003. Wynn Macau will not begin construction or operation of any casino in Macau if these legislative changes are not enacted.</w:t>
      </w:r>
    </w:p>
    <w:p>
      <w:pPr>
        <w:spacing w:after="0" w:line="200" w:lineRule="exact"/>
        <w:rPr>
          <w:sz w:val="20"/>
          <w:szCs w:val="20"/>
          <w:color w:val="auto"/>
        </w:rPr>
      </w:pP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in our common stock involves substantial risks, including the following:</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highly leveraged and future cash flow may not be sufficient for our subsidiaries to meet their obligations, and we might have difficulty obtaining more financing;</w:t>
      </w:r>
    </w:p>
    <w:p>
      <w:pPr>
        <w:spacing w:after="0" w:line="212"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holding company, Wynn Resorts is entirely dependent upon the operations of its subsidiaries and their ability to make dividends or distributions to provide cash flow at Wynn Resorts;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Wynn Macau may determine not to go forward with the Macau opportunity at any time, possibly resulting in the loss of a significant investment;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Wynn Macau builds and operates one or more casinos in Macau, it will be subject to considerable risks, including risks related to Macau's untested regulatory framework.</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Concurrent with this offering, Wynn Resorts' wholly owned indirect subsidiaries, Wynn Las Vegas, which will own and operate Le Rêve, and Wynn Capital, are jointly offering $340 million in aggregate principal amount of second mortgage notes. In addition, Wynn Las Vegas will enter into credit facilities providing for $1 billion of indebtedness and a $188.5 million loan facility secured by certain furniture, fixtures and equipment. We intend to use a portion of the net proceeds of this offering together with the net proceeds of the contemplated offering of the second mortgage notes, borrowings of approximately $713.2 million under a $750 million revolving credit facility, $250 million under a delay draw term loan facility and $188.5 million under a furniture, fixtures and equipment loan facility and a portion of our existing cash on hand, to fund Le Rêve's project costs. Wynn Las Vegas has obtained commitments for the revolving credit facility and the delay draw term loan facility, and the placement agent for the furniture, fixtures and equipment facility has received commitments from the lenders who will be a party to that loan facility. We sometimes refer to the revolving credit facility and the delay draw term loan facility as the credit facilities and to the furniture, fixtures and equipment facility as the FF&amp;E facility. Consummation of this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offering is conditioned on consummation of the offering of the second mortgage notes and on Wynn Las Vegas entering into the agreements governing the credit facilities and FF&amp;E facility. These conditions may not be waived by Wynn Resorts.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Wynn Resorts and the Macau-related subsidiaries, will not be guarantors and will not be subject to the covenants in the indenture governing the second mortgage notes, the credit facilities or the FF&amp;E facility, except that Wynn Resorts will become a guarantor under these debt instruments if it incurs certain indebtedness in excess of $10 million in the aggregate, or becomes a guarantor on other specified indebtedness.</w:t>
      </w:r>
    </w:p>
    <w:p>
      <w:pPr>
        <w:sectPr>
          <w:pgSz w:w="11900" w:h="16852" w:orient="portrait"/>
          <w:cols w:equalWidth="0" w:num="1">
            <w:col w:w="11420"/>
          </w:cols>
          <w:pgMar w:left="240" w:top="131" w:right="239" w:bottom="0" w:gutter="0" w:footer="0" w:header="0"/>
        </w:sectPr>
      </w:pPr>
    </w:p>
    <w:bookmarkStart w:id="5" w:name="page6"/>
    <w:bookmarkEnd w:id="5"/>
    <w:p>
      <w:pPr>
        <w:ind w:right="300" w:firstLine="348"/>
        <w:spacing w:after="0" w:line="332" w:lineRule="auto"/>
        <w:rPr>
          <w:sz w:val="20"/>
          <w:szCs w:val="20"/>
          <w:color w:val="auto"/>
        </w:rPr>
      </w:pPr>
      <w:r>
        <w:rPr>
          <w:rFonts w:ascii="Arial" w:cs="Arial" w:eastAsia="Arial" w:hAnsi="Arial"/>
          <w:sz w:val="16"/>
          <w:szCs w:val="16"/>
          <w:color w:val="auto"/>
        </w:rPr>
        <w:t>Wynn Resorts indirectly owns an approximately 82.5% economic interest in Wynn Macau. A more detailed corporate chart relating to the Macau-related entities appears under the heading "Business—The Macau Opportunity—Ownership Structure of the Macau-Related Entities."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06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0" w:right="140" w:hanging="532"/>
        <w:spacing w:after="0" w:line="181"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w:t>
      </w:r>
    </w:p>
    <w:p>
      <w:pPr>
        <w:ind w:left="540" w:hanging="532"/>
        <w:spacing w:after="0" w:line="197" w:lineRule="auto"/>
        <w:tabs>
          <w:tab w:leader="none" w:pos="540" w:val="left"/>
        </w:tabs>
        <w:numPr>
          <w:ilvl w:val="0"/>
          <w:numId w:val="8"/>
        </w:numPr>
        <w:rPr>
          <w:rFonts w:ascii="Arial" w:cs="Arial" w:eastAsia="Arial" w:hAnsi="Arial"/>
          <w:sz w:val="10"/>
          <w:szCs w:val="10"/>
          <w:color w:val="auto"/>
          <w:vertAlign w:val="subscript"/>
        </w:rPr>
      </w:pPr>
      <w:r>
        <w:rPr>
          <w:rFonts w:ascii="Arial" w:cs="Arial" w:eastAsia="Arial" w:hAnsi="Arial"/>
          <w:sz w:val="8"/>
          <w:szCs w:val="8"/>
          <w:color w:val="auto"/>
        </w:rPr>
        <w:t>Consists of shares held by Baron Asset Fund on behalf of the Baron Asset Fund Series and the Baron Growth Fund Series.</w:t>
      </w:r>
    </w:p>
    <w:p>
      <w:pPr>
        <w:ind w:left="540" w:hanging="532"/>
        <w:spacing w:after="0" w:line="187" w:lineRule="auto"/>
        <w:tabs>
          <w:tab w:leader="none" w:pos="540" w:val="left"/>
        </w:tabs>
        <w:numPr>
          <w:ilvl w:val="0"/>
          <w:numId w:val="8"/>
        </w:numPr>
        <w:rPr>
          <w:rFonts w:ascii="Arial" w:cs="Arial" w:eastAsia="Arial" w:hAnsi="Arial"/>
          <w:sz w:val="24"/>
          <w:szCs w:val="24"/>
          <w:color w:val="auto"/>
          <w:vertAlign w:val="subscript"/>
        </w:rPr>
      </w:pPr>
      <w:r>
        <w:rPr>
          <w:rFonts w:ascii="Arial" w:cs="Arial" w:eastAsia="Arial" w:hAnsi="Arial"/>
          <w:sz w:val="12"/>
          <w:szCs w:val="12"/>
          <w:color w:val="auto"/>
        </w:rPr>
        <w:t>Following the completion of this offering,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2.0% of Wynn Resorts' outstanding shares, and the percentage ownership interests of Mr. Wynn, Aruze USA, Baron Asset Fund, Kenneth R. Wynn Family Trust and the public stockholders would be approximately 29.2%, 29.2%, 3.1%, 0.1% and 36.4%, respectively.</w:t>
      </w:r>
    </w:p>
    <w:p>
      <w:pPr>
        <w:spacing w:after="0" w:line="2" w:lineRule="exact"/>
        <w:rPr>
          <w:rFonts w:ascii="Arial" w:cs="Arial" w:eastAsia="Arial" w:hAnsi="Arial"/>
          <w:sz w:val="24"/>
          <w:szCs w:val="24"/>
          <w:color w:val="auto"/>
          <w:vertAlign w:val="subscript"/>
        </w:rPr>
      </w:pPr>
    </w:p>
    <w:p>
      <w:pPr>
        <w:ind w:left="540" w:hanging="532"/>
        <w:spacing w:after="0" w:line="187" w:lineRule="auto"/>
        <w:tabs>
          <w:tab w:leader="none" w:pos="540" w:val="left"/>
        </w:tabs>
        <w:numPr>
          <w:ilvl w:val="0"/>
          <w:numId w:val="8"/>
        </w:numPr>
        <w:rPr>
          <w:rFonts w:ascii="Arial" w:cs="Arial" w:eastAsia="Arial" w:hAnsi="Arial"/>
          <w:sz w:val="12"/>
          <w:szCs w:val="12"/>
          <w:color w:val="auto"/>
          <w:vertAlign w:val="subscript"/>
        </w:rPr>
      </w:pPr>
      <w:r>
        <w:rPr>
          <w:rFonts w:ascii="Arial" w:cs="Arial" w:eastAsia="Arial" w:hAnsi="Arial"/>
          <w:sz w:val="8"/>
          <w:szCs w:val="8"/>
          <w:color w:val="auto"/>
        </w:rPr>
        <w:t>Based on the number of shares proposed to be issued in this offering, excluding any shares that may be issued pursuant to the exercise of the underwriters' over-allotment option.</w:t>
      </w:r>
    </w:p>
    <w:p>
      <w:pPr>
        <w:ind w:left="540" w:right="80" w:hanging="532"/>
        <w:spacing w:after="0" w:line="184" w:lineRule="auto"/>
        <w:tabs>
          <w:tab w:leader="none" w:pos="540" w:val="left"/>
        </w:tabs>
        <w:numPr>
          <w:ilvl w:val="0"/>
          <w:numId w:val="8"/>
        </w:numPr>
        <w:rPr>
          <w:rFonts w:ascii="Arial" w:cs="Arial" w:eastAsia="Arial" w:hAnsi="Arial"/>
          <w:sz w:val="23"/>
          <w:szCs w:val="23"/>
          <w:color w:val="auto"/>
          <w:vertAlign w:val="subscript"/>
        </w:rPr>
      </w:pPr>
      <w:r>
        <w:rPr>
          <w:rFonts w:ascii="Arial" w:cs="Arial" w:eastAsia="Arial" w:hAnsi="Arial"/>
          <w:sz w:val="12"/>
          <w:szCs w:val="12"/>
          <w:color w:val="auto"/>
        </w:rPr>
        <w:t>The shaded area shows the entities that will be issuers or other restricted entities with respect to the second mortgage notes and borrowers or other restricted entities with respect to the revolving credit facility, delay draw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40"/>
        <w:spacing w:after="0" w:line="239" w:lineRule="auto"/>
        <w:rPr>
          <w:sz w:val="20"/>
          <w:szCs w:val="20"/>
          <w:color w:val="auto"/>
        </w:rPr>
      </w:pPr>
      <w:r>
        <w:rPr>
          <w:rFonts w:ascii="Arial" w:cs="Arial" w:eastAsia="Arial" w:hAnsi="Arial"/>
          <w:sz w:val="14"/>
          <w:szCs w:val="14"/>
          <w:color w:val="auto"/>
        </w:rPr>
        <w:t>term loan facility and FF&amp;E facility. These entities will also be the guarantors under these debt facilities. Wynn Resorts' subsidiaries that will develop the Macau opportunity will not be issuers, borrowers, guarantors or restricted entities with respect to the financing of Le Rêve.</w:t>
      </w:r>
    </w:p>
    <w:p>
      <w:pPr>
        <w:spacing w:after="0" w:line="139" w:lineRule="exact"/>
        <w:rPr>
          <w:sz w:val="20"/>
          <w:szCs w:val="20"/>
          <w:color w:val="auto"/>
        </w:rPr>
      </w:pPr>
    </w:p>
    <w:p>
      <w:pPr>
        <w:ind w:left="540" w:right="160" w:hanging="532"/>
        <w:spacing w:after="0" w:line="190"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Includes a number of wholly owned and partially owned entities. Wynn Resorts owns an approximately 82.5% economic interest in, and effectively controls approximately 90% of the vote of, Wynn Macau indirectly through various subsidiaries. For additional information regarding these entities, see "Business—The Macau Opportunity—Ownership Structure of Macau-Related Entities."</w:t>
      </w:r>
    </w:p>
    <w:p>
      <w:pPr>
        <w:ind w:left="540" w:hanging="532"/>
        <w:spacing w:after="0" w:line="187" w:lineRule="auto"/>
        <w:tabs>
          <w:tab w:leader="none" w:pos="540" w:val="left"/>
        </w:tabs>
        <w:numPr>
          <w:ilvl w:val="0"/>
          <w:numId w:val="9"/>
        </w:numPr>
        <w:rPr>
          <w:rFonts w:ascii="Arial" w:cs="Arial" w:eastAsia="Arial" w:hAnsi="Arial"/>
          <w:sz w:val="12"/>
          <w:szCs w:val="12"/>
          <w:color w:val="auto"/>
          <w:vertAlign w:val="subscript"/>
        </w:rPr>
      </w:pPr>
      <w:r>
        <w:rPr>
          <w:rFonts w:ascii="Arial" w:cs="Arial" w:eastAsia="Arial" w:hAnsi="Arial"/>
          <w:sz w:val="8"/>
          <w:szCs w:val="8"/>
          <w:color w:val="auto"/>
        </w:rPr>
        <w:t>Includes a number of wholly owned subsidiary limited liability companies. These entities include Rambas Marketing Co., LLC, Toasty, LLC and WorldWide Wynn, LLC.</w:t>
      </w:r>
    </w:p>
    <w:p>
      <w:pPr>
        <w:ind w:left="540" w:right="40" w:hanging="532"/>
        <w:spacing w:after="0" w:line="187" w:lineRule="auto"/>
        <w:tabs>
          <w:tab w:leader="none" w:pos="54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Those covenants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2" w:lineRule="exact"/>
        <w:rPr>
          <w:rFonts w:ascii="Arial" w:cs="Arial" w:eastAsia="Arial" w:hAnsi="Arial"/>
          <w:sz w:val="24"/>
          <w:szCs w:val="24"/>
          <w:color w:val="auto"/>
          <w:vertAlign w:val="subscript"/>
        </w:rPr>
      </w:pPr>
    </w:p>
    <w:p>
      <w:pPr>
        <w:ind w:left="540" w:right="120" w:hanging="532"/>
        <w:spacing w:after="0" w:line="181" w:lineRule="auto"/>
        <w:tabs>
          <w:tab w:leader="none" w:pos="540" w:val="left"/>
        </w:tabs>
        <w:numPr>
          <w:ilvl w:val="0"/>
          <w:numId w:val="9"/>
        </w:numPr>
        <w:rPr>
          <w:rFonts w:ascii="Arial" w:cs="Arial" w:eastAsia="Arial" w:hAnsi="Arial"/>
          <w:sz w:val="18"/>
          <w:szCs w:val="18"/>
          <w:color w:val="auto"/>
          <w:vertAlign w:val="subscript"/>
        </w:rPr>
      </w:pPr>
      <w:r>
        <w:rPr>
          <w:rFonts w:ascii="Arial" w:cs="Arial" w:eastAsia="Arial" w:hAnsi="Arial"/>
          <w:sz w:val="10"/>
          <w:szCs w:val="10"/>
          <w:color w:val="auto"/>
        </w:rPr>
        <w:t>We will contribute $30 million of the net proceeds of this offering to Wynn Las Vegas to be held in a liquidity reserve account to support Wynn Las Vegas' obligation to complete the Le Rêve project. Such funds will be applied to the costs of the project in accordance with the disbursement agreement. See "Use of Proceeds."</w:t>
      </w:r>
    </w:p>
    <w:p>
      <w:pPr>
        <w:ind w:left="540" w:right="100" w:hanging="532"/>
        <w:spacing w:after="0" w:line="183" w:lineRule="auto"/>
        <w:tabs>
          <w:tab w:leader="none" w:pos="540" w:val="left"/>
        </w:tabs>
        <w:numPr>
          <w:ilvl w:val="0"/>
          <w:numId w:val="9"/>
        </w:numPr>
        <w:rPr>
          <w:rFonts w:ascii="Arial" w:cs="Arial" w:eastAsia="Arial" w:hAnsi="Arial"/>
          <w:sz w:val="26"/>
          <w:szCs w:val="26"/>
          <w:color w:val="auto"/>
          <w:vertAlign w:val="subscript"/>
        </w:rPr>
      </w:pPr>
      <w:r>
        <w:rPr>
          <w:rFonts w:ascii="Arial" w:cs="Arial" w:eastAsia="Arial" w:hAnsi="Arial"/>
          <w:sz w:val="13"/>
          <w:szCs w:val="13"/>
          <w:color w:val="auto"/>
        </w:rPr>
        <w:t>We will contribute $50 million of the net proceeds of this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Information</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Wynn Resorts, Limited is a Nevada corporation. Wynn Resorts' principal executive offices are located at 3145 Las Vegas Boulevard South, Las Vegas, Nevada 89109. Wynn Resorts' telephone number is (702) 733-4444.</w:t>
      </w:r>
    </w:p>
    <w:p>
      <w:pPr>
        <w:sectPr>
          <w:pgSz w:w="11900" w:h="16838" w:orient="portrait"/>
          <w:cols w:equalWidth="0" w:num="1">
            <w:col w:w="11400"/>
          </w:cols>
          <w:pgMar w:left="240" w:top="131" w:right="259" w:bottom="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60" w:type="dxa"/>
            <w:vAlign w:val="bottom"/>
          </w:tcPr>
          <w:p>
            <w:pPr>
              <w:ind w:left="186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Wynn</w:t>
            </w: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23,685,000 shares</w:t>
            </w:r>
          </w:p>
        </w:tc>
        <w:tc>
          <w:tcPr>
            <w:tcW w:w="0" w:type="dxa"/>
            <w:vAlign w:val="bottom"/>
          </w:tcPr>
          <w:p>
            <w:pPr>
              <w:spacing w:after="0"/>
              <w:rPr>
                <w:sz w:val="1"/>
                <w:szCs w:val="1"/>
                <w:color w:val="auto"/>
              </w:rPr>
            </w:pPr>
          </w:p>
        </w:tc>
      </w:tr>
      <w:tr>
        <w:trPr>
          <w:trHeight w:val="424"/>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Common stock to be outstanding after</w:t>
            </w: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this offering</w:t>
            </w: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63,685,000 shares</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 intend to use:</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0"/>
              </w:rPr>
              <w:t>a portion of our existing cash and $374.7 million of net proceeds from this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89"/>
              </w:rPr>
              <w:t>offering, along with the borrowings under the credit facilities and the FF&amp;E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5"/>
              </w:rPr>
              <w:t>facility and the net proceeds from the offering of the second mortgage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notes, to design, construct, develop, equip and open Le Rêve; and</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up to $40 million of the net proceeds from this offering as part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financing of Wynn Macau to design, construct, develop, equip and operate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one or more casino resorts in Macau.</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Of the $374.7 million we will contribute to Wynn Las Vegas:</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9"/>
              </w:rPr>
              <w:t>$50 million will be contributed to a special purpose subsidiary of Wynn Las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Vegas, which will provide a $50 million completion guarantee 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connection with the construction and opening of Le Rêve; and</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ind w:left="240"/>
              <w:spacing w:after="0"/>
              <w:rPr>
                <w:sz w:val="20"/>
                <w:szCs w:val="20"/>
                <w:color w:val="auto"/>
              </w:rPr>
            </w:pPr>
            <w:r>
              <w:rPr>
                <w:rFonts w:ascii="Arial" w:cs="Arial" w:eastAsia="Arial" w:hAnsi="Arial"/>
                <w:sz w:val="18"/>
                <w:szCs w:val="18"/>
                <w:color w:val="auto"/>
                <w:w w:val="91"/>
              </w:rPr>
              <w:t>$30 million will be contributed to Wynn Las Vegas to be held in a liquidity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w:t>
            </w:r>
          </w:p>
        </w:tc>
        <w:tc>
          <w:tcPr>
            <w:tcW w:w="5560" w:type="dxa"/>
            <w:vAlign w:val="bottom"/>
          </w:tcPr>
          <w:p>
            <w:pPr>
              <w:ind w:left="240"/>
              <w:spacing w:after="0"/>
              <w:rPr>
                <w:sz w:val="20"/>
                <w:szCs w:val="20"/>
                <w:color w:val="auto"/>
              </w:rPr>
            </w:pPr>
            <w:r>
              <w:rPr>
                <w:rFonts w:ascii="Arial" w:cs="Arial" w:eastAsia="Arial" w:hAnsi="Arial"/>
                <w:sz w:val="18"/>
                <w:szCs w:val="18"/>
                <w:color w:val="auto"/>
              </w:rPr>
              <w:t>reserve account.</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The completion guarantee account and the liquidity reserve account will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pledged to the lenders under the credit facilities and the second mortgage note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holders to secure our subsidiaries' obligations to complete the Le Rêve project.</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89"/>
              </w:rPr>
              <w:t>If the underwriters exercise their over-allotment option in this offering, we may use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the additional net proceeds for general corporate purposes, including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w w:val="91"/>
              </w:rPr>
              <w:t>unanticipated construction and debt service expenses related to Le Rêve and for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additional expenditures related to the Macau opportunity.</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Listing</w:t>
            </w: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Wynn Resorts' common stock has been approved for quotation on The Nasdaq</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National Market under the symbol "WYNN."</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share information in this prospectus is based on the number of shares outstanding as of October 1, 2002 and excludes:</w:t>
      </w:r>
    </w:p>
    <w:p>
      <w:pPr>
        <w:spacing w:after="0" w:line="262" w:lineRule="exact"/>
        <w:rPr>
          <w:sz w:val="20"/>
          <w:szCs w:val="20"/>
          <w:color w:val="auto"/>
        </w:rPr>
      </w:pPr>
    </w:p>
    <w:p>
      <w:pPr>
        <w:ind w:left="1620" w:hanging="53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9,750,000 shares of Wynn Resorts' common stock available for future issuance under our stock incentive plan; and</w:t>
      </w:r>
    </w:p>
    <w:p>
      <w:pPr>
        <w:spacing w:after="0" w:line="252" w:lineRule="exact"/>
        <w:rPr>
          <w:rFonts w:ascii="Arial" w:cs="Arial" w:eastAsia="Arial" w:hAnsi="Arial"/>
          <w:sz w:val="18"/>
          <w:szCs w:val="18"/>
          <w:color w:val="auto"/>
        </w:rPr>
      </w:pPr>
    </w:p>
    <w:p>
      <w:pPr>
        <w:ind w:left="1620" w:right="560" w:hanging="532"/>
        <w:spacing w:after="0" w:line="268"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possible issuance of up to 3,552,750 additional shares of Wynn Resorts' common stock that the underwriters have the option to purchase from Wynn Resorts to cover over-allotments.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Investing in Wynn Resorts will be subject to significant risks. You should carefully consider the risks described below, together with all of the other information included in this prospectus, before deciding to purchase Wynn Resorts' common stock. If any of the following risks and uncertainties actually occur, our business, financial condition or operating results could be harmed substantially. This could cause the trading price of Wynn Resorts' common stock to decline, perhaps significantly, and you may lose all or part of your investment in Wynn Resorts' common stock.</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Concurrent with the closing of this offering and Wynn Las Vegas' offering of second mortgage notes, Wynn Las Vegas will enter into agreements governing credit facilities providing for borrowings up to $1 billion and the FF&amp;E facility providing for additional loans up to $188.5 million, which Wynn Las Vegas may request the FF&amp;E lenders to increase to $198.5 million if we purchase a replacement corporate aircraft. The closings of this offering, the second mortgage notes offering, the credit facilities and the FF&amp;E facility will be conditioned on each other.</w:t>
      </w:r>
    </w:p>
    <w:p>
      <w:pPr>
        <w:spacing w:after="0" w:line="197"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At the closing, Wynn Resorts will contribute $374.7 million of the net proceeds of this offering and Valvino will contribute all of its existing cash on hand to Wynn Las Vegas. At the closing, Wynn Las Vegas will enter into a disbursement agreement with the agents under the credit facilities and the FF&amp;E facility and the second mortgage note trustee. Under the disbursement agreement, Wynn Las Vegas is required to first use equity proceeds and the cash on hand that Wynn Resorts and Valvino contributed to Wynn Las Vegas,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Wynn Las Vegas will be permitted to use the proceeds of the second mortgage notes. Wynn Las Vegas will not be permitted to borrow</w:t>
      </w:r>
    </w:p>
    <w:p>
      <w:pPr>
        <w:sectPr>
          <w:pgSz w:w="11900" w:h="16838" w:orient="portrait"/>
          <w:cols w:equalWidth="0" w:num="1">
            <w:col w:w="11360"/>
          </w:cols>
          <w:pgMar w:left="240" w:top="341" w:right="299" w:bottom="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under the credit facilities or the FF&amp;E facility until it has applied all of the proceeds of the second mortgage notes offering, which is expected to be approximately 16 to 19 months after the closing of this offering.</w:t>
      </w:r>
    </w:p>
    <w:p>
      <w:pPr>
        <w:spacing w:after="0" w:line="186"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Wynn Las Vegas' ability to, from time to time, obtain a disbursement of the proceeds of the second mortgage notes or borrow under the credit facilities and the FF&amp;E facility will be subject to various conditions precedent. As such, a substantial portion of the equity proceeds will have been spent before we know whether the conditions to disbursement of funds under Wynn Las Vegas' debt facilities will have been satisfied. In addition to other customary conditions to funding for these types of facilities, Wynn Las Vegas' ability to obtain a disbursement of the funds under its debt instruments will be subject to the following conditions:</w:t>
      </w:r>
    </w:p>
    <w:p>
      <w:pPr>
        <w:spacing w:after="0" w:line="210" w:lineRule="exact"/>
        <w:rPr>
          <w:sz w:val="20"/>
          <w:szCs w:val="20"/>
          <w:color w:val="auto"/>
        </w:rPr>
      </w:pPr>
    </w:p>
    <w:p>
      <w:pPr>
        <w:jc w:val="both"/>
        <w:ind w:left="1080" w:right="20" w:hanging="532"/>
        <w:spacing w:after="0" w:line="29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80" w:right="4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129" w:lineRule="exact"/>
        <w:rPr>
          <w:rFonts w:ascii="Arial" w:cs="Arial" w:eastAsia="Arial" w:hAnsi="Arial"/>
          <w:sz w:val="15"/>
          <w:szCs w:val="15"/>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Wynn Las Vegas, must equal or exceed the remaining costs to complete Le Rêve's construction plus a required contingency; and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cannot assure you that Wynn Las Vegas will be able to satisfy the conditions to funding at the time disbursements or drawdowns are required to make payments of our construction costs. Satisfaction of various conditions is subject to the discretion of the lenders under the credit facilities and their consultants and is therefore beyond Wynn Las Vegas' control.</w:t>
      </w:r>
    </w:p>
    <w:p>
      <w:pPr>
        <w:spacing w:after="0" w:line="194"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Any failure to satisfy the conditions to the release of the second mortgage note proceeds or drawdowns under the credit facilities or the FF&amp;E facility could severely impact our ability to complete Le Rêve and could arise before or after some or all of the proceeds of this offering intended for the development and construction of Le Rêve have been expended on the project. We may not have access to alternative sources of funds necessary to complete Le Rêve on satisfactory terms or at all. If we seek additional equity capital as a funding alternative, the interests of Wynn Resorts' stockholders could be diluted.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Wynn Las Vegas which will become due through the estimated commencement date of operations of Le Rêve have been included in our estimate of the total development cost.</w:t>
      </w:r>
    </w:p>
    <w:p>
      <w:pPr>
        <w:spacing w:after="0" w:line="152" w:lineRule="exact"/>
        <w:rPr>
          <w:sz w:val="20"/>
          <w:szCs w:val="20"/>
          <w:color w:val="auto"/>
        </w:rPr>
      </w:pPr>
    </w:p>
    <w:p>
      <w:pPr>
        <w:ind w:right="380" w:firstLine="348"/>
        <w:spacing w:after="0" w:line="303" w:lineRule="auto"/>
        <w:rPr>
          <w:sz w:val="20"/>
          <w:szCs w:val="20"/>
          <w:color w:val="auto"/>
        </w:rPr>
      </w:pPr>
      <w:r>
        <w:rPr>
          <w:rFonts w:ascii="Arial" w:cs="Arial" w:eastAsia="Arial" w:hAnsi="Arial"/>
          <w:sz w:val="15"/>
          <w:szCs w:val="15"/>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Wynn Las Vegas has a</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Wynn Las Vegas incrementally once the project is halfway completed. If Wynn Las Vegas is unable to use these contingencies or if these contingencies are not sufficient to cover these costs, we may not have the funds required to pay the excess costs. Wynn Las Vegas' inability to pay development costs as they are incurred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will negatively affect our ability to complete Le Rêve and thus may significantly impair our business operations and prospects.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it from obtaining funds from the second mortgage note proceeds secured account or, after those funds are exhausted, to draw down under the credit facilities and the FF&amp;E facility. If Wynn Las Vegas cannot obtain these funds, it will not be able to open Le Rêve to the general public on schedule or at all, which would have a significant negative impact on our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ectPr>
          <w:pgSz w:w="11900" w:h="16838" w:orient="portrait"/>
          <w:cols w:equalWidth="0" w:num="1">
            <w:col w:w="11420"/>
          </w:cols>
          <w:pgMar w:left="240" w:top="131" w:right="239" w:bottom="0" w:gutter="0" w:footer="0" w:header="0"/>
        </w:sectPr>
      </w:pPr>
    </w:p>
    <w:bookmarkStart w:id="8" w:name="page9"/>
    <w:bookmarkEnd w:id="8"/>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if the contractor defaults under the construction contract, we may be unable to complete Le Rêve on schedule or within the amount budgeted.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complete construction on schedule may have a significant negative impact on our operations and financial condition.</w:t>
      </w:r>
    </w:p>
    <w:p>
      <w:pPr>
        <w:spacing w:after="0" w:line="213"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or if the performance and payment bond is insufficient to cover any shortfall, we may need to pay these excess costs in order to complete construction of Le Rêve.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w:t>
      </w:r>
    </w:p>
    <w:p>
      <w:pPr>
        <w:sectPr>
          <w:pgSz w:w="11900" w:h="16838" w:orient="portrait"/>
          <w:cols w:equalWidth="0" w:num="1">
            <w:col w:w="11420"/>
          </w:cols>
          <w:pgMar w:left="240" w:top="125" w:right="239" w:bottom="0" w:gutter="0" w:footer="0" w:header="0"/>
        </w:sectPr>
      </w:pPr>
    </w:p>
    <w:bookmarkStart w:id="9" w:name="page10"/>
    <w:bookmarkEnd w:id="9"/>
    <w:p>
      <w:pPr>
        <w:spacing w:after="0" w:line="310" w:lineRule="auto"/>
        <w:rPr>
          <w:sz w:val="20"/>
          <w:szCs w:val="20"/>
          <w:color w:val="auto"/>
        </w:rPr>
      </w:pPr>
      <w:r>
        <w:rPr>
          <w:rFonts w:ascii="Arial" w:cs="Arial" w:eastAsia="Arial" w:hAnsi="Arial"/>
          <w:sz w:val="15"/>
          <w:szCs w:val="15"/>
          <w:color w:val="auto"/>
        </w:rPr>
        <w:t>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cannot assure you that Le Rêve will commence operations on schedule or that construction costs for Le Rêve will not exceed budgeted amounts. Failure to complete Le Rêve on budget or on schedule may have a significant negative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Le Rêve is scheduled to open in April 2005, and our subsidiary Wynn Macau may pursue development of its first permanent casino resort in Macau in the same time period. If both projects are being built simultaneously, members of our senior management will be involved in planning and developing both projects. Developing the Macau opportunity simultaneously with Le Rêve may divert management resources from the construction and/or opening of either project. Management's inability to devote sufficient time and attention to either project may delay the construction or opening of either project. This type of delay could have a negative effect on our business and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for our subsidiaries to meet their obligations, and we might have difficulty obtaining more financing.</w:t>
      </w:r>
    </w:p>
    <w:p>
      <w:pPr>
        <w:spacing w:after="0" w:line="180"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we progress toward the completion of the construction of Le Rêve, we will have a substantial amount of consolidated debt in relation to our equity, which debt will increase during the construction period. Concurrent with the closing of this offering, Wynn Las Vegas will enter into debt facilities that will result in total outstanding indebtedness of approximately $1.5 billion by the time Le Rêve is completed.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subsidiaries' substantial indebtedness could have important consequences for you. For example:</w:t>
      </w:r>
    </w:p>
    <w:p>
      <w:pPr>
        <w:spacing w:after="0" w:line="239" w:lineRule="exact"/>
        <w:rPr>
          <w:sz w:val="20"/>
          <w:szCs w:val="20"/>
          <w:color w:val="auto"/>
        </w:rPr>
      </w:pPr>
    </w:p>
    <w:p>
      <w:pPr>
        <w:ind w:left="1080" w:hanging="532"/>
        <w:spacing w:after="0" w:line="302"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Wynn Las Vegas does not complete construction of Le Rêve by the scheduled completion date, which may be extended in accordance with the disbursement agreement, but not beyond September 30, 2005, except for certain limited permitted exceptions due to force majeure events, fails to meet its payment obligations or otherwise defaults under the agreements governing the indebtedness, the lenders under those agreements will have the right to accelerate the indebtedness and exercise other rights and remedies against Wynn Las Vegas and the guarantors of the indebtedness.</w:t>
      </w:r>
    </w:p>
    <w:p>
      <w:pPr>
        <w:spacing w:after="0" w:line="2"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These rights and remedies include the rights to:</w:t>
      </w:r>
    </w:p>
    <w:p>
      <w:pPr>
        <w:spacing w:after="0" w:line="200" w:lineRule="exact"/>
        <w:rPr>
          <w:rFonts w:ascii="Arial" w:cs="Arial" w:eastAsia="Arial" w:hAnsi="Arial"/>
          <w:sz w:val="15"/>
          <w:szCs w:val="15"/>
          <w:color w:val="auto"/>
        </w:rPr>
      </w:pPr>
    </w:p>
    <w:p>
      <w:pPr>
        <w:spacing w:after="0" w:line="261" w:lineRule="exact"/>
        <w:rPr>
          <w:rFonts w:ascii="Arial" w:cs="Arial" w:eastAsia="Arial" w:hAnsi="Arial"/>
          <w:sz w:val="15"/>
          <w:szCs w:val="15"/>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initiate judicial foreclosure against Wynn Las Vegas and the guarantors,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petition a court to appoint a receiver for Wynn Las Vegas and the guarantors or for substantially all of their assets,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they are insolvent, to initiate involuntary bankruptcy proceedings against Wynn Las Vegas and the guarantors,</w:t>
      </w:r>
    </w:p>
    <w:p>
      <w:pPr>
        <w:sectPr>
          <w:pgSz w:w="11900" w:h="16838" w:orient="portrait"/>
          <w:cols w:equalWidth="0" w:num="1">
            <w:col w:w="11380"/>
          </w:cols>
          <w:pgMar w:left="240" w:top="131" w:right="279" w:bottom="13" w:gutter="0" w:footer="0" w:header="0"/>
        </w:sectPr>
      </w:pPr>
    </w:p>
    <w:bookmarkStart w:id="10" w:name="page11"/>
    <w:bookmarkEnd w:id="10"/>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Once Le Rêve is operating, Wynn Las Vegas will be required to use a substantial portion of its cash flow from operations to service and amortize its indebtedness, which will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reduce the available cash flow to fund working capital, capital expenditures and other general corporate purposes and distributions up to Wynn Resorts;</w:t>
      </w:r>
    </w:p>
    <w:p>
      <w:pPr>
        <w:spacing w:after="0" w:line="213" w:lineRule="exact"/>
        <w:rPr>
          <w:sz w:val="20"/>
          <w:szCs w:val="20"/>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 the credit facilities and the FF&amp;E facility, a substantial portion of the interest rates Wynn Las Vegas pays will fluctuate with the current market rates and, accordingly, Wynn Las Vegas' interest expense will increase if market interest rates increase;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subsidiaries' substantial indebtedness will increase their vulnerability to general adverse economic and industry conditions;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jc w:val="both"/>
        <w:ind w:right="240" w:firstLine="351"/>
        <w:spacing w:after="0" w:line="298" w:lineRule="auto"/>
        <w:rPr>
          <w:sz w:val="20"/>
          <w:szCs w:val="20"/>
          <w:color w:val="auto"/>
        </w:rPr>
      </w:pPr>
      <w:r>
        <w:rPr>
          <w:rFonts w:ascii="Arial" w:cs="Arial" w:eastAsia="Arial" w:hAnsi="Arial"/>
          <w:sz w:val="16"/>
          <w:szCs w:val="16"/>
          <w:color w:val="auto"/>
        </w:rPr>
        <w:t>If Wynn Resorts incurs certain indebtedness in excess of $10 million in the aggregate, or becomes a guarantor on other specified indebtedness, it will be required to become a guarantor of the indebtedness under the credit facilities and the second mortgage notes and as a result, Wynn Resorts will be obligated to make payments to the lenders and the holders of the second mortgage notes if Wynn Las Vegas and the other guarantors of the indebtedness fail to satisfy their obligations under the credit facilities, the FF&amp;E facilities or the second mortgage notes.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As a holding company, Wynn Resorts is entirely dependent upon the operations of its subsidiaries and their ability to make dividends or distributions to provide cash flow at Wynn Resorts.</w:t>
      </w:r>
    </w:p>
    <w:p>
      <w:pPr>
        <w:spacing w:after="0" w:line="18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Wynn Resorts is a holding company and its assets consist primarily of investments in its subsidiaries, including Valvino, Wynn Resorts Holdings, Wynn Las Vegas and Wynn Macau.</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subsidiaries will conduct substantially all of our consolidated operations and own substantially all of our consolidated assets. As a result, Wynn Resorts' cash flow will depend upon:</w:t>
      </w:r>
    </w:p>
    <w:p>
      <w:pPr>
        <w:spacing w:after="0" w:line="19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or one of its intermediary holding companies will contain similar restrictions. As a result of these restrictions, or for other reasons, cash flow generated by the Macau casinos operated by Wynn Macau may not be available to service the debt of the subsidiaries developing the Le Rêve project. Similarly, any cash flow generated by the Le Rêve project may not be available to service any debt of the subsidiaries developing the Macau opportunity. See also "—Risks Related to the Offering—Wynn Resorts has never paid dividends, does not intend to pay dividends in the foreseeable future and may not pay dividends to any unsuitable person or its affiliates."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Although Wynn Las Vegas will be permitted to distribute funds to Wynn Resorts to cover certain corporate overhead, and, following completion of Le Rêve, will be permitted to pay limited management fees to Wynn Resorts if Wynn Las Vegas achieves certain financial ratios and there is not a default under the credit facilities or the indenture governing the second mortgage notes, we do not expect to have any significant cash flow at Wynn Resorts from Wynn Las Vegas for a considerable period of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may not generate sufficient cash flow to meet their substantial debt service and other obligations.</w:t>
      </w:r>
    </w:p>
    <w:p>
      <w:pPr>
        <w:spacing w:after="0" w:line="23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Before the opening of Le Rêve, which is expected to occur in April 2005, and the possible opening of one or more casinos in Macau, we and our subsidiaries will have no material operations or earnings. Consequently, we will be dependent on the proceeds of this offering, borrowings under the credit facilities and the FF&amp;E facility and the proceeds of the second mortgage note offering to meet all of Wynn Las Vegas' construction, debt service and other obligations.</w:t>
      </w:r>
    </w:p>
    <w:p>
      <w:pPr>
        <w:spacing w:after="0" w:line="142"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After Le Rêve opens, Wynn Las Vegas' ability to make interest payments under the credit facilities, the FF&amp;E facility, the second mortgage notes and other indebtedness will depend on its ability to generate sufficient cash flow from operations. We cannot assure you that Wynn Las Vegas will begin operations by the scheduled opening date or at all, or that it will be able to generate sufficient cash flow to meet its expenses, including its debt service requirements. Wynn Las Vegas' ability to generate cash flow will depend upon many factors, including:</w:t>
      </w:r>
    </w:p>
    <w:p>
      <w:pPr>
        <w:spacing w:after="0" w:line="1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future operating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services that it provides;</w:t>
      </w:r>
    </w:p>
    <w:p>
      <w:pPr>
        <w:sectPr>
          <w:pgSz w:w="11900" w:h="16838" w:orient="portrait"/>
          <w:cols w:equalWidth="0" w:num="1">
            <w:col w:w="11400"/>
          </w:cols>
          <w:pgMar w:left="240" w:top="131" w:right="259" w:bottom="13" w:gutter="0" w:footer="0" w:header="0"/>
        </w:sectPr>
      </w:pPr>
    </w:p>
    <w:bookmarkStart w:id="11" w:name="page12"/>
    <w:bookmarkEnd w:id="11"/>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ability to hire and retain employees at a reasonable cost;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legislative and regulatory factors affecting its operations and business.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Some of these factors are beyond our subsidiaries' control. Any inability of Wynn Las Vegas to meet its debt service obligations would have a material adverse effect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subsidiaries' indebtedness will be secured by a substantial portion of their assets.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Subject to applicable laws, including gaming laws, and certain agreed upon exceptions, the credit facilities and second mortgage notes will be secured by liens on substantially all of the assets of our Nevada subsidiaries that are necessary for the development, construction or operation of Le Rêve. We expect that the financing documents for the Macau opportunity will similarly involve the granting of security in substantially all of the assets of Wynn Macau.</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second mortgage notes and any other secured debt instruments would be entitled to payment from their collateral security, and holders of the unsecured debt of both us and our subsidiaries, if any, would then be entitled to payment in full from our remaining assets before distributions, if any, were made to Wynn Resorts' stockholders.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80"/>
        <w:spacing w:after="0" w:line="378" w:lineRule="auto"/>
        <w:rPr>
          <w:sz w:val="20"/>
          <w:szCs w:val="20"/>
          <w:color w:val="auto"/>
        </w:rPr>
      </w:pPr>
      <w:r>
        <w:rPr>
          <w:rFonts w:ascii="Arial" w:cs="Arial" w:eastAsia="Arial" w:hAnsi="Arial"/>
          <w:sz w:val="15"/>
          <w:szCs w:val="15"/>
          <w:b w:val="1"/>
          <w:bCs w:val="1"/>
          <w:color w:val="auto"/>
        </w:rPr>
        <w:t>The credit facilities, the FF&amp;E facility and the indenture governing the second mortgage notes will contain covenants that will restrict our Nevada subsidiaries' ability to engage in certain transactions and may impair our ability to respond to changing business and economic conditions.</w:t>
      </w:r>
    </w:p>
    <w:p>
      <w:pPr>
        <w:spacing w:after="0" w:line="11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credit facilities, the FF&amp;E facility and the indenture governing the second mortgage notes will impose operating and financial restrictions on Wynn Las Vegas, Wynn Capital and specified affiliates designated as restricted entities. The restrictions that will be imposed under these debt instruments will include, among other things, limitations on the restricted entities' ability to:</w:t>
      </w:r>
    </w:p>
    <w:p>
      <w:pPr>
        <w:spacing w:after="0" w:line="22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credit facilities will require Wynn Las Vegas and the restricted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9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ability of Wynn Las Vegas and the restricted entities to comply with these provisions may be affected by general economic conditions, industry conditions, other events beyond their control and delayed completion of Le Rêve. As a result, we cannot assure you that Wynn Las Vegas and the restricted entities will be able to comply with these covenants. Failure by Wynn Las Vegas and the restricted entities to comply with the covenants contained in the credit facilities, the FF&amp;E facility or the indenture governing the second mortgage notes, including failure as a result of events beyond their control, could result in an event of default, which could materially and adversely affect our operating results and our financial condition. If Wynn Las Vegas and the restricted entities fail to comply with a financial covenant or other restriction contained in the credit facilities, the FF&amp;E facility, the indenture governing the second mortgage notes or any future financing agreements, an event of default could occur, which could result in acceleration of all of Wynn Las Vegas' and the restricted entities' indebtedness.</w:t>
      </w:r>
    </w:p>
    <w:p>
      <w:pPr>
        <w:sectPr>
          <w:pgSz w:w="11900" w:h="16838" w:orient="portrait"/>
          <w:cols w:equalWidth="0" w:num="1">
            <w:col w:w="11400"/>
          </w:cols>
          <w:pgMar w:left="240" w:top="145" w:right="259" w:bottom="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45" w:right="259" w:bottom="0" w:gutter="0" w:footer="0" w:header="0"/>
          <w:type w:val="continuous"/>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were formed principally to develop and operate Le Rêve in Las Vegas and to pursue the Macau opportunity. Le Rêve and the Macau opportunity will be new developments with no history of operations. We cannot assure you that we will be able to attract a sufficient number of hotel guests, gaming customers and other visitors to Le Rêve or the Macau casino(s) to make their operations profitable, either independently in Las Vegas or Macau or as a whole.</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We have entered into an employment agreement with Mr. Wynn. However, we cannot assure you that Mr. Wynn will remain with us. If we lose the services of Mr. Wynn, or if he is unable to devote sufficient attention to our operations, our business may be significantly impaired. In addition, if Mr. Wynn is no longer either employed by us as Chief Executive Officer or serving as Chairman of the Board of Wynn Resorts, other than as a result of death or disability or other limited circumstances, it would constitute a change of control that requires us to repay the second mortgage notes and would constitute an event of default under the credit facilities and the FF&amp;E facility.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ectPr>
          <w:pgSz w:w="11900" w:h="16838" w:orient="portrait"/>
          <w:cols w:equalWidth="0" w:num="1">
            <w:col w:w="11420"/>
          </w:cols>
          <w:pgMar w:left="240" w:top="935" w:right="239" w:bottom="0" w:gutter="0" w:footer="0" w:header="0"/>
        </w:sectPr>
      </w:pPr>
    </w:p>
    <w:bookmarkStart w:id="13" w:name="page14"/>
    <w:bookmarkEnd w:id="13"/>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"Business—The Macau Opportunity—Competition within Macau and from Regional Markets."</w:t>
      </w:r>
    </w:p>
    <w:p>
      <w:pPr>
        <w:spacing w:after="0" w:line="16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Because we may be entirely dependent upon a limited number of properties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do not expect to have material assets or operations other than Le Rêve and Wynn Macau's casino(s) for the foreseeable future. As a result, we likely will be entirely dependent upon Le Rêve and the Macau casino(s) for all of our cash flow.</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 or Wynn Macau's casino(s).</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subsidiaries' ability to generate sufficient cash flow to make payments on the second mortgage notes pursuant to the indenture, on borrowings under the credit facilities or the FF&amp;E facility or with respect to our subsidiaries' other debt.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Le Rêve and Wynn Macau's casino(s) will be subject to extensive state and local regulation, and licensing and gaming authorities have significant control over their operations, which could have a negative effect on our business.</w:t>
      </w:r>
    </w:p>
    <w:p>
      <w:pPr>
        <w:sectPr>
          <w:pgSz w:w="11900" w:h="16838" w:orient="portrait"/>
          <w:cols w:equalWidth="0" w:num="1">
            <w:col w:w="11400"/>
          </w:cols>
          <w:pgMar w:left="240" w:top="131" w:right="259" w:bottom="102" w:gutter="0" w:footer="0" w:header="0"/>
        </w:sectPr>
      </w:pPr>
    </w:p>
    <w:bookmarkStart w:id="14" w:name="page15"/>
    <w:bookmarkEnd w:id="14"/>
    <w:p>
      <w:pPr>
        <w:ind w:right="120" w:firstLine="348"/>
        <w:spacing w:after="0" w:line="289" w:lineRule="auto"/>
        <w:rPr>
          <w:sz w:val="20"/>
          <w:szCs w:val="20"/>
          <w:color w:val="auto"/>
        </w:rPr>
      </w:pPr>
      <w:r>
        <w:rPr>
          <w:rFonts w:ascii="Arial" w:cs="Arial" w:eastAsia="Arial" w:hAnsi="Arial"/>
          <w:sz w:val="16"/>
          <w:szCs w:val="16"/>
          <w:color w:val="auto"/>
        </w:rPr>
        <w:t>The opening and operation of Le Rêve and Wynn Macau's casino(s)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or the Macau casino(s).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172"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common stock sold pursuant to this prospectus, to file applications, be investigated and be found suitable to own Wynn Resorts' securities if it has reason to believe that the security ownership would be inconsistent with the declared policies of the State of Nevada.</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 casinos in Macau.</w:t>
      </w:r>
    </w:p>
    <w:p>
      <w:pPr>
        <w:spacing w:after="0" w:line="16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 See "—Risks Related to the Offering—We may redeem your shares due to regulatory considerations, either as required by gaming authorities or in our discretion."</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The Nevada Gaming Commission may require the disposition of shares of certain stockholders of Wynn Resorts in a manner that may cause us to incur debt or disrupt our stock price.</w:t>
      </w:r>
    </w:p>
    <w:p>
      <w:pPr>
        <w:spacing w:after="0" w:line="180"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this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to Aruze USA. Any such debt obligation on our balance sheet may negatively affect the price of our common stock. See "Certain Relationships and Related Transactions—Stockholders Agreement" and "—Buy-Out of Aruze USA Stock."</w:t>
      </w:r>
    </w:p>
    <w:p>
      <w:pPr>
        <w:spacing w:after="0" w:line="174"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ectPr>
          <w:pgSz w:w="11900" w:h="16838" w:orient="portrait"/>
          <w:cols w:equalWidth="0" w:num="1">
            <w:col w:w="11420"/>
          </w:cols>
          <w:pgMar w:left="240" w:top="131" w:right="239" w:bottom="0" w:gutter="0" w:footer="0" w:header="0"/>
        </w:sectPr>
      </w:pPr>
    </w:p>
    <w:bookmarkStart w:id="15" w:name="page16"/>
    <w:bookmarkEnd w:id="15"/>
    <w:p>
      <w:pPr>
        <w:ind w:right="40" w:firstLine="351"/>
        <w:spacing w:after="0" w:line="294"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Las Vegas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that 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6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Wynn Macau will be subject to environmental laws and regulations in Macau, including laws and regulations relating to the prevention and control of noise during construction. Costs expended by Wynn Macau to comply with these Macau environmental laws and regulations, such as to implement control procedures to prevent unlawful noise levels, may have a significant negative effect on the operating results of Wynn Macau. In addition, if the government of Macau holds Wynn Macau accountable and assesses penalties or imposes restrictions on Wynn Macau for non-compliance with environmental laws or regulations, Wynn Macau's results of operations could be negatively impacted or it could lose flexibility to adapt to changes affecting the operation of its business.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ectPr>
          <w:pgSz w:w="11900" w:h="16838" w:orient="portrait"/>
          <w:cols w:equalWidth="0" w:num="1">
            <w:col w:w="11400"/>
          </w:cols>
          <w:pgMar w:left="240" w:top="131" w:right="259" w:bottom="0" w:gutter="0" w:footer="0" w:header="0"/>
        </w:sectPr>
      </w:pPr>
    </w:p>
    <w:bookmarkStart w:id="16" w:name="page17"/>
    <w:bookmarkEnd w:id="16"/>
    <w:p>
      <w:pPr>
        <w:ind w:right="40" w:firstLine="351"/>
        <w:spacing w:after="0" w:line="294"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 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6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Our subsidiaries will need to recruit a substantial number of new employees before Le Rêve or Wynn Macau's Macau project(s) open and these employees may seek unionization.</w:t>
      </w:r>
    </w:p>
    <w:p>
      <w:pPr>
        <w:spacing w:after="0" w:line="18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Le Rêve or Wynn Macau's casino(s) open and the employees in Las Vegas and Macau may seek union representation. We cannot be certain that our subsidiaries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In addition, any employees that Wynn Resorts' Macau-related subsidiaries might employ could also seek to collectively negotiate the terms and conditions of their employment with Wynn Resorts' Macau-related subsidiaries. Unionization, pressure to unionize or other forms of collective bargaining could increase our subsidiaries' labor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be subject to regulatory control by the Public Utilities Commission of Nevada.</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Wynn Resorts,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we decide to make changes to our ownership structure, such as in a merger or acquisition transaction or a significant stock issuance, or a sale of Aruze USA's shares of Wynn Resorts' common stock in the event that Aruze USA is found to be unsuitable to own such stock, we will likely be required to obtain the prior approval of the Public Utilities Commission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stockholders.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b w:val="1"/>
          <w:bCs w:val="1"/>
          <w:color w:val="auto"/>
        </w:rPr>
        <w:t>We continue to explore opportunities to develop additional gaming or related businesses that could have an adverse impact on our business if unsuccessful.</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second mortgage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Associated with the Macau Opportunity</w:t>
      </w:r>
    </w:p>
    <w:p>
      <w:pPr>
        <w:sectPr>
          <w:pgSz w:w="11900" w:h="16838" w:orient="portrait"/>
          <w:cols w:equalWidth="0" w:num="1">
            <w:col w:w="11420"/>
          </w:cols>
          <w:pgMar w:left="240" w:top="131" w:right="239" w:bottom="0" w:gutter="0" w:footer="0" w:header="0"/>
          <w:type w:val="continuous"/>
        </w:sectPr>
      </w:pPr>
    </w:p>
    <w:bookmarkStart w:id="17" w:name="page18"/>
    <w:bookmarkEnd w:id="17"/>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Wynn Macau may determine not to go forward with the Macau opportunity at any time, possibly resulting in the loss of a significant investment.</w:t>
      </w:r>
    </w:p>
    <w:p>
      <w:pPr>
        <w:spacing w:after="0" w:line="25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already invested a total of $23.8 million in Wynn Macau. In addition, we intend to invest up to $40 million of the net proceeds from this offering in Wynn Macau and to arrange for significant additional financing.</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Wynn Macau has begun planning the development of the initial phase of its first casino resort. However, it will not begin construction or operation of any casino in Macau until a number of objectives and conditions are met. Such objectives and conditions include, among other things, the following:</w:t>
      </w:r>
    </w:p>
    <w:p>
      <w:pPr>
        <w:spacing w:after="0" w:line="153" w:lineRule="exact"/>
        <w:rPr>
          <w:sz w:val="20"/>
          <w:szCs w:val="20"/>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the necessary debt and/or additional equity financing to fund the development, design and construction of any casino or casinos in Macau;</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relief, through legislative and/or executive actions, from the complementary income tax and the withholding tax on dividends imposed in Macau.</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Based on discussions with Macau government officials, we understand that the Macau government will introduce proposed legislation by early 2003 that, if passed, would enable Wynn Macau to extend credit to gaming customers and enforce gaming debts in Macau, and would provide tax relief from the complementary income tax and withholding tax on dividends imposed in Macau. However, we cannot assure you that such proposed legislative changes will be enacted.</w:t>
      </w:r>
    </w:p>
    <w:p>
      <w:pPr>
        <w:spacing w:after="0" w:line="197"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Wynn Macau will not begin construction or operation of any casino in Macau if any of these objectives and conditions cannot be adequately resolved. If Wynn Macau determines not to go forward with the Macau opportunity, Wynn Resorts may lose its significant investment in Wynn Macau.</w:t>
      </w:r>
    </w:p>
    <w:p>
      <w:pPr>
        <w:spacing w:after="0" w:line="139"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to terminate the concession agreement unilaterally or permitting Wynn Macau to cease the development or operation of casino(s) in Macau for any of the reasons described above. The obligations under the Macau concession agreement are those of Wynn Resorts' indirect subsidiary, Wynn Macau. Accordingly, Wynn Macau might be found liable for the balance of its obligation to invest a total of 4 billion patacas (approximately US $500 million) in Macau-related projects. Depending on the amount of Wynn Macau's liability, Wynn Macau may not have sufficient assets to satisfy such liability. In such circumstances, Wynn Resorts would lose its entire investment in Wynn Macau.</w:t>
      </w:r>
    </w:p>
    <w:p>
      <w:pPr>
        <w:spacing w:after="0" w:line="16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it will be subject to considerable risks, including risks related to Macau's untested regulatory framework.</w:t>
      </w:r>
    </w:p>
    <w:p>
      <w:pPr>
        <w:spacing w:after="0" w:line="18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Untested Foreign Regulatory Framework. </w:t>
      </w:r>
      <w:r>
        <w:rPr>
          <w:rFonts w:ascii="Arial" w:cs="Arial" w:eastAsia="Arial" w:hAnsi="Arial"/>
          <w:sz w:val="16"/>
          <w:szCs w:val="16"/>
          <w:color w:val="auto"/>
        </w:rPr>
        <w:t>If Wynn Macau constructs or operates one or more casinos in Macau, its operations will be subject to unique</w:t>
      </w:r>
      <w:r>
        <w:rPr>
          <w:rFonts w:ascii="Arial" w:cs="Arial" w:eastAsia="Arial" w:hAnsi="Arial"/>
          <w:sz w:val="16"/>
          <w:szCs w:val="16"/>
          <w:i w:val="1"/>
          <w:iCs w:val="1"/>
          <w:color w:val="auto"/>
        </w:rPr>
        <w:t xml:space="preserve"> </w:t>
      </w:r>
      <w:r>
        <w:rPr>
          <w:rFonts w:ascii="Arial" w:cs="Arial" w:eastAsia="Arial" w:hAnsi="Arial"/>
          <w:sz w:val="16"/>
          <w:szCs w:val="16"/>
          <w:color w:val="auto"/>
        </w:rPr>
        <w:t>risks, including risks related to Macau's untested regulatory framework. In light of the untested regulatory framework, Wynn Macau may need to develop operating procedures which are different from those used in United States casinos. Failure to adapt to the regulatory and gaming environment in Macau could result in the revocation of Wynn Macau's concession or otherwise negatively affect its operations in Macau. Moreover, Wynn Resorts would be subject to the risk that Macau's gaming regulatory framework will not develop in a way that would permit Wynn Resorts,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parent entity of a United States gaming operator, to have its affiliates conduct operations in Macau in a manner consistent with the way in which Wynn Resorts intends, or the Nevada gaming authorities require Wynn Resorts, to conduct its operations in the United States.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Political and Economic Conditions. </w:t>
      </w:r>
      <w:r>
        <w:rPr>
          <w:rFonts w:ascii="Arial" w:cs="Arial" w:eastAsia="Arial" w:hAnsi="Arial"/>
          <w:sz w:val="18"/>
          <w:szCs w:val="18"/>
          <w:color w:val="auto"/>
        </w:rPr>
        <w:t>The success of Wynn Macau's operations in Macau would also depend on political and economic conditions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1999, 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any gaming business Wynn Macau would conduct in Macau.</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If Wynn Macau constructs and operates one or more casinos in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183"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taking of Wynn Macau's property without payment of fair compensation;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Wynn Resorts' Macau subsidiaries from unknowingly doing business with, reputed criminal organizations;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238" w:lineRule="exact"/>
        <w:rPr>
          <w:rFonts w:ascii="Arial" w:cs="Arial" w:eastAsia="Arial" w:hAnsi="Arial"/>
          <w:sz w:val="18"/>
          <w:szCs w:val="18"/>
          <w:color w:val="auto"/>
        </w:rPr>
      </w:pPr>
    </w:p>
    <w:p>
      <w:pPr>
        <w:jc w:val="both"/>
        <w:ind w:left="1080" w:right="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ectPr>
          <w:pgSz w:w="11900" w:h="16866" w:orient="portrait"/>
          <w:cols w:equalWidth="0" w:num="1">
            <w:col w:w="11420"/>
          </w:cols>
          <w:pgMar w:left="240" w:top="125" w:right="239" w:bottom="0" w:gutter="0" w:footer="0" w:header="0"/>
        </w:sectPr>
      </w:pPr>
    </w:p>
    <w:bookmarkStart w:id="18" w:name="page19"/>
    <w:bookmarkEnd w:id="18"/>
    <w:p>
      <w:pPr>
        <w:ind w:right="140" w:firstLine="341"/>
        <w:spacing w:after="0" w:line="268" w:lineRule="auto"/>
        <w:rPr>
          <w:sz w:val="20"/>
          <w:szCs w:val="20"/>
          <w:color w:val="auto"/>
        </w:rPr>
      </w:pPr>
      <w:r>
        <w:rPr>
          <w:rFonts w:ascii="Arial" w:cs="Arial" w:eastAsia="Arial" w:hAnsi="Arial"/>
          <w:sz w:val="18"/>
          <w:szCs w:val="18"/>
          <w:color w:val="auto"/>
        </w:rPr>
        <w:t>Any potential investment in Macau could be jeopardized by future developments, and we cannot assure you that activities Wynn Macau may plan in Macau will be permitted or feasible.</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receivables and because, among other reasons, courts of many jurisdictions do not enforce gaming debts, Wynn Macau may encounter forums that will refuse to enforce such debts. Wynn Macau's inability to collect gaming debts could have a significant negative impact on its operating results.</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Necessity of Expanding Transportation. </w:t>
      </w:r>
      <w:r>
        <w:rPr>
          <w:rFonts w:ascii="Arial" w:cs="Arial" w:eastAsia="Arial" w:hAnsi="Arial"/>
          <w:sz w:val="16"/>
          <w:szCs w:val="16"/>
          <w:color w:val="auto"/>
        </w:rPr>
        <w:t>Because of additional casino projects which may be developed in the future, the hydrofoil ferry and helicopter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Macau's casino resort(s) in Macau, could be negatively impacted.</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Macau's casino resort(s) by disrupting its ability to timely construct its casino project(s) and by preventing guests from traveling to Macau.</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Potential Taxation of Investment in Macau. </w:t>
      </w:r>
      <w:r>
        <w:rPr>
          <w:rFonts w:ascii="Arial" w:cs="Arial" w:eastAsia="Arial" w:hAnsi="Arial"/>
          <w:sz w:val="16"/>
          <w:szCs w:val="16"/>
          <w:color w:val="auto"/>
        </w:rPr>
        <w:t>Wynn Resorts' investment in Macau is owned through a number of wholly owned and partially owned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and foreign entities. Although we believe that transfers to these entities of the assets and stock of Wynn Macau were accomplished on a tax-free basis, there is a risk that the Internal Revenue Service could assert that any appreciation in the transferred assets or stock was taxable at the time of such transfers.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 countries</w:t>
      </w:r>
      <w:r>
        <w:rPr>
          <w:rFonts w:ascii="Arial" w:cs="Arial" w:eastAsia="Arial" w:hAnsi="Arial"/>
          <w:sz w:val="18"/>
          <w:szCs w:val="18"/>
          <w:i w:val="1"/>
          <w:iCs w:val="1"/>
          <w:color w:val="auto"/>
        </w:rPr>
        <w:t xml:space="preserve"> </w:t>
      </w:r>
      <w:r>
        <w:rPr>
          <w:rFonts w:ascii="Arial" w:cs="Arial" w:eastAsia="Arial" w:hAnsi="Arial"/>
          <w:sz w:val="18"/>
          <w:szCs w:val="18"/>
          <w:color w:val="auto"/>
        </w:rPr>
        <w:t>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9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Wynn Resorts is subject to regulations imposed by the Foreign Corrupt Practices Act, or the FCPA, which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U.S. companies and their intermediaries from making improper payments to foreign officials for the purpose of obtaining or retaining business. Any determination that Wynn Resorts has violated the FCPA could have a material adverse effect on us.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will be required to comply with certain reporting requirements concerning gaming activities and associations in Macau proposed to be conducted by Wynn Resorts' Macau-related subsidiaries. Wynn Resorts and its licensed Nevada subsidiaries also will be subject to disciplinary action by the Nevada Gaming Commission if Wynn Resorts' Macau-related subsidiaries:</w:t>
      </w:r>
    </w:p>
    <w:p>
      <w:pPr>
        <w:spacing w:after="0" w:line="210" w:lineRule="exact"/>
        <w:rPr>
          <w:sz w:val="20"/>
          <w:szCs w:val="20"/>
          <w:color w:val="auto"/>
        </w:rPr>
      </w:pPr>
    </w:p>
    <w:p>
      <w:pPr>
        <w:ind w:left="5620" w:right="4840" w:hanging="5072"/>
        <w:spacing w:after="0" w:line="613" w:lineRule="auto"/>
        <w:tabs>
          <w:tab w:leader="none" w:pos="10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60" w:hanging="532"/>
        <w:spacing w:after="0" w:line="37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-1456055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Wynn Resorts' Macau-related subsidiaries may be prohibited pursuant to one or more of the standards described above, the Nevada State Gaming Control Board can require Wynn Resorts and its licensed Nevada subsidiaries to file an application with the Nevada Gaming Commission for a finding of suitability of the activity or association. If the Nevada Gaming Commission finds that the activity or association in Macau is unsuitable or prohibited, Wynn Resorts' Macau-related subsidiaries will either be required to terminate the activity or association, or will be prohibited from undertaking the activity or association. Consequently, should the Nevada Gaming Commission find that Wynn Resorts'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ectPr>
          <w:pgSz w:w="11900" w:h="16838" w:orient="portrait"/>
          <w:cols w:equalWidth="0" w:num="1">
            <w:col w:w="11420"/>
          </w:cols>
          <w:pgMar w:left="240" w:top="131" w:right="239" w:bottom="0" w:gutter="0" w:footer="0" w:header="0"/>
        </w:sectPr>
      </w:pPr>
    </w:p>
    <w:bookmarkStart w:id="19" w:name="page20"/>
    <w:bookmarkEnd w:id="19"/>
    <w:p>
      <w:pPr>
        <w:ind w:right="60" w:firstLine="348"/>
        <w:spacing w:after="0" w:line="298" w:lineRule="auto"/>
        <w:rPr>
          <w:sz w:val="20"/>
          <w:szCs w:val="20"/>
          <w:color w:val="auto"/>
        </w:rPr>
      </w:pPr>
      <w:r>
        <w:rPr>
          <w:rFonts w:ascii="Arial" w:cs="Arial" w:eastAsia="Arial" w:hAnsi="Arial"/>
          <w:sz w:val="16"/>
          <w:szCs w:val="16"/>
          <w:color w:val="auto"/>
        </w:rPr>
        <w:t>The concession agreement into which Wynn Macau has entered with the government of Macau requires Wynn Macau to inform the government in the event that a stockholder owning 5% or more of the stock of Wynn Macau is subject to an investigation by a gaming authority outside of Macau that could lead to the suspension or revocation of any gaming license. The concession agreement also requires Wynn Macau to inform the government of Macau in the event that a stockholder owning 5% or more of the stock of Wynn Macau loses a gaming license.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casinos would face intense competition.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referred to as SJM, has been granted one of the concessions. SJM is controlled by Stanley Ho, who through another entity had controlled the monopoly concession to conduct the only gaming operations in Macau for approximately 40 years. SJM has the benefit of being the established gaming enterprise already in existence at eleven locations in Macau. SJM's casinos at the Hotel Lisboa and at the converted Jai Alai fronton are the largest casino facilities in Macau. In addition, SJM is reported to be planning a major remodeling of the Hotel Lisboa and, through a related entity, a new Fisherman's Wharf development, which will include a casino, in the vicinity of the Macau ferry terminal. Galaxy Casino Company Limited, referred to as Galaxy, also has been awarded a concession to operate casinos in Macau. Galaxy is a joint venture between an affiliate of the operators of The Venetian in Las Vegas and a group of Hong Kong investors, which, according to news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reports, has plans to build a major casino on Taipa, the island where Macau's international airport is located, and possibly other casinos. Although Wynn Macau's gaming business initially would compete with businesses to be operated by the two other casino concessionaires in Macau,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New or renovated casinos in Macau operated by the other concessionaires would present increased competition and could negatively impact Wynn Macau's gaming business. SJM's concession permits it to renovate its existing casinos, as well as to develop new casinos.</w:t>
      </w:r>
    </w:p>
    <w:p>
      <w:pPr>
        <w:spacing w:after="0" w:line="186"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Macau's gaming business would also face significant regional competition from casinos located in Asia, as well as from other major casino destinations around the world. For example, Genting Highlands Resort, an entertainment complex just outside of Kuala Lumpur, Malaysia, which currently has five hotels, a casino, a theme park, a golf and country club and other amenities, would compete with Wynn Resorts'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9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For additional information about the competition that Wynn Macau's casino(s) will face, see "Business—The Macau Opportunity—Competition within Macau and from Regional Markets."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construction projects that may prevent completion of Wynn Macau's casino(s) on budget and on schedule.</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Wynn Macau's construction of one or more casinos in Macau would entail significant risks associated with construction projects. These risks are similar to the risks we face in constructing Le Rêve. For examples of the construction risks that may apply to the Macau opportunity, see "—Risks Associated with Our Construction of Le Rêve—There are significant risks associated with major construction projects that may prevent completion of Le Rêve on budget and on schedule." We cannot assure you that Wynn Macau's casino(s) will commence operations on schedule or that construction costs for the Macau casino(s) will not exceed budgeted amounts. Failure to complete Wynn Macau's casino(s) on budget or on schedule could have a significant negative effect on us.</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the concession agreement and cause fluctuations in the value of our investment in Macau.</w:t>
      </w:r>
    </w:p>
    <w:p>
      <w:pPr>
        <w:spacing w:after="0" w:line="18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and the U.S. dollar, are subject to potential changes due to, among other things, changes in Chinese governmental policies and international economic and political developments.</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after this offering may be lower than the offering price you pay and may be volatile.</w:t>
      </w:r>
    </w:p>
    <w:p>
      <w:pPr>
        <w:sectPr>
          <w:pgSz w:w="11900" w:h="16838" w:orient="portrait"/>
          <w:cols w:equalWidth="0" w:num="1">
            <w:col w:w="11400"/>
          </w:cols>
          <w:pgMar w:left="240" w:top="131" w:right="259" w:bottom="0" w:gutter="0" w:footer="0" w:header="0"/>
        </w:sectPr>
      </w:pPr>
    </w:p>
    <w:bookmarkStart w:id="20" w:name="page21"/>
    <w:bookmarkEnd w:id="20"/>
    <w:p>
      <w:pPr>
        <w:spacing w:after="0" w:line="79"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Before this offering, our common stock has not been sold in a public market. After this offering, an active trading market in our common stock might not develop. If an active trading market develops, it may not continue. Moreover, if an active market develops, the trading price of our common stock may fluctuate widely as a result of a number of factors, many of which are outside of our control. Moreover, as construction of Le Rêve or Wynn Macau's casino progresses, developments in construction may cause fluctuation in the price of our common stock. In addition, the stock market has experienced extreme price and volume fluctuations that have affected the market prices of many companies. These broad market fluctuations could negatively affect the market price of our common stock. A significant decline in our stock price could result in substantial losses for individual stockholders and could lead to costly and disruptive securities litigation. If you purchase shares of our common stock in this offering, you will pay a price that was not established in a competitive market. Rather, you will pay a price that was negotiated with the representatives of the underwriters based upon a number of factors. The price of our common stock that will prevail in the market after this offering may be higher or lower than the offering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amounts of our common stock could be sold in the near future, which could depress our stock price.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Before this offering, there has been no public market for our common stock. We cannot predict the effect, if any, that market sales of shares of common stock or the availability of shares of common stock for sale will have on the market price of our common stock prevailing from time to time. In addition, if Wynn Resorts is required by the Nevada gaming regulators to purchase securities owned or controlled by an unsuitable person or its affiliate, including Aruze USA, we may fund this purchase by the resale of all or some of these securities in a secondary offering. Immediately following the completion of this offering, Aruze USA will hold approximately 29.8% of our issued and outstanding common stock. A sale of all or some of Aruze USA's shares in a secondary offering could significantly reduce the market price of the common stock.</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of the outstanding shares of common stock belonging to officers, directors and other stockholders are currently "restricted securities" under the Securities Act. We expect that up to 40,000,000 shares of these restricted securities will be eligible for sale in the public market at prescribed times pursuant to Rule 144 under the Securities Act, or otherwise. We expect that 38,002,915 shares of these restricted securities, which are held by our affiliates, will be eligible for sale in the public market pursuant to Rule 144 under the Securities Act,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otherwise, beginning in September 2003. Sales of a significant number of these shares of common stock in the public market could reduce the market price of our common stock.</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Wynn Resorts has never paid dividends, does not intend to pay dividends in the foreseeable future and may not pay dividends to any unsuitable person or its affiliates.</w:t>
      </w:r>
    </w:p>
    <w:p>
      <w:pPr>
        <w:spacing w:after="0" w:line="180"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Resorts has never paid dividends and does not anticipate paying any cash dividends on our common stock in the foreseeable future. We intend to retain our earnings, if any, to use in our growth and ongoing operations. In addition, Wynn Resorts is a holding company and, as a result, its ability to pay dividends is dependent on its subsidiaries' ability to provide funds to it. However, the terms of the credit facilities, the FF&amp;E facility and the indenture governing the second mortgage notes will restrict Wynn Resorts' subsidiaries' ability to provide funds to it. See "Description of Certain Indebtedness." Wynn Resorts' board of directors has the authority to issue one or more series of preferred stock without action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future direction.</w:t>
      </w:r>
    </w:p>
    <w:p>
      <w:pPr>
        <w:spacing w:after="0" w:line="254"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After this offering, Mr. Wynn and Aruze USA each will own approximately 29.8%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94" w:lineRule="exact"/>
        <w:rPr>
          <w:sz w:val="20"/>
          <w:szCs w:val="20"/>
          <w:color w:val="auto"/>
        </w:rPr>
      </w:pPr>
    </w:p>
    <w:p>
      <w:pPr>
        <w:jc w:val="both"/>
        <w:ind w:right="320" w:firstLine="351"/>
        <w:spacing w:after="0" w:line="306"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w:t>
      </w:r>
    </w:p>
    <w:p>
      <w:pPr>
        <w:spacing w:after="0" w:line="161"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As a result of this voting arrangement, Mr. Wynn will, as a practical matter, control Wynn Resorts' board of directors. The stockholders agreement will continue to be in effect after the completion of this offering. The concentration of ownership and representation on Wynn Resorts' board of directors may delay, prevent or deter a change in control, could deprive Wynn Resorts' stockholders of an opportunity to receive a premium for their common stock as part of a sale of Wynn Resorts or its assets and might reduce the market price of Wynn Resorts' common stock. For more information about the stockholders agreement between Mr. Wynn, Aruze USA and Baron Asset Fund, see "Certain Relationships and Related Transactions—Stockholders Agreement" and "Ownership of Capital Stock."</w:t>
      </w:r>
    </w:p>
    <w:p>
      <w:pPr>
        <w:spacing w:after="0" w:line="192"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Investors will incur immediate and substantial dilution in the book value of their investment, and may incur further dilution depending on how we decide to finance Wynn Macau's opportunity in Macau.</w:t>
      </w:r>
    </w:p>
    <w:p>
      <w:pPr>
        <w:spacing w:after="0" w:line="18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the initial public offering price to be substantially higher than the net tangible book value per share of the outstanding common stock. If you purchase shares of our common stock, you will incur immediate and substantial dilution in the amount of $4.05 in pro forma net tangible book value per share, based on an assumed initial public offering price of $19.00 per share, which is the mid-point of the initial public offering price range set forth on the cover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It is expected that significant financing, in addition to this offering,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one of Wynn Macau's intermediary holding companies. If additional equity is</w:t>
      </w:r>
    </w:p>
    <w:p>
      <w:pPr>
        <w:sectPr>
          <w:pgSz w:w="11900" w:h="16918" w:orient="portrait"/>
          <w:cols w:equalWidth="0" w:num="1">
            <w:col w:w="11400"/>
          </w:cols>
          <w:pgMar w:left="240" w:top="131" w:right="259" w:bottom="0" w:gutter="0" w:footer="0" w:header="0"/>
        </w:sectPr>
      </w:pPr>
    </w:p>
    <w:bookmarkStart w:id="21" w:name="page22"/>
    <w:bookmarkEnd w:id="21"/>
    <w:p>
      <w:pPr>
        <w:ind w:right="240"/>
        <w:spacing w:after="0" w:line="259" w:lineRule="auto"/>
        <w:rPr>
          <w:sz w:val="20"/>
          <w:szCs w:val="20"/>
          <w:color w:val="auto"/>
        </w:rPr>
      </w:pPr>
      <w:r>
        <w:rPr>
          <w:rFonts w:ascii="Arial" w:cs="Arial" w:eastAsia="Arial" w:hAnsi="Arial"/>
          <w:sz w:val="18"/>
          <w:szCs w:val="18"/>
          <w:color w:val="auto"/>
        </w:rPr>
        <w:t>raised at the Wynn Macau or intermediary holding company level, you would indirectly hold a smaller interest in Wynn Macau as the minority interest in the Macau-related entities increases. If Wynn Resorts decides to raise additional equity at the Wynn Resorts level to fund the Macau opportunity, you would suffer dilution of your interest in Wynn Resorts.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anti-takeover provisions or provisions of Nevada law could prevent or delay a change in control of Wynn Resorts, even if a change of control would benefit our stockholders.</w:t>
      </w:r>
    </w:p>
    <w:p>
      <w:pPr>
        <w:spacing w:after="0" w:line="18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Provisions of our articles of incorporation and bylaws, as well as provisions of Nevada law, could discourage, delay or prevent a merger, acquisition or other change in control of Wynn Resorts, even if a change in control would benefit our stockholders. These provisions:</w:t>
      </w:r>
    </w:p>
    <w:p>
      <w:pPr>
        <w:spacing w:after="0" w:line="199" w:lineRule="exact"/>
        <w:rPr>
          <w:sz w:val="20"/>
          <w:szCs w:val="20"/>
          <w:color w:val="auto"/>
        </w:rPr>
      </w:pPr>
    </w:p>
    <w:p>
      <w:pPr>
        <w:ind w:left="1080" w:right="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classify our board of directors so that only one-third of the directors are elected each year and require the vote of 66 2/3% of the outstanding stock entitled to vote in the election of directors to amend these provisions;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authorize our board of directors to issue "blank check" preferred stock to increase the number of outstanding shares and thwart a takeover attempt;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the ability of an individual holder of our common stock to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all stockholder actions be taken at a meeting of our stockholders;</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by stockholders at stockholder meetings; and</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super-majority directors' approval of the sale of all or substantially all of our assets, a voluntary dissolution or liquidation by us, or the filing of a voluntary petition of bankruptcy.</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 Nevada Revised Statutes contain provisions governing the acquisition of a controlling interest in certain publicly held Nevada corporations. These laws provide generally that any person that acquires 20% or more of the outstanding voting shares of certain publicly held Nevada corporations, which we expect will include Wynn Resorts, in the secondary public or private market must follow certain formalities before such acquisition or they may be denied voting rights, unless a majority of the disinterested stockholders of the corporation elects to restore such voting rights in whole or in part. These laws provide that 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See "Description of Capital Stock—Nevada Anti-Takeover Law and Certain Charter and Bylaw Provisions—Nevada Control Share Laws."</w:t>
      </w:r>
    </w:p>
    <w:p>
      <w:pPr>
        <w:spacing w:after="0" w:line="17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After we become a registered company under Nevada's gaming laws, approval of the Nevada Gaming Commission must be obtained with respect to changes in control. A person that seeks to acquire control of a registered company must satisfy the Nevada gaming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authorities before assuming control of a registered company. The Nevada gaming authorities may also require controlling stockholders, officers, directors and other persons having a material relationship or involvement with a person proposing to acquire control to be investigated and licensed as part of the approval process relating to the transaction. See "Regulation and Licensing—Approval of Changes in Control."</w:t>
      </w:r>
    </w:p>
    <w:p>
      <w:pPr>
        <w:spacing w:after="0" w:line="16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Nevada law also provides that directors may resist a change or potential change in control if the directors determine that the change is opposed to, or not in the best interest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redeem your shares due to regulatory considerations, either as required by gaming authorities or in our discretion.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to the extent a gaming authority determines that you or your affiliates are unsuitable or to the extent deemed necessary or advisable by the board of directors, Wynn Resorts may redeem shares of its capital stock that you or your affiliates own or control. The redemption price will be the amount, if any, required by the gaming authority or, if the gaming authority does not determine the price, the sum deemed to be the fair value by the board of directors.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The redemption price may be paid in cash, by promissory note, or both, as required, and pursuant to the terms established by, the applicable gaming authority and, if not, as Wynn Resorts elects. However, if the gaming authorities were to find you or your affiliate unsuitable to own the voting securities of Wynn Resorts, it could also determine that you or your affiliate is unsuitable to hold a promissory note for the purchase of such voting securities by Wynn Resorts, and could determine not to approve the issuance of the promissory note to you or your affiliate. See "Risk Factors—General Risks Associated with Our Business— The Nevada Gaming Commission may require the disposition of shares of certain stockholders of Wynn Resorts in a manner that may cause us to incur debt or disrupt our stock price" and "Regulation and Licensing—Redemption of Securities Owned by an Unsuitable Person."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w:t>
      </w:r>
    </w:p>
    <w:p>
      <w:pPr>
        <w:sectPr>
          <w:pgSz w:w="11900" w:h="16838" w:orient="portrait"/>
          <w:cols w:equalWidth="0" w:num="1">
            <w:col w:w="11400"/>
          </w:cols>
          <w:pgMar w:left="240" w:top="131" w:right="259" w:bottom="0" w:gutter="0" w:footer="0" w:header="0"/>
        </w:sectPr>
      </w:pPr>
    </w:p>
    <w:bookmarkStart w:id="22" w:name="page23"/>
    <w:bookmarkEnd w:id="22"/>
    <w:p>
      <w:pPr>
        <w:jc w:val="both"/>
        <w:ind w:right="100"/>
        <w:spacing w:after="0" w:line="259" w:lineRule="auto"/>
        <w:rPr>
          <w:sz w:val="20"/>
          <w:szCs w:val="20"/>
          <w:color w:val="auto"/>
        </w:rPr>
      </w:pPr>
      <w:r>
        <w:rPr>
          <w:rFonts w:ascii="Arial" w:cs="Arial" w:eastAsia="Arial" w:hAnsi="Arial"/>
          <w:sz w:val="18"/>
          <w:szCs w:val="18"/>
          <w:color w:val="auto"/>
        </w:rPr>
        <w:t>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4" w:lineRule="exact"/>
        <w:rPr>
          <w:sz w:val="20"/>
          <w:szCs w:val="20"/>
          <w:color w:val="auto"/>
        </w:rPr>
      </w:pPr>
    </w:p>
    <w:p>
      <w:pPr>
        <w:ind w:right="160" w:firstLine="341"/>
        <w:spacing w:after="0" w:line="25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 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15"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entering into a new venture and new construction, including our ability to construct and open Le Rêve and Wynn Macau's casino(s) on time and on budget;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 and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 and Macau;</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 and Macau;</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Macau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doing business in foreign countries, such as Macau;</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expect to receive approximately $414.7 million in net proceeds from the sale of shares of our common stock in this offering based on the sale of 23,685,000 shares at an assumed initial public offering price of $19.00 per share, the mid-point of the initial public offering price range set forth on the cover of this prospectus, after deducting underwriting discounts and commissions and estimated offering expenses. If the underwriters exercise their over-allotment option in full, we expect our net proceeds to be approximately $477.5 million.</w:t>
      </w:r>
    </w:p>
    <w:p>
      <w:pPr>
        <w:sectPr>
          <w:pgSz w:w="11900" w:h="16838" w:orient="portrait"/>
          <w:cols w:equalWidth="0" w:num="1">
            <w:col w:w="11380"/>
          </w:cols>
          <w:pgMar w:left="240" w:top="131" w:right="279" w:bottom="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wholly owned subsidiaries, Wynn Las Vegas and Wynn Capital, will jointly consummate an offering of second mortgage notes. We expect Wynn Las Vegas to receive approximately $326.0 million in net proceeds from the second mortgage note offering, after deducting underwriting discounts and commissions and estimated offering expenses; and</w:t>
      </w:r>
    </w:p>
    <w:p>
      <w:pPr>
        <w:spacing w:after="0" w:line="221"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Wynn Las Vegas will enter into a $750.0 million revolving credit facility, a $250.0 million delay draw term loan facility and a $188.5 million FF&amp;E facility. Wynn Las Vegas has received commitments for the credit facility and the delay draw term loan facility, and the placement agent for the FF&amp;E facility has received commitments from the lenders who will enter into the FF&amp;E facility. See "Description of Certain Indebtedness."</w:t>
      </w:r>
    </w:p>
    <w:p>
      <w:pPr>
        <w:spacing w:after="0" w:line="16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intend to contribute to Wynn Las Vegas approximately $374.7 million of the net proceeds from this offering and all of the existing cash on hand held by Valvino. Wynn Las Vegas intends to use those contributions together with the net proceeds from the second mortgage notes offering and borrowings under the revolving credit facility, delay draw term loan facility and FF&amp;E facility to design, develop, construct, equip and open Le Rêve.</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addition, we intend to use up to $40 million of the net proceeds from this offering as part of the financing of Wynn Macau to design, construct, develop, equip and operate one or more casino resorts in Macau.</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Las Vegas will enter into a disbursement agreement with the agents under the credit facilities and the FF&amp;E facility and the second mortgage note trustee which will require that Le Rêve project costs be funded first from contributions we will have made to Wynn Las Vegas, then from the net proceeds of the second mortgage notes offering and then from the other debt facilities. We expect Wynn Las Vegas to begin to request disbursements of the second mortgage note proceeds, subject to satisfaction of the conditions in the disbursement agreement, approximately ten to twelve months after the consummation of this offering and after expending all of the net proceeds of this offering contributed to it, other than the funds securing the completion guarantee and the funds to be deposited in the liquidity reserve account.</w:t>
      </w:r>
    </w:p>
    <w:p>
      <w:pPr>
        <w:spacing w:after="0" w:line="19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we may use the additional net proceeds for general corporate purposes, including for unanticipated construction and debt service expenses relating to Le Rêve and for additional expenditures related to the Macau opportunity. We may, but are not obligated to, contribute these funds to Wynn Las Vegas.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Pending application of the net proceeds as described above, we intend to invest the net proceeds in short-term highly rated securities.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Of the $374.7 million in net proceeds from this offering that Wynn Resorts will contribute to Wynn Las Vegas, $50 million will be contributed to a special purpose subsidiary of Wynn Las Vegas which will be providing a $50 million completion guarantee in favor of the lenders under the credit facilities and the holders of the second mortgage notes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that will govern the disbursement of funds from our debt facilities to fund Le Rêve project costs, these funds will become available to Wynn Las Vegas on a gradual basis to apply to the costs of the project only after fifty percent of the Le Rêve construction work has been completed. After the completion and opening of Le Rêve, any amounts remaining in this account will be released to Wynn Resorts.</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of the $374.7 million in net proceeds from this offering that Wynn Resorts will contribute to Wynn Las Vegas, $30 million will be held in a liquidity reserve account and pledged to the lenders under the credit facilities and the second mortgage note holders to secure Wynn Las Vegas' obligation to develop and construct Le Rêve. Until the opening of Le Rêve, these funds may be applied to the costs of the project in accordance with the disbursement agreement. Following the completion and opening of Le Rêve, these funds will be available to meet Wynn Las Vegas' debt service needs in connection with Le Rêve. Once Wynn Las Vegas has met prescribed cash flow tests for a period of four consecutive fiscal quarters after the completion and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Approximately $294.7 million of the $374.7 million in net proceeds from this offering that Wynn Resorts will contribute to Wynn Las Vegas will be used, along with the cash on hand that Valvino will contribute to Wynn Las Vegas, to fund the development and construction of Le Rêve, including pre-opening and debt service payments. We expect that these net proceeds will be used to fund the initial phases of construction of Le Rêve, including contractor monthly payment applications, design fees and operational payroll.</w:t>
      </w:r>
    </w:p>
    <w:p>
      <w:pPr>
        <w:spacing w:after="0" w:line="197"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following table sets forth estimated sources and uses of funds to design, develop, construct, equip and open Le Rêve and for other operations related primarily to the Le Rêve project and includes certain amounts invested and reserved for investment in connection with the financing of the design, construction, development, equipping and operation of one or more casinos in Macau; however, substantial additional financing will be required for the Macau opportunity. The table includes all sources and uses of funds since the inception of Wynn Resorts and our subsidiaries. The table assumes that the financing transactions, including this offering, closed on October 1, 2002. For purposes of calculating total construction costs, the revolving credit facility balance and interest and commitment fees, this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table also includes certain final construction cost payments that we assume will be made after the opening of Le Rêve.</w:t>
      </w:r>
    </w:p>
    <w:p>
      <w:pPr>
        <w:sectPr>
          <w:pgSz w:w="11900" w:h="16838" w:orient="portrait"/>
          <w:cols w:equalWidth="0" w:num="1">
            <w:col w:w="11400"/>
          </w:cols>
          <w:pgMar w:left="240" w:top="131" w:right="259" w:bottom="0" w:gutter="0" w:footer="0" w:header="0"/>
          <w:type w:val="continuous"/>
        </w:sectPr>
      </w:pPr>
    </w:p>
    <w:bookmarkStart w:id="24" w:name="page25"/>
    <w:bookmarkEnd w:id="24"/>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80" w:type="dxa"/>
            <w:vAlign w:val="bottom"/>
          </w:tcPr>
          <w:p>
            <w:pPr>
              <w:ind w:left="860"/>
              <w:spacing w:after="0"/>
              <w:rPr>
                <w:sz w:val="20"/>
                <w:szCs w:val="20"/>
                <w:color w:val="auto"/>
              </w:rPr>
            </w:pPr>
            <w:r>
              <w:rPr>
                <w:rFonts w:ascii="Arial" w:cs="Arial" w:eastAsia="Arial" w:hAnsi="Arial"/>
                <w:sz w:val="14"/>
                <w:szCs w:val="14"/>
                <w:b w:val="1"/>
                <w:bCs w:val="1"/>
                <w:color w:val="auto"/>
              </w:rPr>
              <w:t>Sources (in millions)</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ind w:left="2140"/>
              <w:spacing w:after="0"/>
              <w:rPr>
                <w:sz w:val="20"/>
                <w:szCs w:val="20"/>
                <w:color w:val="auto"/>
              </w:rPr>
            </w:pPr>
            <w:r>
              <w:rPr>
                <w:rFonts w:ascii="Arial" w:cs="Arial" w:eastAsia="Arial" w:hAnsi="Arial"/>
                <w:sz w:val="14"/>
                <w:szCs w:val="14"/>
                <w:b w:val="1"/>
                <w:bCs w:val="1"/>
                <w:color w:val="auto"/>
                <w:w w:val="86"/>
              </w:rPr>
              <w:t>Uses (in millions)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costs: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Interior design, related</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FF&amp;E,</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signage and electronic</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systems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 capital</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Construction period</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utilities &amp; security</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contingency (4)</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Total construction costs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 and buildings (5)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Pre-opening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Owner-acquired FF&amp;E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Entertainment production costs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expenditures (6)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Aircraft acquisition and</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loan repayment (7)</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and commitment fees (8)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Working capital needs at opening</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Construction completion guarantee</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Arial" w:cs="Arial" w:eastAsia="Arial" w:hAnsi="Arial"/>
                <w:sz w:val="18"/>
                <w:szCs w:val="18"/>
                <w:color w:val="auto"/>
              </w:rPr>
              <w:t>Liquidity reserve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Macau (9)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60" w:type="dxa"/>
            <w:vAlign w:val="bottom"/>
            <w:gridSpan w:val="4"/>
          </w:tcPr>
          <w:p>
            <w:pPr>
              <w:ind w:left="180"/>
              <w:spacing w:after="0"/>
              <w:rPr>
                <w:sz w:val="20"/>
                <w:szCs w:val="20"/>
                <w:color w:val="auto"/>
              </w:rPr>
            </w:pPr>
            <w:r>
              <w:rPr>
                <w:rFonts w:ascii="Arial" w:cs="Arial" w:eastAsia="Arial" w:hAnsi="Arial"/>
                <w:sz w:val="18"/>
                <w:szCs w:val="18"/>
                <w:color w:val="auto"/>
                <w:w w:val="95"/>
              </w:rPr>
              <w:t>Reserved for future investment in Macau (10)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fees and expenses (11)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Total Sources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2,557.2</w:t>
            </w:r>
          </w:p>
        </w:tc>
        <w:tc>
          <w:tcPr>
            <w:tcW w:w="180" w:type="dxa"/>
            <w:vAlign w:val="bottom"/>
          </w:tcPr>
          <w:p>
            <w:pPr>
              <w:spacing w:after="0"/>
              <w:rPr>
                <w:sz w:val="24"/>
                <w:szCs w:val="24"/>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-5314315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-5314315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-5314315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-5314315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-2827020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-2827020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-477520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-477520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-477520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-168910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-168910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-168910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-168910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31"/>
        </w:numPr>
        <w:rPr>
          <w:rFonts w:ascii="Arial" w:cs="Arial" w:eastAsia="Arial" w:hAnsi="Arial"/>
          <w:sz w:val="27"/>
          <w:szCs w:val="27"/>
          <w:color w:val="auto"/>
          <w:vertAlign w:val="subscript"/>
        </w:rPr>
      </w:pPr>
      <w:r>
        <w:rPr>
          <w:rFonts w:ascii="Arial" w:cs="Arial" w:eastAsia="Arial" w:hAnsi="Arial"/>
          <w:sz w:val="14"/>
          <w:szCs w:val="14"/>
          <w:color w:val="auto"/>
        </w:rPr>
        <w:t>Includes (a) Valvino member net contributions of approximately $586.1 million and (b) the anticipated gross proceeds from this offering of approximately $450 million.</w:t>
      </w:r>
    </w:p>
    <w:p>
      <w:pPr>
        <w:spacing w:after="0" w:line="70" w:lineRule="exact"/>
        <w:rPr>
          <w:rFonts w:ascii="Arial" w:cs="Arial" w:eastAsia="Arial" w:hAnsi="Arial"/>
          <w:sz w:val="27"/>
          <w:szCs w:val="27"/>
          <w:color w:val="auto"/>
          <w:vertAlign w:val="subscript"/>
        </w:rPr>
      </w:pPr>
    </w:p>
    <w:p>
      <w:pPr>
        <w:ind w:left="540" w:right="60" w:hanging="532"/>
        <w:spacing w:after="0" w:line="188" w:lineRule="auto"/>
        <w:tabs>
          <w:tab w:leader="none" w:pos="540" w:val="left"/>
        </w:tabs>
        <w:numPr>
          <w:ilvl w:val="0"/>
          <w:numId w:val="31"/>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pacing w:after="0" w:line="85"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31"/>
        </w:numPr>
        <w:rPr>
          <w:rFonts w:ascii="Arial" w:cs="Arial" w:eastAsia="Arial" w:hAnsi="Arial"/>
          <w:sz w:val="24"/>
          <w:szCs w:val="24"/>
          <w:color w:val="auto"/>
          <w:vertAlign w:val="subscript"/>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1"/>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Le Rêve project not covered by the construction contract. This amount does not include the owner's contingency of approximately $7.6 million under the construction contract.</w:t>
      </w:r>
    </w:p>
    <w:p>
      <w:pPr>
        <w:ind w:left="540" w:hanging="532"/>
        <w:spacing w:after="0" w:line="187" w:lineRule="auto"/>
        <w:tabs>
          <w:tab w:leader="none" w:pos="540" w:val="left"/>
        </w:tabs>
        <w:numPr>
          <w:ilvl w:val="0"/>
          <w:numId w:val="31"/>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Le Rêve project, including the golf course land, buildings and water rights.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67"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27"/>
          <w:szCs w:val="27"/>
          <w:color w:val="auto"/>
          <w:vertAlign w:val="subscript"/>
        </w:rPr>
      </w:pPr>
      <w:r>
        <w:rPr>
          <w:rFonts w:ascii="Arial" w:cs="Arial" w:eastAsia="Arial" w:hAnsi="Arial"/>
          <w:sz w:val="14"/>
          <w:szCs w:val="14"/>
          <w:color w:val="auto"/>
        </w:rPr>
        <w:t>Consists primarily of operating costs of the previous facility at the Le Rêve site before closure of that facility and facility closure expenditures.</w:t>
      </w:r>
    </w:p>
    <w:p>
      <w:pPr>
        <w:spacing w:after="0" w:line="70" w:lineRule="exact"/>
        <w:rPr>
          <w:rFonts w:ascii="Arial" w:cs="Arial" w:eastAsia="Arial" w:hAnsi="Arial"/>
          <w:sz w:val="27"/>
          <w:szCs w:val="27"/>
          <w:color w:val="auto"/>
          <w:vertAlign w:val="subscript"/>
        </w:rPr>
      </w:pPr>
    </w:p>
    <w:p>
      <w:pPr>
        <w:ind w:left="540" w:right="340" w:hanging="532"/>
        <w:spacing w:after="0" w:line="204"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71"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4.25% margin for the delay draw term loan facility.</w:t>
      </w:r>
    </w:p>
    <w:p>
      <w:pPr>
        <w:spacing w:after="0" w:line="84" w:lineRule="exact"/>
        <w:rPr>
          <w:rFonts w:ascii="Arial" w:cs="Arial" w:eastAsia="Arial" w:hAnsi="Arial"/>
          <w:sz w:val="24"/>
          <w:szCs w:val="24"/>
          <w:color w:val="auto"/>
          <w:vertAlign w:val="subscript"/>
        </w:rPr>
      </w:pPr>
    </w:p>
    <w:p>
      <w:pPr>
        <w:ind w:left="540" w:hanging="532"/>
        <w:spacing w:after="0" w:line="186" w:lineRule="auto"/>
        <w:tabs>
          <w:tab w:leader="none" w:pos="540" w:val="left"/>
        </w:tabs>
        <w:numPr>
          <w:ilvl w:val="0"/>
          <w:numId w:val="32"/>
        </w:numPr>
        <w:rPr>
          <w:rFonts w:ascii="Arial" w:cs="Arial" w:eastAsia="Arial" w:hAnsi="Arial"/>
          <w:sz w:val="24"/>
          <w:szCs w:val="24"/>
          <w:color w:val="auto"/>
          <w:vertAlign w:val="subscript"/>
        </w:rPr>
      </w:pPr>
      <w:r>
        <w:rPr>
          <w:rFonts w:ascii="Arial" w:cs="Arial" w:eastAsia="Arial" w:hAnsi="Arial"/>
          <w:sz w:val="12"/>
          <w:szCs w:val="12"/>
          <w:color w:val="auto"/>
        </w:rPr>
        <w:t>Represents expenditures and commitments in connection with negotiation of the Macau concession agreement, including Wynn Macau's share of a capital contribution required by Macau law. Does not include amounts necessary to finance the design, construction, development, equipping and operation of casino(s) in Macau.</w:t>
      </w:r>
    </w:p>
    <w:p>
      <w:pPr>
        <w:ind w:left="540" w:hanging="532"/>
        <w:spacing w:after="0" w:line="187" w:lineRule="auto"/>
        <w:tabs>
          <w:tab w:leader="none" w:pos="540" w:val="left"/>
        </w:tabs>
        <w:numPr>
          <w:ilvl w:val="0"/>
          <w:numId w:val="32"/>
        </w:numPr>
        <w:rPr>
          <w:rFonts w:ascii="Arial" w:cs="Arial" w:eastAsia="Arial" w:hAnsi="Arial"/>
          <w:sz w:val="27"/>
          <w:szCs w:val="27"/>
          <w:color w:val="auto"/>
          <w:vertAlign w:val="subscript"/>
        </w:rPr>
      </w:pPr>
      <w:r>
        <w:rPr>
          <w:rFonts w:ascii="Arial" w:cs="Arial" w:eastAsia="Arial" w:hAnsi="Arial"/>
          <w:sz w:val="14"/>
          <w:szCs w:val="14"/>
          <w:color w:val="auto"/>
        </w:rPr>
        <w:t>We intend to invest up to $40 million of the net proceeds from this offering in Wynn Macau as part of the financing of the Macau opportunity.</w:t>
      </w:r>
    </w:p>
    <w:p>
      <w:pPr>
        <w:spacing w:after="0" w:line="55"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32"/>
        </w:numPr>
        <w:rPr>
          <w:rFonts w:ascii="Arial" w:cs="Arial" w:eastAsia="Arial" w:hAnsi="Arial"/>
          <w:sz w:val="21"/>
          <w:szCs w:val="21"/>
          <w:color w:val="auto"/>
          <w:vertAlign w:val="subscript"/>
        </w:rPr>
      </w:pPr>
      <w:r>
        <w:rPr>
          <w:rFonts w:ascii="Arial" w:cs="Arial" w:eastAsia="Arial" w:hAnsi="Arial"/>
          <w:sz w:val="11"/>
          <w:szCs w:val="11"/>
          <w:color w:val="auto"/>
        </w:rPr>
        <w:t>Includes fees and expenses related to (a) this offering, (b) the second mortgage note offering and (c) the revolving credit facility, the delay draw term loan facility and the FF&amp;E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Resorts has never declared or paid cash dividends on its capital stock. We currently intend to retain all available funds and any future consolidated earnings to fund the development and growth of our business and, therefore, Wynn Resorts does not anticipate paying any cash dividends on its shares of common stock in the foreseeable future. Wynn Resorts is a holding company and, as a result, its ability to pay dividends is dependent on its subsidiaries' ability to provide funds to it. The credit facilities, the FF&amp;E facility and the indenture governing the second mortgage notes will significantly restrict the ability of Wynn Las Vegas to make any dividends or distributions to Wynn Resorts. In addition, we expect that any financing arrangements entered into by Wynn Macau will contain similar restrictions. Wynn Resorts' future dividend policy will also depend on the requirements of any future financing agreements to which it may be a party and other factors considered relevant by its board of directors.</w:t>
      </w:r>
    </w:p>
    <w:p>
      <w:pPr>
        <w:sectPr>
          <w:pgSz w:w="11900" w:h="16919" w:orient="portrait"/>
          <w:cols w:equalWidth="0" w:num="1">
            <w:col w:w="11400"/>
          </w:cols>
          <w:pgMar w:left="240" w:top="127" w:right="259" w:bottom="0" w:gutter="0" w:footer="0" w:header="0"/>
        </w:sectPr>
      </w:pPr>
    </w:p>
    <w:bookmarkStart w:id="25" w:name="page26"/>
    <w:bookmarkEnd w:id="25"/>
    <w:p>
      <w:pPr>
        <w:ind w:firstLine="348"/>
        <w:spacing w:after="0" w:line="253" w:lineRule="auto"/>
        <w:rPr>
          <w:sz w:val="20"/>
          <w:szCs w:val="20"/>
          <w:color w:val="auto"/>
        </w:rPr>
      </w:pPr>
      <w:r>
        <w:rPr>
          <w:rFonts w:ascii="Arial" w:cs="Arial" w:eastAsia="Arial" w:hAnsi="Arial"/>
          <w:sz w:val="18"/>
          <w:szCs w:val="18"/>
          <w:color w:val="auto"/>
        </w:rPr>
        <w:t>The Nevada Revised Statutes generally provide that distributions may not be made if after any distribution Wynn Resorts would not be able to pay its debts as they become due in the usual course of business or its total assets would be less than the sum of its total liabilities plus any amounts needed to satisfy the preferential rights of stockholders if it were dissolved at the time of the distribution. Wynn Resorts' board of directors has the authority to issue one or more series of preferred stock without actions of the stockholders. The issuance of preferred stock could have the effect of limiting dividends on the common stock. Wynn Resorts' articles of incorporation also prohibit the payment of dividends to anyone who is an unsuitable person or any affiliate of an unsuitable person. See "Description of Capital Stock—Preferred Stock, and Prohibitions on the Receipt of Dividends, the Exercise of Voting or Other Rights or the Receipt of Other Remuneration."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Wynn Resorts' capitalization as of June 30, 2002:</w:t>
      </w:r>
    </w:p>
    <w:p>
      <w:pPr>
        <w:spacing w:after="0" w:line="239" w:lineRule="exact"/>
        <w:rPr>
          <w:sz w:val="20"/>
          <w:szCs w:val="20"/>
          <w:color w:val="auto"/>
        </w:rPr>
      </w:pPr>
    </w:p>
    <w:p>
      <w:pPr>
        <w:ind w:left="1620" w:hanging="53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(representing Valvino's long-term debt and members' equity);</w:t>
      </w:r>
    </w:p>
    <w:p>
      <w:pPr>
        <w:spacing w:after="0" w:line="252" w:lineRule="exact"/>
        <w:rPr>
          <w:rFonts w:ascii="Arial" w:cs="Arial" w:eastAsia="Arial" w:hAnsi="Arial"/>
          <w:sz w:val="18"/>
          <w:szCs w:val="18"/>
          <w:color w:val="auto"/>
        </w:rPr>
      </w:pPr>
    </w:p>
    <w:p>
      <w:pPr>
        <w:ind w:left="1620" w:right="40" w:hanging="532"/>
        <w:spacing w:after="0" w:line="255"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23,685,000 shares of Wynn Resorts' common stock in this offering at an assumed initial public offering price of $19.00 per share, which is the mid-point of the initial public offering price range set forth on the cover of this prospectus, the expected concurrent sale of $340 million in aggregate principal amount of the second mortgage notes and the intended application of the net proceeds of both offerings, net of underwriting discounts and commissions and estimated expenses;</w:t>
      </w:r>
    </w:p>
    <w:p>
      <w:pPr>
        <w:spacing w:after="0" w:line="210" w:lineRule="exact"/>
        <w:rPr>
          <w:rFonts w:ascii="Arial" w:cs="Arial" w:eastAsia="Arial" w:hAnsi="Arial"/>
          <w:sz w:val="18"/>
          <w:szCs w:val="18"/>
          <w:color w:val="auto"/>
        </w:rPr>
      </w:pPr>
    </w:p>
    <w:p>
      <w:pPr>
        <w:ind w:left="1620" w:right="240" w:hanging="532"/>
        <w:spacing w:after="0" w:line="256"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and the FF&amp;E facility expected to be necessary for the construction of Le Rêve has occurred. See "Use of Proceeds." We have assumed that approximately $713.2 million of the $750 million revolving credit facility will be drawn for the construction of Le Rêve; and</w:t>
      </w:r>
    </w:p>
    <w:p>
      <w:pPr>
        <w:spacing w:after="0" w:line="210" w:lineRule="exact"/>
        <w:rPr>
          <w:rFonts w:ascii="Arial" w:cs="Arial" w:eastAsia="Arial" w:hAnsi="Arial"/>
          <w:sz w:val="18"/>
          <w:szCs w:val="18"/>
          <w:color w:val="auto"/>
        </w:rPr>
      </w:pPr>
    </w:p>
    <w:p>
      <w:pPr>
        <w:ind w:left="1620" w:right="520" w:hanging="532"/>
        <w:spacing w:after="0" w:line="268"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each case, without giving effect to any financing necessary to develop the Macau opportunity, except for Wynn Resorts' intended investment of up to $40 million of the net proceeds from this offering in the Macau opportunity.</w:t>
      </w:r>
    </w:p>
    <w:p>
      <w:pPr>
        <w:spacing w:after="0" w:line="186"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As of June 30, 2002</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Pro Forma for the</w:t>
            </w:r>
          </w:p>
        </w:tc>
        <w:tc>
          <w:tcPr>
            <w:tcW w:w="17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Actual</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Common Stock and</w:t>
            </w:r>
          </w:p>
        </w:tc>
        <w:tc>
          <w:tcPr>
            <w:tcW w:w="1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84"/>
              </w:rPr>
              <w:t>(As restated,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20" w:type="dxa"/>
            <w:vAlign w:val="bottom"/>
          </w:tcPr>
          <w:p>
            <w:pPr>
              <w:spacing w:after="0"/>
              <w:rPr>
                <w:sz w:val="12"/>
                <w:szCs w:val="12"/>
                <w:color w:val="auto"/>
              </w:rPr>
            </w:pPr>
          </w:p>
        </w:tc>
        <w:tc>
          <w:tcPr>
            <w:tcW w:w="16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0" w:type="dxa"/>
            <w:vAlign w:val="bottom"/>
          </w:tcPr>
          <w:p>
            <w:pPr>
              <w:jc w:val="center"/>
              <w:ind w:left="344"/>
              <w:spacing w:after="0"/>
              <w:rPr>
                <w:sz w:val="20"/>
                <w:szCs w:val="20"/>
                <w:color w:val="auto"/>
              </w:rPr>
            </w:pPr>
            <w:r>
              <w:rPr>
                <w:rFonts w:ascii="Arial" w:cs="Arial" w:eastAsia="Arial" w:hAnsi="Arial"/>
                <w:sz w:val="14"/>
                <w:szCs w:val="14"/>
                <w:b w:val="1"/>
                <w:bCs w:val="1"/>
                <w:color w:val="auto"/>
                <w:w w:val="84"/>
              </w:rPr>
              <w:t>see Note 12)</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Note Offerings</w:t>
            </w:r>
          </w:p>
        </w:tc>
        <w:tc>
          <w:tcPr>
            <w:tcW w:w="12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Delay draw term loan facility</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FF&amp;E facility(1)</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Second mortgage notes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ind w:left="200"/>
              <w:spacing w:after="0"/>
              <w:rPr>
                <w:sz w:val="20"/>
                <w:szCs w:val="20"/>
                <w:color w:val="auto"/>
              </w:rPr>
            </w:pPr>
            <w:r>
              <w:rPr>
                <w:rFonts w:ascii="Arial" w:cs="Arial" w:eastAsia="Arial" w:hAnsi="Arial"/>
                <w:sz w:val="18"/>
                <w:szCs w:val="18"/>
                <w:color w:val="auto"/>
              </w:rPr>
              <w:t>Other long-term debt(1)(2)</w:t>
            </w:r>
          </w:p>
        </w:tc>
        <w:tc>
          <w:tcPr>
            <w:tcW w:w="1200" w:type="dxa"/>
            <w:vAlign w:val="bottom"/>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544.9(3)</w:t>
            </w:r>
          </w:p>
        </w:tc>
        <w:tc>
          <w:tcPr>
            <w:tcW w:w="320" w:type="dxa"/>
            <w:vAlign w:val="bottom"/>
          </w:tcPr>
          <w:p>
            <w:pPr>
              <w:spacing w:after="0"/>
              <w:rPr>
                <w:sz w:val="19"/>
                <w:szCs w:val="19"/>
                <w:color w:val="auto"/>
              </w:rPr>
            </w:pPr>
          </w:p>
        </w:tc>
        <w:tc>
          <w:tcPr>
            <w:tcW w:w="2420" w:type="dxa"/>
            <w:vAlign w:val="bottom"/>
            <w:gridSpan w:val="2"/>
          </w:tcPr>
          <w:p>
            <w:pPr>
              <w:jc w:val="right"/>
              <w:ind w:right="120"/>
              <w:spacing w:after="0"/>
              <w:rPr>
                <w:sz w:val="20"/>
                <w:szCs w:val="20"/>
                <w:color w:val="auto"/>
              </w:rPr>
            </w:pPr>
            <w:r>
              <w:rPr>
                <w:rFonts w:ascii="Arial" w:cs="Arial" w:eastAsia="Arial" w:hAnsi="Arial"/>
                <w:sz w:val="18"/>
                <w:szCs w:val="18"/>
                <w:color w:val="auto"/>
              </w:rPr>
              <w:t>959.6(4)(5)</w:t>
            </w:r>
          </w:p>
        </w:tc>
        <w:tc>
          <w:tcPr>
            <w:tcW w:w="1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959.6(4)(5)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0" w:type="dxa"/>
            <w:vAlign w:val="bottom"/>
            <w:shd w:val="clear" w:color="auto" w:fill="CCEEFF"/>
          </w:tcPr>
          <w:p>
            <w:pPr>
              <w:jc w:val="right"/>
              <w:ind w:right="1024"/>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573.7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-2613025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-2613025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-1986915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-1986915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-1986915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-1986915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-1986915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-923290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-923290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-923290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-923290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-923290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-923290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-477520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-477520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ind w:left="540" w:right="480" w:hanging="532"/>
        <w:spacing w:after="0" w:line="186" w:lineRule="auto"/>
        <w:tabs>
          <w:tab w:leader="none" w:pos="540" w:val="left"/>
        </w:tabs>
        <w:numPr>
          <w:ilvl w:val="0"/>
          <w:numId w:val="34"/>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spacing w:after="0" w:line="70" w:lineRule="exact"/>
        <w:rPr>
          <w:rFonts w:ascii="Arial" w:cs="Arial" w:eastAsia="Arial" w:hAnsi="Arial"/>
          <w:sz w:val="24"/>
          <w:szCs w:val="24"/>
          <w:color w:val="auto"/>
          <w:vertAlign w:val="subscript"/>
        </w:rPr>
      </w:pPr>
    </w:p>
    <w:p>
      <w:pPr>
        <w:ind w:left="540" w:right="100" w:hanging="532"/>
        <w:spacing w:after="0" w:line="188" w:lineRule="auto"/>
        <w:tabs>
          <w:tab w:leader="none" w:pos="540" w:val="left"/>
        </w:tabs>
        <w:numPr>
          <w:ilvl w:val="0"/>
          <w:numId w:val="34"/>
        </w:numPr>
        <w:rPr>
          <w:rFonts w:ascii="Arial" w:cs="Arial" w:eastAsia="Arial" w:hAnsi="Arial"/>
          <w:sz w:val="26"/>
          <w:szCs w:val="26"/>
          <w:color w:val="auto"/>
          <w:vertAlign w:val="subscript"/>
        </w:rPr>
      </w:pPr>
      <w:r>
        <w:rPr>
          <w:rFonts w:ascii="Arial" w:cs="Arial" w:eastAsia="Arial" w:hAnsi="Arial"/>
          <w:sz w:val="13"/>
          <w:szCs w:val="13"/>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40"/>
        <w:spacing w:after="0" w:line="239" w:lineRule="auto"/>
        <w:rPr>
          <w:sz w:val="20"/>
          <w:szCs w:val="20"/>
          <w:color w:val="auto"/>
        </w:rPr>
      </w:pPr>
      <w:r>
        <w:rPr>
          <w:rFonts w:ascii="Arial" w:cs="Arial" w:eastAsia="Arial" w:hAnsi="Arial"/>
          <w:sz w:val="14"/>
          <w:szCs w:val="14"/>
          <w:color w:val="auto"/>
        </w:rPr>
        <w:t>bears interest at an annual rate of 8% and requires payment of $5,000 per month until February 2009. Valvino assumed the obligations under the annuity in connection with its acquisition of the Desert Inn Resort &amp; Casino.</w:t>
      </w:r>
    </w:p>
    <w:p>
      <w:pPr>
        <w:ind w:left="540" w:hanging="532"/>
        <w:spacing w:after="0"/>
        <w:tabs>
          <w:tab w:leader="none" w:pos="540" w:val="left"/>
        </w:tabs>
        <w:numPr>
          <w:ilvl w:val="0"/>
          <w:numId w:val="35"/>
        </w:numPr>
        <w:rPr>
          <w:rFonts w:ascii="Arial" w:cs="Arial" w:eastAsia="Arial" w:hAnsi="Arial"/>
          <w:sz w:val="27"/>
          <w:szCs w:val="27"/>
          <w:color w:val="auto"/>
          <w:vertAlign w:val="subscript"/>
        </w:rPr>
      </w:pPr>
      <w:r>
        <w:rPr>
          <w:rFonts w:ascii="Arial" w:cs="Arial" w:eastAsia="Arial" w:hAnsi="Arial"/>
          <w:sz w:val="14"/>
          <w:szCs w:val="14"/>
          <w:color w:val="auto"/>
        </w:rPr>
        <w:t>Represents Valvino's members' equity as follows: (a) contributed capital of $586.1 million and (b) deficit accumulated during the developement stage of ($41.1) million.</w:t>
      </w:r>
    </w:p>
    <w:p>
      <w:pPr>
        <w:spacing w:after="0" w:line="84" w:lineRule="exact"/>
        <w:rPr>
          <w:rFonts w:ascii="Arial" w:cs="Arial" w:eastAsia="Arial" w:hAnsi="Arial"/>
          <w:sz w:val="27"/>
          <w:szCs w:val="27"/>
          <w:color w:val="auto"/>
          <w:vertAlign w:val="subscript"/>
        </w:rPr>
      </w:pPr>
    </w:p>
    <w:p>
      <w:pPr>
        <w:ind w:left="540" w:right="80" w:hanging="532"/>
        <w:spacing w:after="0" w:line="186" w:lineRule="auto"/>
        <w:tabs>
          <w:tab w:leader="none" w:pos="540" w:val="left"/>
        </w:tabs>
        <w:numPr>
          <w:ilvl w:val="0"/>
          <w:numId w:val="35"/>
        </w:numPr>
        <w:rPr>
          <w:rFonts w:ascii="Arial" w:cs="Arial" w:eastAsia="Arial" w:hAnsi="Arial"/>
          <w:sz w:val="24"/>
          <w:szCs w:val="24"/>
          <w:color w:val="auto"/>
          <w:vertAlign w:val="subscript"/>
        </w:rPr>
      </w:pPr>
      <w:r>
        <w:rPr>
          <w:rFonts w:ascii="Arial" w:cs="Arial" w:eastAsia="Arial" w:hAnsi="Arial"/>
          <w:sz w:val="12"/>
          <w:szCs w:val="12"/>
          <w:color w:val="auto"/>
        </w:rPr>
        <w:t>Represents Valvino's members' equity as follows: (a) contributed capital of $586.1 million, (b) deficit accumulated during the development stage of ($41.1) million and (c) expected net proceeds from this offering of $414.7 million.</w:t>
      </w:r>
    </w:p>
    <w:p>
      <w:pPr>
        <w:spacing w:after="0" w:line="70" w:lineRule="exact"/>
        <w:rPr>
          <w:rFonts w:ascii="Arial" w:cs="Arial" w:eastAsia="Arial" w:hAnsi="Arial"/>
          <w:sz w:val="24"/>
          <w:szCs w:val="24"/>
          <w:color w:val="auto"/>
          <w:vertAlign w:val="subscript"/>
        </w:rPr>
      </w:pPr>
    </w:p>
    <w:p>
      <w:pPr>
        <w:ind w:left="540" w:hanging="532"/>
        <w:spacing w:after="0" w:line="188" w:lineRule="auto"/>
        <w:tabs>
          <w:tab w:leader="none" w:pos="54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Represents Wynn Resorts' stockholders' equity on a pro forma and pro forma, as adjusted basis, as follows: (a) preferred stock, $0.01 par value per share, 40,000,000 shares authorized, no shares issued and outstanding, (b) common stock, $0.01 par value per share, 400,000,000 shares authorized, 63,285,000 shares issued and outstanding, (c) additional paid in capital of $414.5 million and (d) deficit accumulated during the development stage of $(41.1) million.</w:t>
      </w:r>
    </w:p>
    <w:p>
      <w:pPr>
        <w:sectPr>
          <w:pgSz w:w="11900" w:h="16838" w:orient="portrait"/>
          <w:cols w:equalWidth="0" w:num="1">
            <w:col w:w="11380"/>
          </w:cols>
          <w:pgMar w:left="240" w:top="131" w:right="279" w:bottom="103" w:gutter="0" w:footer="0" w:header="0"/>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03" w:gutter="0" w:footer="0" w:header="0"/>
          <w:type w:val="continuous"/>
        </w:sectPr>
      </w:pPr>
    </w:p>
    <w:bookmarkStart w:id="26" w:name="page27"/>
    <w:bookmarkEnd w:id="26"/>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net tangible book value per share of common stock upon completion of this offering.</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net tangible book value of our common stock on June 30, 2002 was $537.5 million, or approximately $13.44 per share. Net tangible book value per share represents the amount of our total tangible assets less total liabilities (not including any indebtedness being incurred concurrently with this offering), divided by the number of shares of common stock outstanding. Dilution in net tangible book value per share represents the difference between the amount per share paid by purchasers of shares of our common stock in this offering and the net tangible book value per share of our common stock immediately afterwards. After giving effect to the sale of shares in this offering at an assumed initial public offering price of $19.00 per share, which is the mid-point of the initial public offering price range set forth on the cover of this prospectus, and after deducting estimated underwriting discounts and commissions and offering expenses payable by us, our net tangible book value at June 30, 2002 would have been approximately $952.2 million, or $14.95 per share. This represents an immediate increase in net tangible book value of $1.51 per share to existing stockholders and an immediate dilution in net tangible book value of $4.05 per share to new investors purchasing shares of common stock in this offering. The following table illustrates this dilution on a per share basis:</w:t>
      </w:r>
    </w:p>
    <w:p>
      <w:pPr>
        <w:spacing w:after="0" w:line="182"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tangible book value per share at June 30, 2002</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13.44</w:t>
            </w:r>
          </w:p>
        </w:tc>
        <w:tc>
          <w:tcPr>
            <w:tcW w:w="6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per share attributable to this offering</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1.51</w:t>
            </w: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460" w:type="dxa"/>
            <w:vAlign w:val="bottom"/>
          </w:tcPr>
          <w:p>
            <w:pPr>
              <w:spacing w:after="0"/>
              <w:rPr>
                <w:sz w:val="18"/>
                <w:szCs w:val="18"/>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bl>
    <w:p>
      <w:pPr>
        <w:spacing w:after="0" w:line="20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following table summarizes, on a pro forma basis to reflect the issuance of shares in this offering as of June 30, 2002, the total number of shares of Wynn Resorts' common stock, the total consideration paid and the average price per share paid by existing stockholders and by the new investors in this offering, calculated before deducting the estimated underwriting discounts and commissions and offering expenses: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(in millions)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7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4"/>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5"/>
                <w:szCs w:val="15"/>
                <w:color w:val="auto"/>
              </w:rPr>
            </w:pPr>
          </w:p>
        </w:tc>
        <w:tc>
          <w:tcPr>
            <w:tcW w:w="740" w:type="dxa"/>
            <w:vAlign w:val="bottom"/>
          </w:tcPr>
          <w:p>
            <w:pPr>
              <w:jc w:val="right"/>
              <w:ind w:right="72"/>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center"/>
              <w:ind w:left="380"/>
              <w:spacing w:after="0"/>
              <w:rPr>
                <w:sz w:val="20"/>
                <w:szCs w:val="20"/>
                <w:color w:val="auto"/>
              </w:rPr>
            </w:pPr>
            <w:r>
              <w:rPr>
                <w:rFonts w:ascii="Arial" w:cs="Arial" w:eastAsia="Arial" w:hAnsi="Arial"/>
                <w:sz w:val="18"/>
                <w:szCs w:val="18"/>
                <w:color w:val="auto"/>
                <w:w w:val="89"/>
              </w:rPr>
              <w:t>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center"/>
              <w:ind w:left="420"/>
              <w:spacing w:after="0"/>
              <w:rPr>
                <w:sz w:val="20"/>
                <w:szCs w:val="20"/>
                <w:color w:val="auto"/>
              </w:rPr>
            </w:pPr>
            <w:r>
              <w:rPr>
                <w:rFonts w:ascii="Arial" w:cs="Arial" w:eastAsia="Arial" w:hAnsi="Arial"/>
                <w:sz w:val="18"/>
                <w:szCs w:val="18"/>
                <w:color w:val="auto"/>
                <w:w w:val="85"/>
              </w:rPr>
              <w:t>23.7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center"/>
              <w:ind w:left="420"/>
              <w:spacing w:after="0"/>
              <w:rPr>
                <w:sz w:val="20"/>
                <w:szCs w:val="20"/>
                <w:color w:val="auto"/>
              </w:rPr>
            </w:pPr>
            <w:r>
              <w:rPr>
                <w:rFonts w:ascii="Arial" w:cs="Arial" w:eastAsia="Arial" w:hAnsi="Arial"/>
                <w:sz w:val="18"/>
                <w:szCs w:val="18"/>
                <w:color w:val="auto"/>
                <w:w w:val="85"/>
              </w:rPr>
              <w:t>63.7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-1549400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-1549400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-1017905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-1017905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-1017905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-1017905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-768985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-768985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-768985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-768985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-768985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-768985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-768985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-768985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-768985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-340360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-340360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-340360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-340360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-340360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-340360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-340360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-340360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-340360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371" w:lineRule="exact"/>
        <w:rPr>
          <w:sz w:val="20"/>
          <w:szCs w:val="20"/>
          <w:color w:val="auto"/>
        </w:rPr>
      </w:pPr>
    </w:p>
    <w:p>
      <w:pPr>
        <w:ind w:left="540" w:right="120" w:hanging="532"/>
        <w:spacing w:after="0" w:line="188" w:lineRule="auto"/>
        <w:tabs>
          <w:tab w:leader="none" w:pos="540" w:val="left"/>
        </w:tabs>
        <w:numPr>
          <w:ilvl w:val="0"/>
          <w:numId w:val="36"/>
        </w:numPr>
        <w:rPr>
          <w:rFonts w:ascii="Arial" w:cs="Arial" w:eastAsia="Arial" w:hAnsi="Arial"/>
          <w:sz w:val="26"/>
          <w:szCs w:val="26"/>
          <w:color w:val="auto"/>
          <w:vertAlign w:val="subscript"/>
        </w:rPr>
      </w:pPr>
      <w:r>
        <w:rPr>
          <w:rFonts w:ascii="Arial" w:cs="Arial" w:eastAsia="Arial" w:hAnsi="Arial"/>
          <w:sz w:val="13"/>
          <w:szCs w:val="13"/>
          <w:color w:val="auto"/>
        </w:rPr>
        <w:t>Includes the contribution by Mr. Wynn in April 2002 of his interest in Wynn Macau, which was valued at approximately $56 million by the parties in the negotiation of the contribution of Mr. Wynn's interest. See "Management's Discussion &amp; Analysis of Financial Condition and Results of Operations—Liquidity and Capital Resources—Material Transactions Affecting Liquidity and Capital Resources."</w:t>
      </w:r>
    </w:p>
    <w:p>
      <w:pPr>
        <w:spacing w:after="0" w:line="19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preceding discussion and tables assume no exercise by the underwriters of their over-allotment option. We intend to reserve 9,750,000 shares for issuance under our stock incentive plan and, following the completion of this offering, we plan to grant 189,723 shares of restricted stock outside of the stock incentive plan to Franco Dragone, the executive producer and principal creator of the new entertainment production for Le Rêve. To the extent the over-allotment option is exercised, or any shares are issued under the stock incentive plan or to Mr. Dragone, there may be further dilution to new investors.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 xml:space="preserve">Under Mr. Wynn, Mirage Resorts was ranked as the second most admired company in the United States in the March 3, 1997 issue of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In that issue,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ectPr>
          <w:pgSz w:w="11900" w:h="16908" w:orient="portrait"/>
          <w:cols w:equalWidth="0" w:num="1">
            <w:col w:w="11420"/>
          </w:cols>
          <w:pgMar w:left="240" w:top="341" w:right="239" w:bottom="0" w:gutter="0" w:footer="0" w:header="0"/>
        </w:sectPr>
      </w:pPr>
    </w:p>
    <w:bookmarkStart w:id="27" w:name="page28"/>
    <w:bookmarkEnd w:id="27"/>
    <w:p>
      <w:pPr>
        <w:ind w:firstLine="345"/>
        <w:spacing w:after="0" w:line="310" w:lineRule="auto"/>
        <w:rPr>
          <w:sz w:val="20"/>
          <w:szCs w:val="20"/>
          <w:color w:val="auto"/>
        </w:rPr>
      </w:pPr>
      <w:r>
        <w:rPr>
          <w:rFonts w:ascii="Arial" w:cs="Arial" w:eastAsia="Arial" w:hAnsi="Arial"/>
          <w:sz w:val="15"/>
          <w:szCs w:val="15"/>
          <w:b w:val="1"/>
          <w:bCs w:val="1"/>
          <w:i w:val="1"/>
          <w:iCs w:val="1"/>
          <w:color w:val="auto"/>
        </w:rPr>
        <w:t xml:space="preserve">Aruze USA. </w:t>
      </w:r>
      <w:r>
        <w:rPr>
          <w:rFonts w:ascii="Arial" w:cs="Arial" w:eastAsia="Arial" w:hAnsi="Arial"/>
          <w:sz w:val="15"/>
          <w:szCs w:val="15"/>
          <w:color w:val="auto"/>
        </w:rPr>
        <w:t>Aruze USA, a Nevada corporation, is a wholly owned subsidiary of Aruze Corp., a Japanese manufacturer of pachislot and pachinko machines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video game software. As of October 18, 2002, Aruze Corp. had a market capitalization of approximately ¥144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 Japan and holds a significant share of Japan's pachislot machine market in terms of annual sales.</w:t>
      </w:r>
    </w:p>
    <w:p>
      <w:pPr>
        <w:spacing w:after="0" w:line="162"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prospectus.(1)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4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89"/>
              </w:rPr>
              <w:t>2000</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left="289"/>
              <w:spacing w:after="0" w:line="149" w:lineRule="exact"/>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9"/>
              </w:rPr>
              <w:t>2002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6"/>
              </w:rPr>
              <w:t>(As restated)</w:t>
            </w:r>
          </w:p>
        </w:tc>
        <w:tc>
          <w:tcPr>
            <w:tcW w:w="20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Consolidated Statement of Operations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52"/>
              <w:spacing w:after="0"/>
              <w:rPr>
                <w:sz w:val="20"/>
                <w:szCs w:val="20"/>
                <w:color w:val="auto"/>
              </w:rPr>
            </w:pPr>
            <w:r>
              <w:rPr>
                <w:rFonts w:ascii="Arial" w:cs="Arial" w:eastAsia="Arial" w:hAnsi="Arial"/>
                <w:sz w:val="18"/>
                <w:szCs w:val="18"/>
                <w:color w:val="auto"/>
              </w:rPr>
              <w:t>87</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686</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2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(13,403)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Net Loss Accumulated During the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ind w:left="22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2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(17,726)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(86.27)</w:t>
            </w:r>
          </w:p>
        </w:tc>
        <w:tc>
          <w:tcPr>
            <w:tcW w:w="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5"/>
          </w:tcPr>
          <w:p>
            <w:pPr>
              <w:jc w:val="right"/>
              <w:ind w:right="700"/>
              <w:spacing w:after="0" w:line="136" w:lineRule="exact"/>
              <w:rPr>
                <w:sz w:val="20"/>
                <w:szCs w:val="20"/>
                <w:color w:val="auto"/>
              </w:rPr>
            </w:pPr>
            <w:r>
              <w:rPr>
                <w:rFonts w:ascii="Arial" w:cs="Arial" w:eastAsia="Arial" w:hAnsi="Arial"/>
                <w:sz w:val="14"/>
                <w:szCs w:val="14"/>
                <w:b w:val="1"/>
                <w:bCs w:val="1"/>
                <w:color w:val="auto"/>
                <w:w w:val="85"/>
              </w:rPr>
              <w:t>December 31, 2000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4"/>
          </w:tcPr>
          <w:p>
            <w:pPr>
              <w:jc w:val="right"/>
              <w:ind w:right="120"/>
              <w:spacing w:after="0" w:line="136" w:lineRule="exact"/>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7"/>
          </w:tcPr>
          <w:p>
            <w:pPr>
              <w:jc w:val="right"/>
              <w:ind w:right="880"/>
              <w:spacing w:after="0" w:line="136" w:lineRule="exact"/>
              <w:rPr>
                <w:sz w:val="20"/>
                <w:szCs w:val="20"/>
                <w:color w:val="auto"/>
              </w:rPr>
            </w:pPr>
            <w:r>
              <w:rPr>
                <w:rFonts w:ascii="Arial" w:cs="Arial" w:eastAsia="Arial" w:hAnsi="Arial"/>
                <w:sz w:val="14"/>
                <w:szCs w:val="14"/>
                <w:b w:val="1"/>
                <w:bCs w:val="1"/>
                <w:color w:val="auto"/>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91"/>
              </w:rPr>
              <w:t>(As restated)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restated)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387,084</w:t>
            </w:r>
          </w:p>
        </w:tc>
        <w:tc>
          <w:tcPr>
            <w:tcW w:w="80" w:type="dxa"/>
            <w:vAlign w:val="bottom"/>
          </w:tcPr>
          <w:p>
            <w:pPr>
              <w:spacing w:after="0"/>
              <w:rPr>
                <w:sz w:val="18"/>
                <w:szCs w:val="18"/>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388,543</w:t>
            </w:r>
          </w:p>
        </w:tc>
        <w:tc>
          <w:tcPr>
            <w:tcW w:w="580" w:type="dxa"/>
            <w:vAlign w:val="bottom"/>
          </w:tcPr>
          <w:p>
            <w:pPr>
              <w:jc w:val="right"/>
              <w:ind w:right="39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586,036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384,230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544,948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-2552700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-2552700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-2552700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-2552700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-2552700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-2552700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-2552700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-2552700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-2552700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-966470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-966470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-966470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-966470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-966470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-966470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340" w:hanging="532"/>
        <w:spacing w:after="0" w:line="186" w:lineRule="auto"/>
        <w:tabs>
          <w:tab w:leader="none" w:pos="540" w:val="left"/>
        </w:tabs>
        <w:numPr>
          <w:ilvl w:val="0"/>
          <w:numId w:val="37"/>
        </w:numPr>
        <w:rPr>
          <w:rFonts w:ascii="Arial" w:cs="Arial" w:eastAsia="Arial" w:hAnsi="Arial"/>
          <w:sz w:val="24"/>
          <w:szCs w:val="24"/>
          <w:color w:val="auto"/>
          <w:vertAlign w:val="subscript"/>
        </w:rPr>
      </w:pPr>
      <w:r>
        <w:rPr>
          <w:rFonts w:ascii="Arial" w:cs="Arial" w:eastAsia="Arial" w:hAnsi="Arial"/>
          <w:sz w:val="12"/>
          <w:szCs w:val="12"/>
          <w:color w:val="auto"/>
        </w:rPr>
        <w:t>As of June 30, 2002, Wynn Resorts had no assets, liabilities or operations. Prior to the contribution of the Valvino membership interests to Wynn Resorts, Wynn Resorts did not have any financial transactions reflected in its financial statements other than the initial issuance of one share of common stock and, therefore, financial statements of Wynn Resorts are not included herein.</w:t>
      </w:r>
    </w:p>
    <w:p>
      <w:pPr>
        <w:ind w:left="540" w:hanging="532"/>
        <w:spacing w:after="0" w:line="198" w:lineRule="auto"/>
        <w:tabs>
          <w:tab w:leader="none" w:pos="540" w:val="left"/>
        </w:tabs>
        <w:numPr>
          <w:ilvl w:val="0"/>
          <w:numId w:val="37"/>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ectPr>
          <w:pgSz w:w="11900" w:h="16838" w:orient="portrait"/>
          <w:cols w:equalWidth="0" w:num="1">
            <w:col w:w="11420"/>
          </w:cols>
          <w:pgMar w:left="240" w:top="131" w:right="239" w:bottom="221" w:gutter="0" w:footer="0" w:header="0"/>
        </w:sectPr>
      </w:pPr>
    </w:p>
    <w:bookmarkStart w:id="28" w:name="page29"/>
    <w:bookmarkEnd w:id="28"/>
    <w:p>
      <w:pPr>
        <w:ind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In addition, the financial position and operating results of World Travel and Las Vegas Jet, which include principally the operation and charter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corporate aircraft, are included in Valvino's financial statements. Moreover, we continue to operate an art gallery displaying works from The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which consists of artwork from the personal art collection of Stephen and Elaine Wynn. Until summer 2002, we also operated the golf course located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site of the former Desert Inn Resort &amp; Casino. Valvino's historical operating results will not be indicative of future operating results.</w:t>
      </w:r>
    </w:p>
    <w:p>
      <w:pPr>
        <w:spacing w:after="0" w:line="219"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Valvino was organized in April 2000.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 course located behind the hotel, will occupy approximately 192 acres of a 212-acre parcel of land on the Las Vegas Strip in Las Vegas, Nevada. We expect Le Rêve to commence operations in April 2005.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Wynn Macau also has spent considerable time preparing and presenting to the Macau government a proposal to obtain a provisional concession to engage in gaming activities in Macau and negotiating the concession agreement and land concession. On June 24, 2002, Wynn Macau entered into a 20-year concession agreement with the government of Macau permitting Wynn Macau to construct and operate one or more casinos in Macau. The concession agreement obligates Wynn Macau to invest no less than a total of 4 billion patacas (approximately US $500 million at the October 22, 2002 exchange rate of approximately eight Macau patacas to one U.S. dollar) in Macau-related projects by June 26, 2009 and to commence operations of its first permanent casino resort in Macau no later than December 2006. Wynn Macau, the entity which will own and operate Wynn Resorts' Macau operations, is majority-owned by Wynn Resorts through a series of wholly owned and partially owned domestic and foreign subsidiaries, none of which is a guarantor of the second mortgage notes or the other debt facilities related to Le Rêve.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Wynn Resorts was recently formed with Stephen A. Wynn owning one share of common stock of the corporation. As of June 30, 2002, Wynn Resorts had no assets, liabilities or operations. Prior to the contribution of the Valvino membership interests to Wynn Resorts, upon which Valvino became a wholly owned subsidiary, Wynn Resorts did not have any financial transactions reflected in its financial statements other than the initial issuance of one share of common stock and therefore financial statements of Wynn Resorts are not included herein. Upon the contribution, approximately 189.7 shares of Wynn Resorts' common stock, were issued in exchange for each common share of Valvino membership interests. Wynn Resorts' consolidated financial statements will reflect the financial position and results of operations of Valvino and its subsidiaries.</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exchange of Wynn Resorts shares for contributed Valvino membership interests was a tax-free contribution under the Internal Revenue Code and was accounted for as a nonsubstantive recapitalization. Accordingly, Wynn Resorts will recognize the assets and liabilities transferred at their carrying value in the books and records of Valvino at the time of contribution. The financial statements of Wynn Resorts will report the results of operations for the period in which the transfer occurred as if the contribution of equity interests had occurred at the beginning of the period. Financial information for prior periods will be restated to furnish comparative information. Management does not expect the consolidated financial statements of Wynn Resorts to differ from the consolidated financial statements of Valvino and its subsidiaries included herein.</w:t>
      </w:r>
    </w:p>
    <w:p>
      <w:pPr>
        <w:spacing w:after="0" w:line="174"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w:t>
      </w:r>
    </w:p>
    <w:p>
      <w:pPr>
        <w:sectPr>
          <w:pgSz w:w="11900" w:h="16838" w:orient="portrait"/>
          <w:cols w:equalWidth="0" w:num="1">
            <w:col w:w="11420"/>
          </w:cols>
          <w:pgMar w:left="240" w:top="131" w:right="239" w:bottom="0" w:gutter="0" w:footer="0" w:header="0"/>
        </w:sectPr>
      </w:pPr>
    </w:p>
    <w:bookmarkStart w:id="29" w:name="page30"/>
    <w:bookmarkEnd w:id="29"/>
    <w:p>
      <w:pPr>
        <w:ind w:right="160"/>
        <w:spacing w:after="0" w:line="332" w:lineRule="auto"/>
        <w:rPr>
          <w:sz w:val="20"/>
          <w:szCs w:val="20"/>
          <w:color w:val="auto"/>
        </w:rPr>
      </w:pPr>
      <w:r>
        <w:rPr>
          <w:rFonts w:ascii="Arial" w:cs="Arial" w:eastAsia="Arial" w:hAnsi="Arial"/>
          <w:sz w:val="16"/>
          <w:szCs w:val="16"/>
          <w:color w:val="auto"/>
        </w:rPr>
        <w:t>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39"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40" w:hanging="532"/>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 approximately $8 million for the year ended December 31, 2001 as compared to the period from inception to December 31, 2000.</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Results of operations for the six months ended June 30, 2002 compared to the six months ended June 30, 2001</w:t>
      </w:r>
    </w:p>
    <w:p>
      <w:pPr>
        <w:sectPr>
          <w:pgSz w:w="11900" w:h="16838" w:orient="portrait"/>
          <w:cols w:equalWidth="0" w:num="1">
            <w:col w:w="11380"/>
          </w:cols>
          <w:pgMar w:left="240" w:top="131" w:right="279" w:bottom="0" w:gutter="0" w:footer="0" w:header="0"/>
          <w:type w:val="continuous"/>
        </w:sectPr>
      </w:pPr>
    </w:p>
    <w:bookmarkStart w:id="30" w:name="page31"/>
    <w:bookmarkEnd w:id="30"/>
    <w:p>
      <w:pPr>
        <w:spacing w:after="0" w:line="3"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 $750,000 decrease in interest income from 2002 to 2001. This reduction in interest income is mainly attributable to lower interest rates during the six months ended June 30, 2002 as compared to the six months ended June 30, 2001.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Since Valvino's inception on April 21, 2000, there have been a number of transactions that have had a significant impact on Valvino's liquidity. Our operations have required substantial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 for the acquisition of the land on which Le Rêve will be located and development of the project.</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 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6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hanging="532"/>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w:t>
      </w:r>
    </w:p>
    <w:p>
      <w:pPr>
        <w:sectPr>
          <w:pgSz w:w="11900" w:h="16841" w:orient="portrait"/>
          <w:cols w:equalWidth="0" w:num="1">
            <w:col w:w="11380"/>
          </w:cols>
          <w:pgMar w:left="240" w:top="131" w:right="279" w:bottom="0" w:gutter="0" w:footer="0" w:header="0"/>
        </w:sectPr>
      </w:pPr>
    </w:p>
    <w:bookmarkStart w:id="31" w:name="page32"/>
    <w:bookmarkEnd w:id="31"/>
    <w:p>
      <w:pPr>
        <w:ind w:left="1080" w:right="240"/>
        <w:spacing w:after="0" w:line="259" w:lineRule="auto"/>
        <w:rPr>
          <w:sz w:val="20"/>
          <w:szCs w:val="20"/>
          <w:color w:val="auto"/>
        </w:rPr>
      </w:pPr>
      <w:r>
        <w:rPr>
          <w:rFonts w:ascii="Arial" w:cs="Arial" w:eastAsia="Arial" w:hAnsi="Arial"/>
          <w:sz w:val="18"/>
          <w:szCs w:val="18"/>
          <w:color w:val="auto"/>
        </w:rPr>
        <w:t>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240"/>
        <w:spacing w:after="0" w:line="286" w:lineRule="auto"/>
        <w:rPr>
          <w:sz w:val="20"/>
          <w:szCs w:val="20"/>
          <w:color w:val="auto"/>
        </w:rPr>
      </w:pPr>
      <w:r>
        <w:rPr>
          <w:rFonts w:ascii="Arial" w:cs="Arial" w:eastAsia="Arial" w:hAnsi="Arial"/>
          <w:sz w:val="16"/>
          <w:szCs w:val="16"/>
          <w:color w:val="auto"/>
        </w:rPr>
        <w:t>entities under common control, the contribution of Mr. Wynn's 90% interest in Wynn Macau was recorded at carryover basis (with the primary asset recorded in the financial statements being the approximate $22.5 million of cash) rather than fair value. However, Mr. Wynn's resulting</w:t>
      </w:r>
    </w:p>
    <w:p>
      <w:pPr>
        <w:ind w:left="1080"/>
        <w:spacing w:after="0" w:line="261" w:lineRule="auto"/>
        <w:rPr>
          <w:sz w:val="20"/>
          <w:szCs w:val="20"/>
          <w:color w:val="auto"/>
        </w:rPr>
      </w:pPr>
      <w:r>
        <w:rPr>
          <w:rFonts w:ascii="Arial" w:cs="Arial" w:eastAsia="Arial" w:hAnsi="Arial"/>
          <w:sz w:val="18"/>
          <w:szCs w:val="18"/>
          <w:color w:val="auto"/>
        </w:rPr>
        <w:t>47.5% ownership interest in Valvino, after these contributions, reflects the fair value of his investment in Wynn Macau relative to the fair value of the contributions from Aruze USA and Baron Asset Fund;</w:t>
      </w:r>
    </w:p>
    <w:p>
      <w:pPr>
        <w:spacing w:after="0" w:line="205"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68135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1"/>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41"/>
        </w:numPr>
        <w:rPr>
          <w:rFonts w:ascii="Arial" w:cs="Arial" w:eastAsia="Arial" w:hAnsi="Arial"/>
          <w:sz w:val="21"/>
          <w:szCs w:val="21"/>
          <w:color w:val="auto"/>
          <w:vertAlign w:val="subscript"/>
        </w:rPr>
      </w:pPr>
      <w:r>
        <w:rPr>
          <w:rFonts w:ascii="Arial" w:cs="Arial" w:eastAsia="Arial" w:hAnsi="Arial"/>
          <w:sz w:val="11"/>
          <w:szCs w:val="11"/>
          <w:color w:val="auto"/>
        </w:rPr>
        <w:t>These amounts reflect the book capital accounts as determined under federal partnership tax principles.</w:t>
      </w:r>
    </w:p>
    <w:p>
      <w:pPr>
        <w:spacing w:after="0" w:line="85" w:lineRule="exact"/>
        <w:rPr>
          <w:rFonts w:ascii="Arial" w:cs="Arial" w:eastAsia="Arial" w:hAnsi="Arial"/>
          <w:sz w:val="21"/>
          <w:szCs w:val="21"/>
          <w:color w:val="auto"/>
          <w:vertAlign w:val="subscript"/>
        </w:rPr>
      </w:pPr>
    </w:p>
    <w:p>
      <w:pPr>
        <w:ind w:left="540" w:right="20" w:hanging="532"/>
        <w:spacing w:after="0" w:line="186" w:lineRule="auto"/>
        <w:tabs>
          <w:tab w:leader="none" w:pos="540" w:val="left"/>
        </w:tabs>
        <w:numPr>
          <w:ilvl w:val="0"/>
          <w:numId w:val="41"/>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pacing w:after="0" w:line="19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At June 30, 2002, Valvino had approximately $187.9 million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borrowings under the delay draw term loan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the expected offering of second mortgage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cash on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following table summarizes certain information regarding our subsidiaries' expected long-term indebtedness and commercial commitments at the completion of Le Rêve. All time periods in these tables are measured from the closing of this offering and are based upon our best estimate at this time of our expected long-term indebtedness and commercial commitments.</w:t>
      </w:r>
    </w:p>
    <w:p>
      <w:pPr>
        <w:sectPr>
          <w:pgSz w:w="11900" w:h="16838" w:orient="portrait"/>
          <w:cols w:equalWidth="0" w:num="1">
            <w:col w:w="11340"/>
          </w:cols>
          <w:pgMar w:left="240" w:top="131" w:right="31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w w:val="86"/>
              </w:rPr>
              <w:t>Payments Due By Period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2"/>
              </w:rPr>
              <w:t>Less than</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00"/>
              <w:spacing w:after="0"/>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1 Year</w:t>
            </w:r>
          </w:p>
        </w:tc>
        <w:tc>
          <w:tcPr>
            <w:tcW w:w="60" w:type="dxa"/>
            <w:vAlign w:val="bottom"/>
          </w:tcPr>
          <w:p>
            <w:pPr>
              <w:spacing w:after="0"/>
              <w:rPr>
                <w:sz w:val="15"/>
                <w:szCs w:val="15"/>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5"/>
                <w:szCs w:val="15"/>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4-5 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5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long-term indebtedness</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1,492.0</w:t>
            </w:r>
          </w:p>
        </w:tc>
        <w:tc>
          <w:tcPr>
            <w:tcW w:w="5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0.1</w:t>
            </w:r>
          </w:p>
        </w:tc>
        <w:tc>
          <w:tcPr>
            <w:tcW w:w="140" w:type="dxa"/>
            <w:vAlign w:val="bottom"/>
          </w:tcPr>
          <w:p>
            <w:pPr>
              <w:spacing w:after="0"/>
              <w:rPr>
                <w:sz w:val="24"/>
                <w:szCs w:val="24"/>
                <w:color w:val="auto"/>
              </w:rPr>
            </w:pPr>
          </w:p>
        </w:tc>
        <w:tc>
          <w:tcPr>
            <w:tcW w:w="4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1,491.8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gridSpan w:val="15"/>
          </w:tcPr>
          <w:p>
            <w:pPr>
              <w:jc w:val="center"/>
              <w:ind w:right="380"/>
              <w:spacing w:after="0"/>
              <w:rPr>
                <w:sz w:val="20"/>
                <w:szCs w:val="20"/>
                <w:color w:val="auto"/>
              </w:rPr>
            </w:pPr>
            <w:r>
              <w:rPr>
                <w:rFonts w:ascii="Arial" w:cs="Arial" w:eastAsia="Arial" w:hAnsi="Arial"/>
                <w:sz w:val="14"/>
                <w:szCs w:val="14"/>
                <w:b w:val="1"/>
                <w:bCs w:val="1"/>
                <w:color w:val="auto"/>
                <w:w w:val="88"/>
              </w:rPr>
              <w:t>Amount of Commitment Expiration Per Period</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Amounts</w:t>
            </w:r>
          </w:p>
        </w:tc>
        <w:tc>
          <w:tcPr>
            <w:tcW w:w="200" w:type="dxa"/>
            <w:vAlign w:val="bottom"/>
          </w:tcPr>
          <w:p>
            <w:pPr>
              <w:spacing w:after="0"/>
              <w:rPr>
                <w:sz w:val="12"/>
                <w:szCs w:val="12"/>
                <w:color w:val="auto"/>
              </w:rPr>
            </w:pPr>
          </w:p>
        </w:tc>
        <w:tc>
          <w:tcPr>
            <w:tcW w:w="140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rPr>
              <w:t>Over</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
              <w:spacing w:after="0"/>
              <w:rPr>
                <w:sz w:val="20"/>
                <w:szCs w:val="20"/>
                <w:color w:val="auto"/>
              </w:rPr>
            </w:pPr>
            <w:r>
              <w:rPr>
                <w:rFonts w:ascii="Arial" w:cs="Arial" w:eastAsia="Arial" w:hAnsi="Arial"/>
                <w:sz w:val="14"/>
                <w:szCs w:val="14"/>
                <w:b w:val="1"/>
                <w:bCs w:val="1"/>
                <w:color w:val="auto"/>
                <w:w w:val="90"/>
              </w:rPr>
              <w:t>Committed</w:t>
            </w:r>
          </w:p>
        </w:tc>
        <w:tc>
          <w:tcPr>
            <w:tcW w:w="200" w:type="dxa"/>
            <w:vAlign w:val="bottom"/>
          </w:tcPr>
          <w:p>
            <w:pPr>
              <w:spacing w:after="0"/>
              <w:rPr>
                <w:sz w:val="15"/>
                <w:szCs w:val="15"/>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1 Year</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5"/>
          </w:tcPr>
          <w:p>
            <w:pPr>
              <w:ind w:left="80"/>
              <w:spacing w:after="0"/>
              <w:rPr>
                <w:sz w:val="20"/>
                <w:szCs w:val="20"/>
                <w:color w:val="auto"/>
              </w:rPr>
            </w:pPr>
            <w:r>
              <w:rPr>
                <w:rFonts w:ascii="Arial" w:cs="Arial" w:eastAsia="Arial" w:hAnsi="Arial"/>
                <w:sz w:val="14"/>
                <w:szCs w:val="14"/>
                <w:b w:val="1"/>
                <w:bCs w:val="1"/>
                <w:color w:val="auto"/>
              </w:rPr>
              <w:t>1-3 Years</w:t>
            </w: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5"/>
                <w:szCs w:val="15"/>
                <w:color w:val="auto"/>
              </w:rPr>
            </w:pPr>
          </w:p>
        </w:tc>
        <w:tc>
          <w:tcPr>
            <w:tcW w:w="11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gridSpan w:val="3"/>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gridSpan w:val="5"/>
          </w:tcPr>
          <w:p>
            <w:pPr>
              <w:jc w:val="center"/>
              <w:ind w:left="186"/>
              <w:spacing w:after="0"/>
              <w:rPr>
                <w:sz w:val="20"/>
                <w:szCs w:val="20"/>
                <w:color w:val="auto"/>
              </w:rPr>
            </w:pPr>
            <w:r>
              <w:rPr>
                <w:rFonts w:ascii="Arial" w:cs="Arial" w:eastAsia="Arial" w:hAnsi="Arial"/>
                <w:sz w:val="14"/>
                <w:szCs w:val="14"/>
                <w:b w:val="1"/>
                <w:bCs w:val="1"/>
                <w:color w:val="auto"/>
                <w:w w:val="89"/>
              </w:rPr>
              <w:t>(in millions)</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257.5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center"/>
              <w:ind w:left="66"/>
              <w:spacing w:after="0"/>
              <w:rPr>
                <w:sz w:val="20"/>
                <w:szCs w:val="20"/>
                <w:color w:val="auto"/>
              </w:rPr>
            </w:pPr>
            <w:r>
              <w:rPr>
                <w:rFonts w:ascii="Arial" w:cs="Arial" w:eastAsia="Arial" w:hAnsi="Arial"/>
                <w:sz w:val="18"/>
                <w:szCs w:val="18"/>
                <w:color w:val="auto"/>
                <w:w w:val="94"/>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—(7)</w:t>
            </w:r>
          </w:p>
        </w:tc>
        <w:tc>
          <w:tcPr>
            <w:tcW w:w="34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500.0(7)</w:t>
            </w: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280" w:type="dxa"/>
            <w:vAlign w:val="bottom"/>
          </w:tcPr>
          <w:p>
            <w:pPr>
              <w:spacing w:after="0"/>
              <w:rPr>
                <w:sz w:val="10"/>
                <w:szCs w:val="10"/>
                <w:color w:val="auto"/>
              </w:rPr>
            </w:pPr>
          </w:p>
        </w:tc>
        <w:tc>
          <w:tcPr>
            <w:tcW w:w="500" w:type="dxa"/>
            <w:vAlign w:val="bottom"/>
            <w:gridSpan w:val="3"/>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60" w:type="dxa"/>
            <w:vAlign w:val="bottom"/>
            <w:gridSpan w:val="3"/>
          </w:tcPr>
          <w:p>
            <w:pPr>
              <w:spacing w:after="0"/>
              <w:rPr>
                <w:sz w:val="20"/>
                <w:szCs w:val="20"/>
                <w:color w:val="auto"/>
              </w:rPr>
            </w:pPr>
            <w:r>
              <w:rPr>
                <w:rFonts w:ascii="Arial" w:cs="Arial" w:eastAsia="Arial" w:hAnsi="Arial"/>
                <w:sz w:val="18"/>
                <w:szCs w:val="18"/>
                <w:color w:val="auto"/>
              </w:rPr>
              <w:t>Total commercial commitments</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1,431.5</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259.8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671.7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-3813175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-3813175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-3470275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-3470275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-3470275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-3470275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-3470275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-3470275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-3470275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-3470275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-3470275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-3470275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-3470275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-3470275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-2381250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-2381250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-2381250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-2381250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-2381250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-2381250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-2381250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-2381250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-2381250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-2381250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-1729740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-1729740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-1292225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-1292225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-1292225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-1292225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-1292225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-1292225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-1292225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-1292225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-1292225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-1292225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-1292225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-1292225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-477520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-477520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-477520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-477520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-477520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-477520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-477520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jc w:val="both"/>
        <w:ind w:left="540" w:right="40" w:hanging="532"/>
        <w:spacing w:after="0" w:line="205" w:lineRule="auto"/>
        <w:tabs>
          <w:tab w:leader="none" w:pos="540" w:val="left"/>
        </w:tabs>
        <w:numPr>
          <w:ilvl w:val="0"/>
          <w:numId w:val="44"/>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$713.2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84"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200" w:hanging="532"/>
        <w:spacing w:after="0" w:line="21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2007. See "Certain Relationships and Related Transactions—Aircraft Arrangements." World Travel intends to issue Wynn Las Vegas an intercompany note in the amount of the funds received by it to repay the Bank of America loan.</w:t>
      </w:r>
    </w:p>
    <w:p>
      <w:pPr>
        <w:spacing w:after="0" w:line="152" w:lineRule="exact"/>
        <w:rPr>
          <w:sz w:val="20"/>
          <w:szCs w:val="20"/>
          <w:color w:val="auto"/>
        </w:rPr>
      </w:pPr>
    </w:p>
    <w:p>
      <w:pPr>
        <w:ind w:left="540" w:right="8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45"/>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Wynn Las Vegas'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45"/>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85" w:lineRule="exact"/>
        <w:rPr>
          <w:rFonts w:ascii="Arial" w:cs="Arial" w:eastAsia="Arial" w:hAnsi="Arial"/>
          <w:sz w:val="27"/>
          <w:szCs w:val="27"/>
          <w:color w:val="auto"/>
          <w:vertAlign w:val="subscript"/>
        </w:rPr>
      </w:pPr>
    </w:p>
    <w:p>
      <w:pPr>
        <w:ind w:left="540" w:right="260" w:hanging="532"/>
        <w:spacing w:after="0" w:line="188" w:lineRule="auto"/>
        <w:tabs>
          <w:tab w:leader="none" w:pos="540" w:val="left"/>
        </w:tabs>
        <w:numPr>
          <w:ilvl w:val="0"/>
          <w:numId w:val="45"/>
        </w:numPr>
        <w:rPr>
          <w:rFonts w:ascii="Arial" w:cs="Arial" w:eastAsia="Arial" w:hAnsi="Arial"/>
          <w:sz w:val="26"/>
          <w:szCs w:val="26"/>
          <w:color w:val="auto"/>
          <w:vertAlign w:val="subscript"/>
        </w:rPr>
      </w:pPr>
      <w:r>
        <w:rPr>
          <w:rFonts w:ascii="Arial" w:cs="Arial" w:eastAsia="Arial" w:hAnsi="Arial"/>
          <w:sz w:val="13"/>
          <w:szCs w:val="13"/>
          <w:color w:val="auto"/>
        </w:rPr>
        <w:t>The Macau concession agreement requires Wynn Macau to invest approximately US $500 millon (using the exchange rate as of October 22, 2002) on one or more casino projects over a seven year period. Wynn Macau is obligated to operate its first casino in Macau by December 2006. The full contractual commitment is shown as having to be made after five years, but the timing of the expenditures is subject to change.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Securities LLC, Bear, Stearns &amp; Co. Inc. and certain of their affiliates for a revolving credit facility of $750 million and a delay draw term loan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as part of the financing of Le Rêve. These lenders or their affiliates are also serving as joint book-running managers of this offering and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notes offering. The revolving credit facility will mature on the sixth anniversary of the closing of the credit facilities. Borrowings under the delay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facility will be available for 27 months after the closing of the credit facilities and will be repayable in quarterly installments from the first full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after completion of Le Rêve until the seventh anniversary of the closing of the credit facilities in amounts to be determined. The credit facilities will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concurrently with the closing of this offering. All amounts outstanding under the credit facilities will bear interest, at Wynn Las Vegas' option (subject to certain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limitations), at either (1) a base rate equal to the greater of the prime lending rate as stated in the British Banking Association Telerate page 5 and 0.5% in excess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federal funds rate or (2) the Eurodollar rate, as determined by the administrative agent, in both cases plus certain margins. For each year after Le Rêve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commences operations, Wynn Las Vegas will be required to prepay its borrowings under the credit facilities with a percentage of its excess cash flow (as it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the credit facilities), initially 75%, reducing to 50% and then to 0% as Wynn Las Vegas meets certain leverage ratios. The availability of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facilities is subject to certain conditions, including the negotiation and execution of definitive agreements, the progress of the construction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customary funding conditions for facilities of this kind.</w:t>
      </w:r>
    </w:p>
    <w:p>
      <w:pPr>
        <w:spacing w:after="0" w:line="21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the assets of our subsidiaries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Certain Indebtedness—Credit Facilities."</w:t>
      </w:r>
    </w:p>
    <w:p>
      <w:pPr>
        <w:sectPr>
          <w:pgSz w:w="11900" w:h="16838" w:orient="portrait"/>
          <w:cols w:equalWidth="0" w:num="1">
            <w:col w:w="11400"/>
          </w:cols>
          <w:pgMar w:left="240" w:top="127" w:right="259" w:bottom="9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FF&amp;E Facility</w:t>
      </w:r>
    </w:p>
    <w:p>
      <w:pPr>
        <w:sectPr>
          <w:pgSz w:w="11900" w:h="16838" w:orient="portrait"/>
          <w:cols w:equalWidth="0" w:num="1">
            <w:col w:w="11400"/>
          </w:cols>
          <w:pgMar w:left="240" w:top="127" w:right="259" w:bottom="90" w:gutter="0" w:footer="0" w:header="0"/>
          <w:type w:val="continuous"/>
        </w:sectPr>
      </w:pPr>
    </w:p>
    <w:bookmarkStart w:id="33" w:name="page34"/>
    <w:bookmarkEnd w:id="33"/>
    <w:p>
      <w:pPr>
        <w:spacing w:after="0" w:line="6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 Proceeds," "Certain Relationships and Related Transactions—Aircraft Arrangements" and "Description of Certain Indebtedness."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Concurrent with this offering, Wynn Las Vegas and Wynn Capital, our indirect subsidiaries, are jointly offering $340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Certain Indebtedness—Second Mortgage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Resorts and its domestic and foreign subsidiaries related to the Macau opportunity will not be guarantors and will not be subject to the covenants in the second mortgage notes or the credit facilities. However, Wynn Resorts itself may become a guarantor, but will not be bound by the covenants, under the second mortgage notes and the credit facilities if Wynn Resorts incurs certain indebtedness in excess of $10 million in the aggregate, or becomes a guarantor on other specified indebtedness, before Wynn Las Vegas has achieved a total debt to earnings before interest, tax, depreciation and amortization ratio of 3.0 to 1.0 or less and a credit facilities rating of BB+ or higher by Standard &amp; Poor's and Ba1 or higher by Moody's Investors Service, subject to certain limited exceptions. Similarly, if Wynn Resorts pledges assets to secure guarantees of other specified indebtedness prior to meeting prescribed leverage ratio and debt rating tests, then the second mortgage notes may be secured by comparable liens on the same Wynn Resorts' assets. The security interests in these assets may be released if the leverage ratio and debt ratings tests are subsequently met.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representatives for the lenders under the credit facilities and the trustee for the second mortgage notes may release the liens on the approximately 137-acre golf course parcel and related water rights. The credit facility and the indenture will provide that the liens will be released after the third anniversary of commencing operations at Le Rêve once Wynn Las Vegas has achieved a total debt to earnings before interest, tax, depreciation and amortization ratio of 3.0 to 1.0 or less and if the credit facilities are rated BB+ or higher by Standard &amp; Poor's and Ba1 or higher by Moody's Investors Service immediately after giving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effect to the release and Wynn Las Vegas satisfies certain conditions relating to water required for the Le Rêve casino water features.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Wynn Las Vegas satisfies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and Wynn Las Vegas satisfies certain conditions relating to water required for the Le Rêve casino water features and the golf course.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Wynn Las Vegas fair market value for the property and Wynn Las Vegas satisfies certain conditions relating to water required for the Le Rêve casino water features and the golf course.</w:t>
      </w:r>
    </w:p>
    <w:p>
      <w:pPr>
        <w:spacing w:after="0" w:line="177"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Finally, the credit facilities will provide that the liens on the 20-acre parcel fronting Las Vegas Boulevard adjacent to the site of Le Rêve will be released by representatives for the lenders under the credit facilities if Wynn Las Vegas meets certain earnings before interest, taxes, depreciation and amortization targets for four consecutive calendar quarters after the commencement of operations at Le Rêve and Wynn Las Vegas satisfies certain conditions relating to water required for the Le Rêve casino water features and the golf course. In addition, the representatives of the lenders, by action of a specified percentage of the lenders, may release the liens on the 20-acre parcel if Wynn Las Vegas meets certain earnings before interest, taxes, depreciation and amortization targets for two consecutive calendar quarters after the commencement of operations at Le Rêve and Wynn Las Vegas satisfies certain conditions relating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Our Substantial Indebtedness—Our subsidiaries' indebtedness will be secured by a substantial portion of their assets."</w:t>
      </w:r>
    </w:p>
    <w:p>
      <w:pPr>
        <w:spacing w:after="0" w:line="16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these assets are released from the liens under Wynn Las Vegas' indebtedness, then those parcels will provide a basis for future development of our business in Las Vegas, including a possible second hotel casino as a Phase II development on the 20-acre parcel.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400" w:firstLine="348"/>
        <w:spacing w:after="0" w:line="370" w:lineRule="auto"/>
        <w:rPr>
          <w:sz w:val="20"/>
          <w:szCs w:val="20"/>
          <w:color w:val="auto"/>
        </w:rPr>
      </w:pPr>
      <w:r>
        <w:rPr>
          <w:rFonts w:ascii="Arial" w:cs="Arial" w:eastAsia="Arial" w:hAnsi="Arial"/>
          <w:sz w:val="15"/>
          <w:szCs w:val="15"/>
          <w:color w:val="auto"/>
        </w:rPr>
        <w:t>Wynn Las Vegas intends to deposit all of the net proceeds from the offering of the second mortgage notes in a secured account pledged to the second mortgage note holders pursuant to an agreement with the trustee for the second mortgage note holders. Pursuant to the terms of the disbursement agreement,</w:t>
      </w:r>
    </w:p>
    <w:p>
      <w:pPr>
        <w:sectPr>
          <w:pgSz w:w="11900" w:h="16908" w:orient="portrait"/>
          <w:cols w:equalWidth="0" w:num="1">
            <w:col w:w="11400"/>
          </w:cols>
          <w:pgMar w:left="240" w:top="131" w:right="259" w:bottom="0" w:gutter="0" w:footer="0" w:header="0"/>
        </w:sectPr>
      </w:pPr>
    </w:p>
    <w:bookmarkStart w:id="34" w:name="page35"/>
    <w:bookmarkEnd w:id="34"/>
    <w:p>
      <w:pPr>
        <w:ind w:right="280"/>
        <w:spacing w:after="0" w:line="306" w:lineRule="auto"/>
        <w:rPr>
          <w:sz w:val="20"/>
          <w:szCs w:val="20"/>
          <w:color w:val="auto"/>
        </w:rPr>
      </w:pPr>
      <w:r>
        <w:rPr>
          <w:rFonts w:ascii="Arial" w:cs="Arial" w:eastAsia="Arial" w:hAnsi="Arial"/>
          <w:sz w:val="16"/>
          <w:szCs w:val="16"/>
          <w:color w:val="auto"/>
        </w:rPr>
        <w:t>Wynn Las Vegas is required to use a substantial portion of the cash equity contribution received from us before accessing the proceeds from the offering of the second mortgage notes or borrowing under the credit facilities or the FF&amp;E facility. We do not expect that Wynn Las Vegas will request disbursements of the second mortgage note proceeds until approximately ten to twelve months after the closing of this offering or borrow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under the credit facilities or the FF&amp;E facility for approximately 16 to 19 months after the closing.</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Wynn Las Vegas'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207"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Rêve project in the event that one of our major stockholders is unable to qualify for such license;</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Wynn Las Vegas and our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 Risks Associated with Our Construction of Le Rêve—The development costs of Le Rêve are estimates only, and actual development costs may be higher than expected." The disbursement agreement will contain conditions precedent to Wynn Las Vegas entering into scope change orders that will increase or decrease the anticipated costs of the project. These conditions will require Wynn Las Vegas to fund equity into an account subject to a security interest in favor of the lenders under the credit facilities and the holders of the second mortgage notes or to allocate realized cost savings then available under the project budget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amount equal to the anticipated incremental cost of the change orders. In addition, if Wynn Las Vegas does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the indenture governing the second mortgage notes and the FF&amp;E facility, and the holders of the indebtedness will have the right to accelerate the indebtedness and exercise other rights and remedies against Wynn Las Vegas, and against Wynn Resorts if Wynn Resorts becomes a guarantor of the indebtedness under the credit facilities and the second mortgage notes, or if liens on assets of Wynn Resorts secure the credit facilities or the second mortgage notes. See "Risk Factors—Risks Related to Our Substantial Indebtedness—We are highly leveraged and future cash flow may not be sufficient for our subsidiaries to meet their obligations, and we might have difficulty obtaining more financing."</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Following the completion of Le Rêve, we expect Wynn Las Vegas to fund its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Wynn Las Vegas' debt service obligations accruing prior to the actual opening of Le Rêve will increase correspondingly. We cannot assure you, however, that Wynn Las Vegas' business will generate sufficient cash flow from operations or that future borrowings available to Wynn Las Vegas under the credit facilities will be sufficient to enable Wynn Las Vegas to service and repay its indebtedness and to fund its other liquidity needs. We may need to refinance all or a portion of Wynn Las Vegas' indebtedness on or before maturity and, if Wynn Resorts incurs certain indebtedness exceeding $10 million in the aggregate, or becomes a guarantor on other specified indebtedness, to do this, subject to certain limited exceptions, it may be required to guarantee the second mortgage notes, the credit facilities, and the FF&amp;E facility. Similarly, if Wynn Resorts pledges assets to secure guarantees of other specified indebtedness prior to meeting prescribed leverage ratio and debt rating tests, then the credit facilities and second mortgage notes may be secured by liens on Wynn Resorts' assets. We cannot assure you that we will be able to refinance any of the indebtedness, including the credit facilities, the FF&amp;E facility or the second mortgage notes on acceptable terms or at all. See "Risk Factors— Risks Related to Our Substantial Indebtedness—Our subsidiaries may not generate sufficient cash flow to meet their substantial debt service and other obligations."</w:t>
      </w:r>
    </w:p>
    <w:p>
      <w:pPr>
        <w:sectPr>
          <w:pgSz w:w="11900" w:h="16838" w:orient="portrait"/>
          <w:cols w:equalWidth="0" w:num="1">
            <w:col w:w="11420"/>
          </w:cols>
          <w:pgMar w:left="240" w:top="131" w:right="239" w:bottom="0" w:gutter="0" w:footer="0" w:header="0"/>
        </w:sectPr>
      </w:pPr>
    </w:p>
    <w:bookmarkStart w:id="35" w:name="page36"/>
    <w:bookmarkEnd w:id="35"/>
    <w:p>
      <w:pPr>
        <w:spacing w:after="0" w:line="1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$50 million of the net proceeds of this offering will be contributed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second mortgage notes, will be permitted to exercise remedies against such sums and apply such sums against the obligations under their respective documents.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After the completion and opening of Le Rêve, any amounts remaining in this account will be released to Wynn Resorts.</w:t>
      </w:r>
    </w:p>
    <w:p>
      <w:pPr>
        <w:spacing w:after="0" w:line="21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addition, we will contribute $30 million of the net proceeds of this offering to Wynn Las Vegas to be held in a liquidity reserve account and pledged to the lenders under the credit facilities and second mortgage note holders to secure Wynn Las Vegas' obligation to develop and construct Le Rêve. Until the opening of Le Rêve, these funds may be applied to the costs of the project,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notes holders, will be permitted to exercise remedies against such sums and apply such sums against the obligations under their respective documents. Following the completion and opening of Le Rêve, these funds will be available to meet Wynn Las Vegas' debt service needs in connection with the operation of Le Rêve. Once Wynn Las Vegas has met prescribed earnings before interest, taxes, depreciation and amortization targets for a period of four consecutive fiscal quarters after the opening of Le Rêve, any remaining funds will be used to reduce the outstanding balance of the revolving credit facility, but without reducing the revolving credit facility commitment.</w:t>
      </w:r>
    </w:p>
    <w:p>
      <w:pPr>
        <w:spacing w:after="0" w:line="17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Wynn Macau has entered into a 20-year concession agreement with the government of Macau permitting it to construct and operate one or more casinos in Macau. The concession agreement obligates Wynn Macau to invest 4 billion patacas (approximately US $500 million) in one or more casino projects in Macau by June 26, 2009 and to commence operations of its first permanent casino resort in Macau no later than December 2006. If Wynn Macau does not invest 4 billion patacas by June 26, 2009, it is obligated to invest the remaining amount in projects related to its gaming operations in Macau that the Macau government approves, or in projects of public interest designated by the Macau government.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The indirect minority investors in Wynn Macau have agreed to participate in this additional investment along with Wynn Resorts to the extent of their proportionate effective interests in Wynn Macau. It is expected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that significant additional financing will be needed to fund the development, construction and operation of one or more casinos in Macau. Wynn Macau has begun preliminary discussions to arrange the additional financing, and is considering different alternatives, including debt financing or additional equity financing at the Wynn Macau level or at the level of Wynn Macau's intermediary holding companies. At the present time, Wynn Macau has not yet determined the amount of financing that will be required to complete the initial phase. If Wynn Resorts decides to raise additional equity at the Wynn Resorts level or at the Wynn Macau or intermediary holding company level to fund the Macau opportunity, its stockholders would suffer direct or indirect dilution of their interests. Wynn Macau currently has no commitments relating to any third party financing. We do not expect financing for any such project to be provided by or through any of the issuers or guarantors of the second mortgage notes (except for Wynn Resorts, if it becomes a guarantor) or any other financing relating to the Le Rêve project.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subsidiaries' primary exposure to market risk will be interest rate risk associated with the revolving credit facility, the delay draw term loan facility and the FF&amp;E facility, each of which will bear interest based on floating rates. Our subsidiaries will attempt to manage their interest rate risk by managing the mix of their long-term fixed rate borrowings and variable rate borrowings. Our subsidiaries are required to obtain interest rate protection through interest rate swap arrangements with respect to 50% of the 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Foreign Currency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ectPr>
          <w:pgSz w:w="11900" w:h="16853" w:orient="portrait"/>
          <w:cols w:equalWidth="0" w:num="1">
            <w:col w:w="11420"/>
          </w:cols>
          <w:pgMar w:left="240" w:top="131" w:right="239" w:bottom="0" w:gutter="0" w:footer="0" w:header="0"/>
        </w:sectPr>
      </w:pPr>
    </w:p>
    <w:bookmarkStart w:id="36" w:name="page37"/>
    <w:bookmarkEnd w:id="36"/>
    <w:p>
      <w:pPr>
        <w:ind w:right="120" w:firstLine="348"/>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Le Rêve. </w:t>
      </w:r>
      <w:r>
        <w:rPr>
          <w:rFonts w:ascii="Arial" w:cs="Arial" w:eastAsia="Arial" w:hAnsi="Arial"/>
          <w:sz w:val="16"/>
          <w:szCs w:val="16"/>
          <w:color w:val="auto"/>
        </w:rPr>
        <w:t>We are constructing and will own and operate Le Rêve, which we have designed to be the preeminent luxury hotel and destination casino resort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 Rêve is the concept of Stephen A. Wynn, one of Wynn Resorts' principal stockholders and its Chairman of the Board and Chief Executive Officer. 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8"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94"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The Macau Opportunity. </w:t>
      </w:r>
      <w:r>
        <w:rPr>
          <w:rFonts w:ascii="Arial" w:cs="Arial" w:eastAsia="Arial" w:hAnsi="Arial"/>
          <w:sz w:val="16"/>
          <w:szCs w:val="16"/>
          <w:color w:val="auto"/>
        </w:rPr>
        <w:t>Wynn Macau, a Macau company and majority-owned indirect subsidiary of Wynn Resorts, recently entered into a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22, 2002 exchange rate)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Strategy</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We believe that Mr. Wynn's involvement with Le Rêve and the Macau opportunity provides a distinct advantage over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gaming industry.</w:t>
      </w:r>
    </w:p>
    <w:p>
      <w:pPr>
        <w:spacing w:after="0" w:line="16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ectPr>
          <w:pgSz w:w="11900" w:h="16838" w:orient="portrait"/>
          <w:cols w:equalWidth="0" w:num="1">
            <w:col w:w="11420"/>
          </w:cols>
          <w:pgMar w:left="240" w:top="131" w:right="239" w:bottom="0" w:gutter="0" w:footer="0" w:header="0"/>
        </w:sectPr>
      </w:pPr>
    </w:p>
    <w:bookmarkStart w:id="37" w:name="page38"/>
    <w:bookmarkEnd w:id="37"/>
    <w:p>
      <w:pPr>
        <w:ind w:firstLine="351"/>
        <w:spacing w:after="0" w:line="306" w:lineRule="auto"/>
        <w:rPr>
          <w:sz w:val="20"/>
          <w:szCs w:val="20"/>
          <w:color w:val="auto"/>
        </w:rPr>
      </w:pPr>
      <w:r>
        <w:rPr>
          <w:rFonts w:ascii="Arial" w:cs="Arial" w:eastAsia="Arial" w:hAnsi="Arial"/>
          <w:sz w:val="16"/>
          <w:szCs w:val="16"/>
          <w:color w:val="auto"/>
        </w:rPr>
        <w:t>In the major hotel destination casino resorts he has previously developed, Mr. Wynn has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The Mirage(1)</w:t>
            </w:r>
          </w:p>
        </w:tc>
        <w:tc>
          <w:tcPr>
            <w:tcW w:w="10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Bellagio(1)</w:t>
            </w:r>
          </w:p>
        </w:tc>
        <w:tc>
          <w:tcPr>
            <w:tcW w:w="120" w:type="dxa"/>
            <w:vAlign w:val="bottom"/>
          </w:tcPr>
          <w:p>
            <w:pPr>
              <w:spacing w:after="0"/>
              <w:rPr>
                <w:sz w:val="19"/>
                <w:szCs w:val="19"/>
                <w:color w:val="auto"/>
              </w:rPr>
            </w:pP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6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gridSpan w:val="2"/>
          </w:tcPr>
          <w:p>
            <w:pPr>
              <w:spacing w:after="0"/>
              <w:rPr>
                <w:sz w:val="20"/>
                <w:szCs w:val="20"/>
                <w:color w:val="auto"/>
              </w:rPr>
            </w:pPr>
            <w:r>
              <w:rPr>
                <w:rFonts w:ascii="Arial" w:cs="Arial" w:eastAsia="Arial" w:hAnsi="Arial"/>
                <w:sz w:val="18"/>
                <w:szCs w:val="18"/>
                <w:color w:val="auto"/>
              </w:rPr>
              <w:t>Year of Opening</w:t>
            </w:r>
          </w:p>
        </w:tc>
        <w:tc>
          <w:tcPr>
            <w:tcW w:w="100" w:type="dxa"/>
            <w:vAlign w:val="bottom"/>
          </w:tcPr>
          <w:p>
            <w:pPr>
              <w:spacing w:after="0"/>
              <w:rPr>
                <w:sz w:val="24"/>
                <w:szCs w:val="2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4"/>
                <w:szCs w:val="2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1998(2)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Property Acreage</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Total Hotel Rooms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35,000(2)</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92,160(6)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1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170,000(8)</w:t>
            </w: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125,000(6)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Approx. Showroom Seating (#)</w:t>
            </w:r>
          </w:p>
        </w:tc>
        <w:tc>
          <w:tcPr>
            <w:tcW w:w="1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2,769(8)</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1,800(6)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50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54 ft. erupting</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volcano</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"O" (Cirque</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Dolphin habitat</w:t>
            </w:r>
          </w:p>
        </w:tc>
        <w:tc>
          <w:tcPr>
            <w:tcW w:w="1680" w:type="dxa"/>
            <w:vAlign w:val="bottom"/>
            <w:gridSpan w:val="3"/>
          </w:tcPr>
          <w:p>
            <w:pPr>
              <w:spacing w:after="0"/>
              <w:rPr>
                <w:sz w:val="20"/>
                <w:szCs w:val="20"/>
                <w:color w:val="auto"/>
              </w:rPr>
            </w:pPr>
            <w:r>
              <w:rPr>
                <w:rFonts w:ascii="Arial" w:cs="Arial" w:eastAsia="Arial" w:hAnsi="Arial"/>
                <w:sz w:val="18"/>
                <w:szCs w:val="18"/>
                <w:color w:val="auto"/>
              </w:rPr>
              <w:t>du Soleil)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100 ft. atrium with</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tropical garden</w:t>
            </w:r>
          </w:p>
        </w:tc>
        <w:tc>
          <w:tcPr>
            <w:tcW w:w="1680" w:type="dxa"/>
            <w:vAlign w:val="bottom"/>
            <w:gridSpan w:val="3"/>
          </w:tcPr>
          <w:p>
            <w:pPr>
              <w:spacing w:after="0"/>
              <w:rPr>
                <w:sz w:val="20"/>
                <w:szCs w:val="20"/>
                <w:color w:val="auto"/>
              </w:rPr>
            </w:pPr>
            <w:r>
              <w:rPr>
                <w:rFonts w:ascii="Arial" w:cs="Arial" w:eastAsia="Arial" w:hAnsi="Arial"/>
                <w:sz w:val="18"/>
                <w:szCs w:val="18"/>
                <w:color w:val="auto"/>
              </w:rPr>
              <w:t>conservatory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Siegfried &amp; Roy</w:t>
            </w:r>
          </w:p>
        </w:tc>
        <w:tc>
          <w:tcPr>
            <w:tcW w:w="1680" w:type="dxa"/>
            <w:vAlign w:val="bottom"/>
            <w:gridSpan w:val="3"/>
          </w:tcPr>
          <w:p>
            <w:pPr>
              <w:spacing w:after="0"/>
              <w:rPr>
                <w:sz w:val="20"/>
                <w:szCs w:val="20"/>
                <w:color w:val="auto"/>
              </w:rPr>
            </w:pPr>
            <w:r>
              <w:rPr>
                <w:rFonts w:ascii="Arial" w:cs="Arial" w:eastAsia="Arial" w:hAnsi="Arial"/>
                <w:sz w:val="18"/>
                <w:szCs w:val="18"/>
                <w:color w:val="auto"/>
              </w:rPr>
              <w:t>• Art gallery</w:t>
            </w: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Shadow Creek golf</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course(9)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color w:val="auto"/>
              </w:rPr>
              <w:t>• Danny Gans show</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color w:val="auto"/>
              </w:rPr>
              <w:t>dealership(11)</w:t>
            </w:r>
          </w:p>
        </w:tc>
      </w:tr>
      <w:tr>
        <w:trPr>
          <w:trHeight w:val="120"/>
        </w:trPr>
        <w:tc>
          <w:tcPr>
            <w:tcW w:w="680" w:type="dxa"/>
            <w:vAlign w:val="bottom"/>
            <w:tcBorders>
              <w:bottom w:val="single" w:sz="8" w:color="808080"/>
            </w:tcBorders>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-3736340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-3736340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-3736340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-3736340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-3736340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-3736340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47"/>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Includes circulation (corridors) and patio space.</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 xml:space="preserve">Based on information located at </w:t>
      </w:r>
      <w:r>
        <w:rPr>
          <w:rFonts w:ascii="Arial" w:cs="Arial" w:eastAsia="Arial" w:hAnsi="Arial"/>
          <w:sz w:val="8"/>
          <w:szCs w:val="8"/>
          <w:i w:val="1"/>
          <w:iCs w:val="1"/>
          <w:color w:val="auto"/>
        </w:rPr>
        <w:t>www.mirage.com</w:t>
      </w:r>
      <w:r>
        <w:rPr>
          <w:rFonts w:ascii="Arial" w:cs="Arial" w:eastAsia="Arial" w:hAnsi="Arial"/>
          <w:sz w:val="8"/>
          <w:szCs w:val="8"/>
          <w:color w:val="auto"/>
        </w:rPr>
        <w:t xml:space="preserve"> as of May 23, 2002.</w:t>
      </w:r>
    </w:p>
    <w:p>
      <w:pPr>
        <w:ind w:left="540" w:hanging="532"/>
        <w:spacing w:after="0" w:line="197" w:lineRule="auto"/>
        <w:tabs>
          <w:tab w:leader="none" w:pos="540" w:val="left"/>
        </w:tabs>
        <w:numPr>
          <w:ilvl w:val="0"/>
          <w:numId w:val="47"/>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47"/>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47"/>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Develop Le Rêve as the Preeminent Luxury Hotel and Destination Casino Resort in Las Vegas. </w:t>
      </w:r>
      <w:r>
        <w:rPr>
          <w:rFonts w:ascii="Arial" w:cs="Arial" w:eastAsia="Arial" w:hAnsi="Arial"/>
          <w:sz w:val="18"/>
          <w:szCs w:val="18"/>
          <w:color w:val="auto"/>
        </w:rPr>
        <w:t>Our business strategy for Le Rêve is to offer guests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luxurious experience at a premier destination casino resort in Las Vegas. We believe that the quality of our hotel, the gaming experience that we intend to offer and the restaurants, retail outlets, entertainment offerings, golf course and other amenities at Le Rêve will enable us to create a first-class environment of elegance, sophistication and luxury.</w:t>
      </w:r>
    </w:p>
    <w:p>
      <w:pPr>
        <w:spacing w:after="0" w:line="197"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Pursue the Opportunity to be One of Three Casino Operators in Macau. </w:t>
      </w:r>
      <w:r>
        <w:rPr>
          <w:rFonts w:ascii="Arial" w:cs="Arial" w:eastAsia="Arial" w:hAnsi="Arial"/>
          <w:sz w:val="16"/>
          <w:szCs w:val="16"/>
          <w:color w:val="auto"/>
        </w:rPr>
        <w:t>Currently, Wynn Macau is one of only three concessionaires permitted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casinos in Macau, an established gaming market with access to gaming patrons principally from Hong Kong and mainland China. Wynn Macau has already begun planning for the development of the initial phase of its first Macau casino resort. See "Business—The Macau Opportunity."</w:t>
      </w:r>
    </w:p>
    <w:p>
      <w:pPr>
        <w:spacing w:after="0" w:line="16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is being constructed, an approximately 137-acre plot located behind the hotel on which the new golf course will be built and an additional parcel of approximately 20 acres fronting Las Vegas Boulevard next to the Le Rêve site. We will use the 20-acre parcel while we are constructing Le Rêve for our corporate offices, pre-opening activities, recruiting and employment purposes and employee parking. If Wynn Las Vegas meets prescribed cash flow tests for four consecutive calendar quarters after commencement of operations at Le Rêve and Wynn Las Vegas satisfies certain conditions relating to water required for the Le Rêve casino water features and the golf course, the 20-acre parcel will be released from the liens under the credit facilities and second mortgage notes and, in that event, we may decide to develop the parcel in the future, either on our own or through a joint venture. For example, in the future, we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Similarly, three years after commencement of operations at Le Rêve and upon Wynn Las Vegas' satisfaction of prescribed maximum leverage ratio and minimum credit rating requirements and Wynn Las Vegas satisfies certain conditions relating to water required for the Le Rêve casino water features, the land underlying the golf course, which is owned by Wynn Resorts Holdings, a wholly owned indirect subsidiary of Wynn Resorts, will be released from the liens under the credit facilities and the indenture governing the second mortgage notes and could be transferred by Wynn Resorts Holdings to Wynn Resorts or another entity. Should the land be released from the liens, the golf course parcel and our related property rights present further opportunities for future development by Wynn Resorts. In addition, portions of the golf course land may be released from the liens to permit residential or other non-gaming development if Wynn Las Vegas</w:t>
      </w:r>
    </w:p>
    <w:p>
      <w:pPr>
        <w:sectPr>
          <w:pgSz w:w="11900" w:h="16838" w:orient="portrait"/>
          <w:cols w:equalWidth="0" w:num="1">
            <w:col w:w="11420"/>
          </w:cols>
          <w:pgMar w:left="240" w:top="131" w:right="239" w:bottom="0" w:gutter="0" w:footer="0" w:header="0"/>
        </w:sectPr>
      </w:pPr>
    </w:p>
    <w:bookmarkStart w:id="38" w:name="page39"/>
    <w:bookmarkEnd w:id="38"/>
    <w:p>
      <w:pPr>
        <w:spacing w:after="0" w:line="268" w:lineRule="auto"/>
        <w:rPr>
          <w:sz w:val="20"/>
          <w:szCs w:val="20"/>
          <w:color w:val="auto"/>
        </w:rPr>
      </w:pPr>
      <w:r>
        <w:rPr>
          <w:rFonts w:ascii="Arial" w:cs="Arial" w:eastAsia="Arial" w:hAnsi="Arial"/>
          <w:sz w:val="18"/>
          <w:szCs w:val="18"/>
          <w:color w:val="auto"/>
        </w:rPr>
        <w:t>satisfies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86" w:lineRule="exact"/>
        <w:rPr>
          <w:sz w:val="20"/>
          <w:szCs w:val="20"/>
          <w:color w:val="auto"/>
        </w:rPr>
      </w:pPr>
    </w:p>
    <w:p>
      <w:pPr>
        <w:jc w:val="both"/>
        <w:ind w:right="620" w:firstLine="351"/>
        <w:spacing w:after="0" w:line="306" w:lineRule="auto"/>
        <w:rPr>
          <w:sz w:val="20"/>
          <w:szCs w:val="20"/>
          <w:color w:val="auto"/>
        </w:rPr>
      </w:pPr>
      <w:r>
        <w:rPr>
          <w:rFonts w:ascii="Arial" w:cs="Arial" w:eastAsia="Arial" w:hAnsi="Arial"/>
          <w:sz w:val="16"/>
          <w:szCs w:val="16"/>
          <w:color w:val="auto"/>
        </w:rPr>
        <w:t>In addition,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w:t>
      </w:r>
    </w:p>
    <w:p>
      <w:pPr>
        <w:spacing w:after="0" w:line="16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Capitalize on Our Experienced Management and Design Teams. </w:t>
      </w:r>
      <w:r>
        <w:rPr>
          <w:rFonts w:ascii="Arial" w:cs="Arial" w:eastAsia="Arial" w:hAnsi="Arial"/>
          <w:sz w:val="16"/>
          <w:szCs w:val="16"/>
          <w:color w:val="auto"/>
        </w:rPr>
        <w:t>The members of our management team have extensive experience in developing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large-scale hotels and casinos, and many of them worked with Mr. Wynn at Mirage Resorts. In addition to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each of whose background is described in "Management," our management team includes:</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 Rêve Strategy</w:t>
      </w:r>
    </w:p>
    <w:p>
      <w:pPr>
        <w:spacing w:after="0" w:line="231"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ectPr>
          <w:pgSz w:w="11900" w:h="16838" w:orient="portrait"/>
          <w:cols w:equalWidth="0" w:num="1">
            <w:col w:w="11380"/>
          </w:cols>
          <w:pgMar w:left="240" w:top="131" w:right="279" w:bottom="0" w:gutter="0" w:footer="0" w:header="0"/>
        </w:sectPr>
      </w:pPr>
    </w:p>
    <w:bookmarkStart w:id="39" w:name="page40"/>
    <w:bookmarkEnd w:id="39"/>
    <w:p>
      <w:pPr>
        <w:jc w:val="both"/>
        <w:ind w:left="1080" w:right="2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224"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100" w:hanging="532"/>
        <w:spacing w:after="0" w:line="286"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7"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59"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 not bound by any non-competition or non-solicitation agreements with MGM Mirage arising out of the acquisition of MGM Grand's acquisition of Mirage Resorts.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ectPr>
          <w:pgSz w:w="11900" w:h="16838" w:orient="portrait"/>
          <w:cols w:equalWidth="0" w:num="1">
            <w:col w:w="11420"/>
          </w:cols>
          <w:pgMar w:left="240" w:top="145" w:right="239" w:bottom="0" w:gutter="0" w:footer="0" w:header="0"/>
        </w:sectPr>
      </w:pPr>
    </w:p>
    <w:bookmarkStart w:id="40" w:name="page41"/>
    <w:bookmarkEnd w:id="40"/>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pacing w:after="0" w:line="172" w:lineRule="exact"/>
        <w:rPr>
          <w:sz w:val="20"/>
          <w:szCs w:val="20"/>
          <w:color w:val="auto"/>
        </w:rPr>
      </w:pPr>
    </w:p>
    <w:p>
      <w:pPr>
        <w:ind w:right="28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indirect subsidiary of Wynn Resorts,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construction costs and risks 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74"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7" w:lineRule="exact"/>
        <w:rPr>
          <w:rFonts w:ascii="Arial" w:cs="Arial" w:eastAsia="Arial" w:hAnsi="Arial"/>
          <w:sz w:val="18"/>
          <w:szCs w:val="18"/>
          <w:color w:val="auto"/>
        </w:rPr>
      </w:pPr>
    </w:p>
    <w:p>
      <w:pPr>
        <w:ind w:left="1080" w:right="440" w:hanging="532"/>
        <w:spacing w:after="0" w:line="283"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second mortgage note holders by a special purpose subsidiary of Wynn Las Vegas, which completion guarantee will be secured by $50 million of the proceeds of this offering contributed to the subsidiary and deposited in a collateral account and pledged to the lenders under the credit facilities and second mortgage note holders, to be applied to the costs of the project in accordance with disbursement agreement;</w:t>
      </w:r>
    </w:p>
    <w:p>
      <w:pPr>
        <w:spacing w:after="0" w:line="10" w:lineRule="exact"/>
        <w:rPr>
          <w:rFonts w:ascii="Arial" w:cs="Arial" w:eastAsia="Arial" w:hAnsi="Arial"/>
          <w:sz w:val="16"/>
          <w:szCs w:val="16"/>
          <w:color w:val="auto"/>
        </w:rPr>
      </w:pPr>
    </w:p>
    <w:p>
      <w:pPr>
        <w:ind w:left="1080" w:right="20" w:hanging="532"/>
        <w:spacing w:after="0" w:line="25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liquidity reserve account to be held by Wynn Las Vegas which will be funded by $30 million of the net proceeds of this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20" w:lineRule="exact"/>
        <w:rPr>
          <w:rFonts w:ascii="Arial" w:cs="Arial" w:eastAsia="Arial" w:hAnsi="Arial"/>
          <w:sz w:val="18"/>
          <w:szCs w:val="18"/>
          <w:color w:val="auto"/>
        </w:rPr>
      </w:pPr>
    </w:p>
    <w:p>
      <w:pPr>
        <w:ind w:left="1080" w:right="320" w:hanging="532"/>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$34.3 million owner's contingency that Wynn Las Vegas may use, subject to the limitations set forth in the disbursement agreement, to cover owner-created delays and owner-originated changes in the scope of the work and other cost overruns;</w:t>
      </w:r>
    </w:p>
    <w:p>
      <w:pPr>
        <w:spacing w:after="0" w:line="7" w:lineRule="exact"/>
        <w:rPr>
          <w:rFonts w:ascii="Arial" w:cs="Arial" w:eastAsia="Arial" w:hAnsi="Arial"/>
          <w:sz w:val="18"/>
          <w:szCs w:val="18"/>
          <w:color w:val="auto"/>
        </w:rPr>
      </w:pPr>
    </w:p>
    <w:p>
      <w:pPr>
        <w:ind w:left="1080" w:right="200" w:hanging="532"/>
        <w:spacing w:after="0" w:line="28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$33.8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40" w:firstLine="341"/>
        <w:spacing w:after="0" w:line="323" w:lineRule="auto"/>
        <w:rPr>
          <w:sz w:val="20"/>
          <w:szCs w:val="20"/>
          <w:color w:val="auto"/>
        </w:rPr>
      </w:pPr>
      <w:r>
        <w:rPr>
          <w:rFonts w:ascii="Arial" w:cs="Arial" w:eastAsia="Arial" w:hAnsi="Arial"/>
          <w:sz w:val="15"/>
          <w:szCs w:val="15"/>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Wynn Las Vegas' indebtedness.</w:t>
      </w:r>
    </w:p>
    <w:p>
      <w:pPr>
        <w:spacing w:after="0" w:line="152"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We have designed Le Rêve's hotel tower to contain 45 floors of hotel rooms and suites on top of a three-story low-rise building housing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the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31" w:right="239" w:bottom="0" w:gutter="0" w:footer="0" w:header="0"/>
          <w:type w:val="continuous"/>
        </w:sectPr>
      </w:pPr>
    </w:p>
    <w:bookmarkStart w:id="41" w:name="page42"/>
    <w:bookmarkEnd w:id="41"/>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97" w:lineRule="exact"/>
        <w:rPr>
          <w:sz w:val="20"/>
          <w:szCs w:val="20"/>
          <w:color w:val="auto"/>
        </w:rPr>
      </w:pPr>
    </w:p>
    <w:p>
      <w:pPr>
        <w:ind w:right="10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pacing w:after="0" w:line="172"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 Golf Course. </w:t>
      </w:r>
      <w:r>
        <w:rPr>
          <w:rFonts w:ascii="Arial" w:cs="Arial" w:eastAsia="Arial" w:hAnsi="Arial"/>
          <w:sz w:val="16"/>
          <w:szCs w:val="16"/>
          <w:color w:val="auto"/>
        </w:rPr>
        <w:t>We plan to construct a world-class, 18-hole championship golf course at the site of the former Desert Inn golf course. Based on current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available plans, when Le Rêve opens, we believe this golf course will be the only golf course on the site of a hotel casino resort on the Las Vegas Strip. Tom Fazio and Mr. Wynn, the designers of the 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72"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Restaurants, Lounges, Bars and Nightclub.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8"/>
          <w:szCs w:val="18"/>
          <w:i w:val="1"/>
          <w:iCs w:val="1"/>
          <w:color w:val="auto"/>
        </w:rPr>
        <w:t>Bon Appetit Magazine</w:t>
      </w:r>
      <w:r>
        <w:rPr>
          <w:rFonts w:ascii="Arial" w:cs="Arial" w:eastAsia="Arial" w:hAnsi="Arial"/>
          <w:sz w:val="18"/>
          <w:szCs w:val="18"/>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8"/>
          <w:szCs w:val="18"/>
          <w:i w:val="1"/>
          <w:iCs w:val="1"/>
          <w:color w:val="auto"/>
        </w:rPr>
        <w:t>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International Herald Tribune </w:t>
      </w:r>
      <w:r>
        <w:rPr>
          <w:rFonts w:ascii="Arial" w:cs="Arial" w:eastAsia="Arial" w:hAnsi="Arial"/>
          <w:sz w:val="16"/>
          <w:szCs w:val="16"/>
          <w:color w:val="auto"/>
        </w:rPr>
        <w:t>in 1993 and received</w:t>
      </w:r>
      <w:r>
        <w:rPr>
          <w:rFonts w:ascii="Arial" w:cs="Arial" w:eastAsia="Arial" w:hAnsi="Arial"/>
          <w:sz w:val="16"/>
          <w:szCs w:val="16"/>
          <w:i w:val="1"/>
          <w:iCs w:val="1"/>
          <w:color w:val="auto"/>
        </w:rPr>
        <w:t xml:space="preserve"> Gourmet Magazine's </w:t>
      </w:r>
      <w:r>
        <w:rPr>
          <w:rFonts w:ascii="Arial" w:cs="Arial" w:eastAsia="Arial" w:hAnsi="Arial"/>
          <w:sz w:val="16"/>
          <w:szCs w:val="16"/>
          <w:color w:val="auto"/>
        </w:rPr>
        <w:t>"Top Table" award in 1997.</w:t>
      </w:r>
    </w:p>
    <w:p>
      <w:pPr>
        <w:sectPr>
          <w:pgSz w:w="11900" w:h="16838" w:orient="portrait"/>
          <w:cols w:equalWidth="0" w:num="1">
            <w:col w:w="11420"/>
          </w:cols>
          <w:pgMar w:left="240" w:top="374" w:right="239" w:bottom="0" w:gutter="0" w:footer="0" w:header="0"/>
          <w:type w:val="continuous"/>
        </w:sectPr>
      </w:pPr>
    </w:p>
    <w:bookmarkStart w:id="42" w:name="page43"/>
    <w:bookmarkEnd w:id="42"/>
    <w:p>
      <w:pPr>
        <w:jc w:val="both"/>
        <w:ind w:right="38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firstLine="351"/>
        <w:spacing w:after="0" w:line="251"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20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pacing w:after="0" w:line="197"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59"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ectPr>
          <w:pgSz w:w="11900" w:h="16838" w:orient="portrait"/>
          <w:cols w:equalWidth="0" w:num="1">
            <w:col w:w="11400"/>
          </w:cols>
          <w:pgMar w:left="240" w:top="131" w:right="259" w:bottom="11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17" w:gutter="0" w:footer="0" w:header="0"/>
          <w:type w:val="continuous"/>
        </w:sectPr>
      </w:pPr>
    </w:p>
    <w:bookmarkStart w:id="43" w:name="page44"/>
    <w:bookmarkEnd w:id="43"/>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Resorts' indirect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W. Todd Nisbet, Executive Vice President—Project Director. </w:t>
      </w:r>
      <w:r>
        <w:rPr>
          <w:rFonts w:ascii="Arial" w:cs="Arial" w:eastAsia="Arial" w:hAnsi="Arial"/>
          <w:sz w:val="16"/>
          <w:szCs w:val="16"/>
          <w:color w:val="auto"/>
        </w:rPr>
        <w:t>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0"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8" w:lineRule="exact"/>
        <w:rPr>
          <w:rFonts w:ascii="Arial" w:cs="Arial" w:eastAsia="Arial" w:hAnsi="Arial"/>
          <w:sz w:val="16"/>
          <w:szCs w:val="16"/>
          <w:color w:val="auto"/>
        </w:rPr>
      </w:pPr>
    </w:p>
    <w:p>
      <w:pPr>
        <w:ind w:left="1080" w:right="8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DeRuyter O. Butler, Executive Vice President—Architecture. </w:t>
      </w:r>
      <w:r>
        <w:rPr>
          <w:rFonts w:ascii="Arial" w:cs="Arial" w:eastAsia="Arial" w:hAnsi="Arial"/>
          <w:sz w:val="18"/>
          <w:szCs w:val="18"/>
          <w:color w:val="auto"/>
        </w:rPr>
        <w:t>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7" w:lineRule="exact"/>
        <w:rPr>
          <w:rFonts w:ascii="Arial" w:cs="Arial" w:eastAsia="Arial" w:hAnsi="Arial"/>
          <w:sz w:val="18"/>
          <w:szCs w:val="18"/>
          <w:color w:val="auto"/>
        </w:rPr>
      </w:pPr>
    </w:p>
    <w:p>
      <w:pPr>
        <w:ind w:left="1080" w:right="40" w:hanging="532"/>
        <w:spacing w:after="0" w:line="25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Roger P. Thomas, Executive Vice President—Design. </w:t>
      </w:r>
      <w:r>
        <w:rPr>
          <w:rFonts w:ascii="Arial" w:cs="Arial" w:eastAsia="Arial" w:hAnsi="Arial"/>
          <w:sz w:val="18"/>
          <w:szCs w:val="18"/>
          <w:color w:val="auto"/>
        </w:rPr>
        <w:t>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 responsible for the interior design of The Mirage, including the standard rooms, suites and villas, the spa and salon, the Siegfried &amp; Roy and Danny Gans showrooms and the expansion of the convention center. In addition, Mr. Thomas was responsible for the interior design of Bellagio and the Golden Nugget—Las Vegas and much of the interior design at Treasure Island at The Mirage, including the redecoration of the original tower, the casino and the lobby.</w:t>
      </w:r>
    </w:p>
    <w:p>
      <w:pPr>
        <w:spacing w:after="0" w:line="20"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Janellen Sachs Radoff, Vice President—Design. </w:t>
      </w:r>
      <w:r>
        <w:rPr>
          <w:rFonts w:ascii="Arial" w:cs="Arial" w:eastAsia="Arial" w:hAnsi="Arial"/>
          <w:sz w:val="16"/>
          <w:szCs w:val="16"/>
          <w:color w:val="auto"/>
        </w:rPr>
        <w:t>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Wynn Design &amp; Development, an indirect wholly owned subsidiary of Wynn Resorts,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20" w:firstLine="351"/>
        <w:spacing w:after="0" w:line="291"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 "Construction Contracts for Le Rêve" and "Risk Factors—Risks Associated with Our Construction of Le Rêve."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199" w:lineRule="exact"/>
        <w:rPr>
          <w:sz w:val="20"/>
          <w:szCs w:val="20"/>
          <w:color w:val="auto"/>
        </w:rPr>
      </w:pPr>
    </w:p>
    <w:p>
      <w:pPr>
        <w:ind w:left="1080" w:right="62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ectPr>
          <w:pgSz w:w="11900" w:h="16838" w:orient="portrait"/>
          <w:cols w:equalWidth="0" w:num="1">
            <w:col w:w="11400"/>
          </w:cols>
          <w:pgMar w:left="240" w:top="125" w:right="259" w:bottom="0" w:gutter="0" w:footer="0" w:header="0"/>
        </w:sectPr>
      </w:pPr>
    </w:p>
    <w:bookmarkStart w:id="44" w:name="page45"/>
    <w:bookmarkEnd w:id="44"/>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5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 constructing any improvements. These construction costs and allowances are included in our design and construction budget for Le Rêve. Design and/or construction costs in excess of an allowance are intended to be the responsibility of the 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9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60" w:hanging="532"/>
        <w:spacing w:after="0" w:line="298"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this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this offering pledged to the lenders under the credit facilities and second mortgage note holders to secure Wynn Las Vegas'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obligation to develop and construct Le Rêve and to be applied to the costs of the project in accordance with the disbursement agreement;</w:t>
      </w:r>
    </w:p>
    <w:p>
      <w:pPr>
        <w:spacing w:after="0" w:line="275" w:lineRule="exact"/>
        <w:rPr>
          <w:sz w:val="20"/>
          <w:szCs w:val="20"/>
          <w:color w:val="auto"/>
        </w:rPr>
      </w:pPr>
    </w:p>
    <w:p>
      <w:pPr>
        <w:ind w:left="1080" w:right="2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Wynn Las Vegas will be in default under the credit facilities and the second mortgage notes and the holders of the indebtedness will have the right to accelerate the indebtedness and exercise other rights and remedies against our subsidiaries. See "Risk Factors— Risks Related to Our Substantial Indebtedness—We are highly leveraged and future cash flow may not be sufficient for our subsidiaries to meet their obligations, and we might have difficulty obtaining more financing."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w:t>
      </w:r>
    </w:p>
    <w:p>
      <w:pPr>
        <w:sectPr>
          <w:pgSz w:w="11900" w:h="16838" w:orient="portrait"/>
          <w:cols w:equalWidth="0" w:num="1">
            <w:col w:w="11400"/>
          </w:cols>
          <w:pgMar w:left="240" w:top="145" w:right="259" w:bottom="0" w:gutter="0" w:footer="0" w:header="0"/>
        </w:sectPr>
      </w:pPr>
    </w:p>
    <w:bookmarkStart w:id="45" w:name="page46"/>
    <w:bookmarkEnd w:id="45"/>
    <w:p>
      <w:pPr>
        <w:ind w:right="20"/>
        <w:spacing w:after="0" w:line="290" w:lineRule="auto"/>
        <w:rPr>
          <w:sz w:val="20"/>
          <w:szCs w:val="20"/>
          <w:color w:val="auto"/>
        </w:rPr>
      </w:pPr>
      <w:r>
        <w:rPr>
          <w:rFonts w:ascii="Arial" w:cs="Arial" w:eastAsia="Arial" w:hAnsi="Arial"/>
          <w:sz w:val="16"/>
          <w:szCs w:val="16"/>
          <w:color w:val="auto"/>
        </w:rPr>
        <w:t>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production services agreement, as amended, will provide Wynn Las Vegas with an option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show has not been executed.</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our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Following the completion of this offering, Wynn Resorts plans to grant Mr. Dragone an award of 189,723 shares of restricted stock. This restricted stock award is intended to be part of the compensation paid to Mr. Dragone for his role as the executive producer and 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w:t>
      </w:r>
    </w:p>
    <w:p>
      <w:pPr>
        <w:spacing w:after="0" w:line="3" w:lineRule="exact"/>
        <w:rPr>
          <w:sz w:val="20"/>
          <w:szCs w:val="20"/>
          <w:color w:val="auto"/>
        </w:rPr>
      </w:pPr>
    </w:p>
    <w:p>
      <w:pPr>
        <w:ind w:right="20" w:firstLine="8"/>
        <w:spacing w:after="0" w:line="252" w:lineRule="auto"/>
        <w:tabs>
          <w:tab w:leader="none" w:pos="2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Dragone has not successfully opened another production show for us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148590</wp:posOffset>
            </wp:positionV>
            <wp:extent cx="5668645" cy="25298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firstLine="341"/>
        <w:spacing w:after="0" w:line="335" w:lineRule="auto"/>
        <w:rPr>
          <w:sz w:val="20"/>
          <w:szCs w:val="20"/>
          <w:color w:val="auto"/>
        </w:rPr>
      </w:pPr>
      <w:r>
        <w:rPr>
          <w:rFonts w:ascii="Arial" w:cs="Arial" w:eastAsia="Arial" w:hAnsi="Arial"/>
          <w:sz w:val="15"/>
          <w:szCs w:val="15"/>
          <w:color w:val="auto"/>
        </w:rPr>
        <w:t>According to the Nevada State Gaming Control Board, Las Vegas Strip gaming revenue has increased from approximately $3.6 billion in 1996 to approximately $4.7 billion in 2001, a 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ectPr>
          <w:pgSz w:w="11900" w:h="16838" w:orient="portrait"/>
          <w:cols w:equalWidth="0" w:num="1">
            <w:col w:w="11420"/>
          </w:cols>
          <w:pgMar w:left="240" w:top="131" w:right="239" w:bottom="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 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8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30,464,635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35,849,691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660" w:type="dxa"/>
            <w:vAlign w:val="bottom"/>
            <w:gridSpan w:val="2"/>
          </w:tcPr>
          <w:p>
            <w:pPr>
              <w:spacing w:after="0"/>
              <w:rPr>
                <w:sz w:val="20"/>
                <w:szCs w:val="20"/>
                <w:color w:val="auto"/>
              </w:rPr>
            </w:pPr>
            <w:r>
              <w:rPr>
                <w:rFonts w:ascii="Arial" w:cs="Arial" w:eastAsia="Arial" w:hAnsi="Arial"/>
                <w:sz w:val="14"/>
                <w:szCs w:val="14"/>
                <w:color w:val="auto"/>
                <w:w w:val="92"/>
              </w:rPr>
              <w:t>Total Visitor Expenditures(2)</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24,952,189</w:t>
            </w:r>
          </w:p>
        </w:tc>
        <w:tc>
          <w:tcPr>
            <w:tcW w:w="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31,462,337</w:t>
            </w:r>
          </w:p>
        </w:tc>
        <w:tc>
          <w:tcPr>
            <w:tcW w:w="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3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3,809,354</w:t>
            </w:r>
          </w:p>
        </w:tc>
        <w:tc>
          <w:tcPr>
            <w:tcW w:w="3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4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4,805,572</w:t>
            </w:r>
          </w:p>
        </w:tc>
        <w:tc>
          <w:tcPr>
            <w:tcW w:w="3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4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66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0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3,519,424</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3,853,363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1880870</wp:posOffset>
            </wp:positionH>
            <wp:positionV relativeFrom="paragraph">
              <wp:posOffset>-1042670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-1042670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-1042670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-1042670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-1042670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-1042670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-1042670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-1042670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-1042670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-1042670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-1042670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-1042670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-1042670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-1042670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40" w:right="23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Hotel Occupancy</w:t>
            </w:r>
          </w:p>
        </w:tc>
        <w:tc>
          <w:tcPr>
            <w:tcW w:w="14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93.4%</w:t>
            </w: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90.3%</w:t>
            </w: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90.3%</w:t>
            </w: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92.1%</w:t>
            </w:r>
          </w:p>
        </w:tc>
        <w:tc>
          <w:tcPr>
            <w:tcW w:w="138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92.5%</w:t>
            </w: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4"/>
                <w:szCs w:val="14"/>
                <w:color w:val="auto"/>
              </w:rPr>
              <w:t>88.9%</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N/A</w:t>
            </w:r>
          </w:p>
        </w:tc>
      </w:tr>
      <w:tr>
        <w:trPr>
          <w:trHeight w:val="159"/>
        </w:trPr>
        <w:tc>
          <w:tcPr>
            <w:tcW w:w="20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Rate for All Days</w:t>
            </w:r>
          </w:p>
        </w:tc>
        <w:tc>
          <w:tcPr>
            <w:tcW w:w="1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86"/>
        </w:trPr>
        <w:tc>
          <w:tcPr>
            <w:tcW w:w="2080" w:type="dxa"/>
            <w:vAlign w:val="bottom"/>
            <w:gridSpan w:val="2"/>
          </w:tcPr>
          <w:p>
            <w:pPr>
              <w:spacing w:after="0"/>
              <w:rPr>
                <w:sz w:val="20"/>
                <w:szCs w:val="20"/>
                <w:color w:val="auto"/>
              </w:rPr>
            </w:pPr>
            <w:r>
              <w:rPr>
                <w:rFonts w:ascii="Arial" w:cs="Arial" w:eastAsia="Arial" w:hAnsi="Arial"/>
                <w:sz w:val="14"/>
                <w:szCs w:val="14"/>
                <w:color w:val="auto"/>
              </w:rPr>
              <w:t>Las Vegas Hotel/Motel</w:t>
            </w: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2080" w:type="dxa"/>
            <w:vAlign w:val="bottom"/>
            <w:gridSpan w:val="2"/>
          </w:tcPr>
          <w:p>
            <w:pPr>
              <w:spacing w:after="0"/>
              <w:rPr>
                <w:sz w:val="20"/>
                <w:szCs w:val="20"/>
                <w:color w:val="auto"/>
              </w:rPr>
            </w:pPr>
            <w:r>
              <w:rPr>
                <w:rFonts w:ascii="Arial" w:cs="Arial" w:eastAsia="Arial" w:hAnsi="Arial"/>
                <w:sz w:val="14"/>
                <w:szCs w:val="14"/>
                <w:color w:val="auto"/>
              </w:rPr>
              <w:t>Room Supply</w:t>
            </w:r>
          </w:p>
        </w:tc>
        <w:tc>
          <w:tcPr>
            <w:tcW w:w="1420" w:type="dxa"/>
            <w:vAlign w:val="bottom"/>
          </w:tcPr>
          <w:p>
            <w:pPr>
              <w:jc w:val="right"/>
              <w:ind w:right="452"/>
              <w:spacing w:after="0"/>
              <w:rPr>
                <w:sz w:val="20"/>
                <w:szCs w:val="20"/>
                <w:color w:val="auto"/>
              </w:rPr>
            </w:pPr>
            <w:r>
              <w:rPr>
                <w:rFonts w:ascii="Arial" w:cs="Arial" w:eastAsia="Arial" w:hAnsi="Arial"/>
                <w:sz w:val="14"/>
                <w:szCs w:val="14"/>
                <w:color w:val="auto"/>
              </w:rPr>
              <w:t>99,072</w:t>
            </w:r>
          </w:p>
        </w:tc>
        <w:tc>
          <w:tcPr>
            <w:tcW w:w="1380" w:type="dxa"/>
            <w:vAlign w:val="bottom"/>
          </w:tcPr>
          <w:p>
            <w:pPr>
              <w:jc w:val="right"/>
              <w:ind w:right="452"/>
              <w:spacing w:after="0"/>
              <w:rPr>
                <w:sz w:val="20"/>
                <w:szCs w:val="20"/>
                <w:color w:val="auto"/>
              </w:rPr>
            </w:pPr>
            <w:r>
              <w:rPr>
                <w:rFonts w:ascii="Arial" w:cs="Arial" w:eastAsia="Arial" w:hAnsi="Arial"/>
                <w:sz w:val="14"/>
                <w:szCs w:val="14"/>
                <w:color w:val="auto"/>
              </w:rPr>
              <w:t>105,347</w:t>
            </w:r>
          </w:p>
        </w:tc>
        <w:tc>
          <w:tcPr>
            <w:tcW w:w="1380" w:type="dxa"/>
            <w:vAlign w:val="bottom"/>
          </w:tcPr>
          <w:p>
            <w:pPr>
              <w:jc w:val="right"/>
              <w:ind w:right="452"/>
              <w:spacing w:after="0"/>
              <w:rPr>
                <w:sz w:val="20"/>
                <w:szCs w:val="20"/>
                <w:color w:val="auto"/>
              </w:rPr>
            </w:pPr>
            <w:r>
              <w:rPr>
                <w:rFonts w:ascii="Arial" w:cs="Arial" w:eastAsia="Arial" w:hAnsi="Arial"/>
                <w:sz w:val="14"/>
                <w:szCs w:val="14"/>
                <w:color w:val="auto"/>
              </w:rPr>
              <w:t>109,365</w:t>
            </w:r>
          </w:p>
        </w:tc>
        <w:tc>
          <w:tcPr>
            <w:tcW w:w="1380" w:type="dxa"/>
            <w:vAlign w:val="bottom"/>
          </w:tcPr>
          <w:p>
            <w:pPr>
              <w:jc w:val="right"/>
              <w:ind w:right="452"/>
              <w:spacing w:after="0"/>
              <w:rPr>
                <w:sz w:val="20"/>
                <w:szCs w:val="20"/>
                <w:color w:val="auto"/>
              </w:rPr>
            </w:pPr>
            <w:r>
              <w:rPr>
                <w:rFonts w:ascii="Arial" w:cs="Arial" w:eastAsia="Arial" w:hAnsi="Arial"/>
                <w:sz w:val="14"/>
                <w:szCs w:val="14"/>
                <w:color w:val="auto"/>
              </w:rPr>
              <w:t>120,294</w:t>
            </w:r>
          </w:p>
        </w:tc>
        <w:tc>
          <w:tcPr>
            <w:tcW w:w="1380" w:type="dxa"/>
            <w:vAlign w:val="bottom"/>
          </w:tcPr>
          <w:p>
            <w:pPr>
              <w:jc w:val="right"/>
              <w:ind w:right="472"/>
              <w:spacing w:after="0"/>
              <w:rPr>
                <w:sz w:val="20"/>
                <w:szCs w:val="20"/>
                <w:color w:val="auto"/>
              </w:rPr>
            </w:pPr>
            <w:r>
              <w:rPr>
                <w:rFonts w:ascii="Arial" w:cs="Arial" w:eastAsia="Arial" w:hAnsi="Arial"/>
                <w:sz w:val="14"/>
                <w:szCs w:val="14"/>
                <w:color w:val="auto"/>
              </w:rPr>
              <w:t>124,270</w:t>
            </w:r>
          </w:p>
        </w:tc>
        <w:tc>
          <w:tcPr>
            <w:tcW w:w="1500" w:type="dxa"/>
            <w:vAlign w:val="bottom"/>
          </w:tcPr>
          <w:p>
            <w:pPr>
              <w:jc w:val="right"/>
              <w:ind w:right="572"/>
              <w:spacing w:after="0"/>
              <w:rPr>
                <w:sz w:val="20"/>
                <w:szCs w:val="20"/>
                <w:color w:val="auto"/>
              </w:rPr>
            </w:pPr>
            <w:r>
              <w:rPr>
                <w:rFonts w:ascii="Arial" w:cs="Arial" w:eastAsia="Arial" w:hAnsi="Arial"/>
                <w:sz w:val="14"/>
                <w:szCs w:val="14"/>
                <w:color w:val="auto"/>
              </w:rPr>
              <w:t>126,610</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05"/>
        </w:trPr>
        <w:tc>
          <w:tcPr>
            <w:tcW w:w="680" w:type="dxa"/>
            <w:vAlign w:val="bottom"/>
            <w:tcBorders>
              <w:bottom w:val="single" w:sz="8" w:color="808080"/>
            </w:tcBorders>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9"/>
        </w:numPr>
        <w:rPr>
          <w:rFonts w:ascii="Arial" w:cs="Arial" w:eastAsia="Arial" w:hAnsi="Arial"/>
          <w:sz w:val="27"/>
          <w:szCs w:val="27"/>
          <w:color w:val="auto"/>
          <w:vertAlign w:val="subscript"/>
        </w:rPr>
      </w:pPr>
      <w:r>
        <w:rPr>
          <w:rFonts w:ascii="Arial" w:cs="Arial" w:eastAsia="Arial" w:hAnsi="Arial"/>
          <w:sz w:val="14"/>
          <w:szCs w:val="14"/>
          <w:color w:val="auto"/>
        </w:rPr>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9"/>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 Rêve Competition</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 hotels on the Las Vegas Strip and those in downtown Las Vegas, as well as a large number of hotels and motels in and near Las Vegas.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 See "—The Macau Opportunity—Competition within Macau and from Regional Markets."</w:t>
      </w:r>
    </w:p>
    <w:p>
      <w:pPr>
        <w:spacing w:after="0" w:line="18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b w:val="1"/>
          <w:bCs w:val="1"/>
          <w:i w:val="1"/>
          <w:iCs w:val="1"/>
          <w:color w:val="auto"/>
        </w:rPr>
        <w:t xml:space="preserve">Retail Competition. </w:t>
      </w:r>
      <w:r>
        <w:rPr>
          <w:rFonts w:ascii="Arial" w:cs="Arial" w:eastAsia="Arial" w:hAnsi="Arial"/>
          <w:sz w:val="16"/>
          <w:szCs w:val="16"/>
          <w:color w:val="auto"/>
        </w:rPr>
        <w:t>Le Rêve's retail stores will operate in a highly competitive environment. Le Rêve's retail stores will compete with other retail stores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located in other Las Vegas hotel casino resorts and shopping districts. Among these Las Vegas shopping locations, 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Business—The casino, hotel, convention and other facilities at Le Rêve will face intense competition."</w:t>
      </w:r>
    </w:p>
    <w:p>
      <w:pPr>
        <w:sectPr>
          <w:pgSz w:w="11900" w:h="16838" w:orient="portrait"/>
          <w:cols w:equalWidth="0" w:num="1">
            <w:col w:w="11420"/>
          </w:cols>
          <w:pgMar w:left="240" w:top="116" w:right="239" w:bottom="0" w:gutter="0" w:footer="0" w:header="0"/>
          <w:type w:val="continuous"/>
        </w:sectPr>
      </w:pPr>
    </w:p>
    <w:bookmarkStart w:id="48" w:name="page49"/>
    <w:bookmarkEnd w:id="48"/>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pacing w:after="0" w:line="16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Macau Opportunity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 and Strategy</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Wynn Macau, a Macau company and majority-owned indirect subsidiary of Wynn Resorts,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98"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 If Wynn Macau does not invest 4 billion patacas in casino projects by June 26, 2009, it is obligated to invest the remaining amount in projects related 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eight Macau patacas to one U.S. dollar (which is the middle of the buy and sell rates on October 22, 2002, as reported by the Monetary Authority of Macau).</w:t>
      </w:r>
    </w:p>
    <w:p>
      <w:pPr>
        <w:spacing w:after="0" w:line="16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currently contemplate that Wynn Macau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we expect that Wynn Macau will begin construction of the first phase of its first casino resort in 2003. Accordingly, Wynn Macau could complete construction of the first phase of the casino resort and begin casino operations as early as 2004. Wynn Macau already begun planning for the development of the initial phase of its first casino resort, including having discussions with construction contractors. The Macau government has granted to Wynn Macau the right to lease a parcel of land for its first permanent casino operations. We believe that this land, located in the outer harbor of downtown Macau opposite the largest, most well-known casino, the Hotel Lisboa, is an attractive location for Wynn Macau's first Macau casino.</w:t>
      </w:r>
    </w:p>
    <w:p>
      <w:pPr>
        <w:spacing w:after="0" w:line="172"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5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intend to invest up to $40 million of the net proceeds from this offering in Wynn Macau as part of the financing of the Macau opportunity, in addition to the approximately $23.8 million we have already invested in Wynn Macau. Wynn Macau has begun preliminary discussions to arrange the additional financing that would be required to complete the initial phase of Wynn Macau's first casino resort. At the present time, Wynn Macau has not yet determined the amount of financing that will be required to complete the initial phase.</w:t>
      </w:r>
    </w:p>
    <w:p>
      <w:pPr>
        <w:spacing w:after="0" w:line="197" w:lineRule="exact"/>
        <w:rPr>
          <w:sz w:val="20"/>
          <w:szCs w:val="20"/>
          <w:color w:val="auto"/>
        </w:rPr>
      </w:pPr>
    </w:p>
    <w:p>
      <w:pPr>
        <w:jc w:val="both"/>
        <w:ind w:right="440" w:firstLine="348"/>
        <w:spacing w:after="0" w:line="256" w:lineRule="auto"/>
        <w:rPr>
          <w:sz w:val="20"/>
          <w:szCs w:val="20"/>
          <w:color w:val="auto"/>
        </w:rPr>
      </w:pPr>
      <w:r>
        <w:rPr>
          <w:rFonts w:ascii="Arial" w:cs="Arial" w:eastAsia="Arial" w:hAnsi="Arial"/>
          <w:sz w:val="18"/>
          <w:szCs w:val="18"/>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our discussions with government officials, we believe legislative changes relating to these matters will be introduced by early 2003. However, we cannot assure you that such proposed legislative changes will be enacted.</w:t>
      </w:r>
    </w:p>
    <w:p>
      <w:pPr>
        <w:sectPr>
          <w:pgSz w:w="11900" w:h="16838" w:orient="portrait"/>
          <w:cols w:equalWidth="0" w:num="1">
            <w:col w:w="11420"/>
          </w:cols>
          <w:pgMar w:left="240" w:top="125" w:right="239" w:bottom="45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454" w:gutter="0" w:footer="0" w:header="0"/>
          <w:type w:val="continuous"/>
        </w:sectPr>
      </w:pPr>
    </w:p>
    <w:bookmarkStart w:id="49" w:name="page50"/>
    <w:bookmarkEnd w:id="49"/>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Ownership Structure of Macau-Related Entities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illustrates the organizational structure of Wynn Resorts' Macau-related subsidiaries immediately after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099175" cy="59023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99175" cy="590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27"/>
          <w:szCs w:val="27"/>
          <w:color w:val="auto"/>
          <w:vertAlign w:val="subscript"/>
        </w:rPr>
      </w:pPr>
      <w:r>
        <w:rPr>
          <w:rFonts w:ascii="Arial" w:cs="Arial" w:eastAsia="Arial" w:hAnsi="Arial"/>
          <w:sz w:val="14"/>
          <w:szCs w:val="14"/>
          <w:color w:val="auto"/>
        </w:rPr>
        <w:t>Wynn Resorts International, Ltd. holds one share of Wynn Resorts (Macau), Limited as nominee for Wynn Resorts (Macau) Holdings, Ltd.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b w:val="1"/>
          <w:bCs w:val="1"/>
          <w:i w:val="1"/>
          <w:iCs w:val="1"/>
          <w:color w:val="auto"/>
        </w:rPr>
        <w:t xml:space="preserve">Wynn Resorts' Ownership of Macau-Related Entities. </w:t>
      </w:r>
      <w:r>
        <w:rPr>
          <w:rFonts w:ascii="Arial" w:cs="Arial" w:eastAsia="Arial" w:hAnsi="Arial"/>
          <w:sz w:val="16"/>
          <w:szCs w:val="16"/>
          <w:color w:val="auto"/>
        </w:rPr>
        <w:t>Wynn Resorts currently owns an approximately 82.5% economic interest in Wynn Macau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various subsidiaries and effectively controls 90% of the vote of Wynn Macau. In the aggregate, Wynn Resorts has contributed approximately $23.8 million, including shares of Wynn Macau with an aggregate par value of approximately $337,500, to the Macau-related entities.</w:t>
      </w:r>
    </w:p>
    <w:p>
      <w:pPr>
        <w:spacing w:after="0" w:line="161" w:lineRule="exact"/>
        <w:rPr>
          <w:sz w:val="20"/>
          <w:szCs w:val="20"/>
          <w:color w:val="auto"/>
        </w:rPr>
      </w:pPr>
    </w:p>
    <w:p>
      <w:pPr>
        <w:ind w:right="240" w:firstLine="348"/>
        <w:spacing w:after="0" w:line="290" w:lineRule="auto"/>
        <w:rPr>
          <w:sz w:val="20"/>
          <w:szCs w:val="20"/>
          <w:color w:val="auto"/>
        </w:rPr>
      </w:pPr>
      <w:r>
        <w:rPr>
          <w:rFonts w:ascii="Arial" w:cs="Arial" w:eastAsia="Arial" w:hAnsi="Arial"/>
          <w:sz w:val="16"/>
          <w:szCs w:val="16"/>
          <w:color w:val="auto"/>
        </w:rPr>
        <w:t>Wynn Resorts owns 100% of Wynn Group Asia, Inc., a Nevada corporation. Wynn Group Asia owns 100% of Wynn Resorts International, Ltd., a Manx company. Wynn Resorts International holds certain shares of Wynn Macau directly, representing approximately 39% of the capital and voting power and approximately 49% of the dividends and other distributions in excess of capital contributed. Wynn Resorts International also owns approximately 33.5% of the capital and dividend participation in and effectively controls approximately 51% of the vote of, Wynn Macau indirectly through its majority-owned subsidiary, Wynn Resorts (Macau) Holdings, Ltd., a Manx company. Wynn Resorts International is also entitled to a liquidation preference in Wynn Resorts (Macau) Holdings that effectively represents an additional 10% interest in the capital of Wynn Macau. Wynn Resorts (Macau) Holdings owns 100% of Wynn Resorts (Macau), Limited, a Hong Kong company. Wynn Resorts (Macau), Limited in turn owns approximately 51% of Wynn Macau.</w:t>
      </w:r>
    </w:p>
    <w:p>
      <w:pPr>
        <w:spacing w:after="0" w:line="172"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part of the financing of the Macau opportunity, we intend to invest up to $40 million of the net proceeds from this offering in Wynn Macau. The indirect minority investors in Wynn Macau have agreed to participate in this additional investment along with Wynn Resorts to the extent of their proportionate effective interests in Wynn Macau.</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Minority Ownership of the Macau-Related Entities. </w:t>
      </w:r>
      <w:r>
        <w:rPr>
          <w:rFonts w:ascii="Arial" w:cs="Arial" w:eastAsia="Arial" w:hAnsi="Arial"/>
          <w:sz w:val="16"/>
          <w:szCs w:val="16"/>
          <w:color w:val="auto"/>
        </w:rPr>
        <w:t>Mr. Wong Chi Seng, who is the executive director of Wynn Macau, owns, in the aggregate,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10% of the rights to capital and dividends and effectively controls approximately 10% of the vote of Wynn Macau. Other investors own, indirectly, approximately 7.5% of the rights to dividends and capital of Wynn Macau. The direct and indirect minority interests of Wynn Macau are held at two levels: at the Wynn Resorts (Macau) Holdings level and directly at the Wynn Macau level. Mr. Wong Chi Seng indirectly owns shares representing approximately 11.8% of the voting power and 19.6% of the capital and dividend participation in Wynn Resorts (Macau) Holdings. In exchange for these shares, Mr. Wong contributed to Wynn Resorts (Macau) Holdings approximately $385,000, including shares of Wynn Macau with an aggregate par value of approximately $37,500. According to Macau law, the position of executive director and at least 10% of the voting shares and capital of Wynn Macau must be held by a resident of Macau. Mr. Wong, a Macau resident, serves as the executive director of Wynn Macau and purchased his shares in Wynn Macau for an aggregate of approximately $2.5 million.</w:t>
      </w:r>
    </w:p>
    <w:p>
      <w:pPr>
        <w:sectPr>
          <w:pgSz w:w="11900" w:h="16919" w:orient="portrait"/>
          <w:cols w:equalWidth="0" w:num="1">
            <w:col w:w="11420"/>
          </w:cols>
          <w:pgMar w:left="240" w:top="125" w:right="239" w:bottom="0" w:gutter="0" w:footer="0" w:header="0"/>
        </w:sectPr>
      </w:pPr>
    </w:p>
    <w:bookmarkStart w:id="50" w:name="page51"/>
    <w:bookmarkEnd w:id="50"/>
    <w:p>
      <w:pPr>
        <w:ind w:right="220"/>
        <w:spacing w:after="0" w:line="268" w:lineRule="auto"/>
        <w:rPr>
          <w:sz w:val="20"/>
          <w:szCs w:val="20"/>
          <w:color w:val="auto"/>
        </w:rPr>
      </w:pPr>
      <w:r>
        <w:rPr>
          <w:rFonts w:ascii="Arial" w:cs="Arial" w:eastAsia="Arial" w:hAnsi="Arial"/>
          <w:sz w:val="18"/>
          <w:szCs w:val="18"/>
          <w:color w:val="auto"/>
        </w:rPr>
        <w:t>Mr. Wong's shares have the same voting rights as do the other shares in Wynn Macau, but they are limited in their participation in dividends to up to one pataca per year, in the aggregate, and limited in other distributions to their share of the capital contributed.</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Other investors, who are related to each other, collectively contributed cash of approximately $2.2 million and own shares representing approximately 8.9% of the voting power and 14.7% of capital and dividend participation in Wynn Resorts (Macau)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Macau Market</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Macau Special Administrative Region of the People's Republic of China is located in the southern part of Guangdong Province.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Macau peninsula and the islands of Taipa and Coloane, which are connected to the peninsula by bridges, and totals approximately 9 square miles in size. Macau is approximately 37 miles southwest of Hong Kong and immediately adjacent to the Zhuhai Special Economic Zone, from which Macau is visible and easily accessible. The CIA World Factbook estimates that Macau's population in 2001 was approximately 454,000.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111125</wp:posOffset>
            </wp:positionV>
            <wp:extent cx="4039235" cy="5617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039235" cy="561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Macau was a colony of Portugal for approximately 450 years. In December 1999, Portugal transferred administration of Macau to China, which re-established the territory as a special administrative region. Macau has been a gaming destination for at least 40 years.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Popular regional gaming destination. </w:t>
      </w:r>
      <w:r>
        <w:rPr>
          <w:rFonts w:ascii="Arial" w:cs="Arial" w:eastAsia="Arial" w:hAnsi="Arial"/>
          <w:sz w:val="18"/>
          <w:szCs w:val="18"/>
          <w:color w:val="auto"/>
        </w:rPr>
        <w:t>According to the Macau Statistics and Census Service Monthly Bulletin of Statistics, over 10 million people visited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Macau in 2001, increasing from approximately 7.4 million in 1999. According to the U.S. &amp; Foreign Commercial Service American Consulate General, Hong Kong, in 2000, casinos in Macau generated approximately US $2.1 billion in gaming revenue. Macau casinos are primarily table game-oriented and include many private VIP rooms, but contain relatively few slot machines.</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Macau's gaming market is primarily dependent on tourists. According to Macau Statistics and Census Service Monthly Bulletin of Statistics, from 1999 through 2001 less than one-third of visitors traveling to Macau stayed overnight in hotels and guestrooms and, for those who stayed overnight in hotels and guestrooms, the average length of stay was only one to two nights.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statistics relating to the visitation of Macau by tourists:</w:t>
      </w:r>
    </w:p>
    <w:p>
      <w:pPr>
        <w:sectPr>
          <w:pgSz w:w="11900" w:h="16838" w:orient="portrait"/>
          <w:cols w:equalWidth="0" w:num="1">
            <w:col w:w="11420"/>
          </w:cols>
          <w:pgMar w:left="240" w:top="131" w:right="239" w:bottom="0" w:gutter="0" w:footer="0" w:header="0"/>
        </w:sectPr>
      </w:pPr>
    </w:p>
    <w:bookmarkStart w:id="51" w:name="page52"/>
    <w:bookmarkEnd w:id="51"/>
    <w:p>
      <w:pPr>
        <w:jc w:val="center"/>
        <w:ind w:right="40"/>
        <w:spacing w:after="0"/>
        <w:rPr>
          <w:sz w:val="20"/>
          <w:szCs w:val="20"/>
          <w:color w:val="auto"/>
        </w:rPr>
      </w:pPr>
      <w:r>
        <w:rPr>
          <w:rFonts w:ascii="Arial" w:cs="Arial" w:eastAsia="Arial" w:hAnsi="Arial"/>
          <w:sz w:val="18"/>
          <w:szCs w:val="18"/>
          <w:b w:val="1"/>
          <w:bCs w:val="1"/>
          <w:color w:val="auto"/>
        </w:rPr>
        <w:t>Macau Annual Tourism Statistical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Annual Growth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jc w:val="right"/>
              <w:ind w:right="379"/>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2001</w:t>
            </w:r>
          </w:p>
        </w:tc>
        <w:tc>
          <w:tcPr>
            <w:tcW w:w="17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6"/>
              </w:rPr>
              <w:t>1999-2001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Visitor Arrivals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7,443,924</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9,162,212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10,278,973</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Overnight Guests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2,253,445</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2,689,843</w:t>
            </w:r>
          </w:p>
        </w:tc>
        <w:tc>
          <w:tcPr>
            <w:tcW w:w="1240" w:type="dxa"/>
            <w:vAlign w:val="bottom"/>
          </w:tcPr>
          <w:p>
            <w:pPr>
              <w:jc w:val="right"/>
              <w:spacing w:after="0"/>
              <w:rPr>
                <w:sz w:val="20"/>
                <w:szCs w:val="20"/>
                <w:color w:val="auto"/>
              </w:rPr>
            </w:pPr>
            <w:r>
              <w:rPr>
                <w:rFonts w:ascii="Arial" w:cs="Arial" w:eastAsia="Arial" w:hAnsi="Arial"/>
                <w:sz w:val="18"/>
                <w:szCs w:val="18"/>
                <w:color w:val="auto"/>
              </w:rPr>
              <w:t>2,766,853</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-443230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-443230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-443230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-443230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-443230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-443230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Source:</w:t>
      </w:r>
      <w:r>
        <w:rPr>
          <w:sz w:val="20"/>
          <w:szCs w:val="20"/>
          <w:color w:val="auto"/>
        </w:rPr>
        <w:tab/>
      </w:r>
      <w:r>
        <w:rPr>
          <w:rFonts w:ascii="Arial" w:cs="Arial" w:eastAsia="Arial" w:hAnsi="Arial"/>
          <w:sz w:val="12"/>
          <w:szCs w:val="12"/>
          <w:color w:val="auto"/>
        </w:rPr>
        <w:t>Macau Statistics and Census Service Monthly Bulletin of Statistics</w:t>
      </w:r>
    </w:p>
    <w:p>
      <w:pPr>
        <w:spacing w:after="0" w:line="20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Proximity to, and ease of access from, major Asian capitals. </w:t>
      </w:r>
      <w:r>
        <w:rPr>
          <w:rFonts w:ascii="Arial" w:cs="Arial" w:eastAsia="Arial" w:hAnsi="Arial"/>
          <w:sz w:val="16"/>
          <w:szCs w:val="16"/>
          <w:color w:val="auto"/>
        </w:rPr>
        <w:t>Gaming customers traveling to Macau typically come from nearby countries in Asia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Hong Kong, mainland China, Taiwan, South Korea and Japan. According to the Macau Statistics and Census Service Monthly Bulletin of Statistics—Public Security Police, 90% of the tourists who visited Macau in 2001 came from Hong Kong, mainland China or Taiwan, with over 50% coming from Hong Kong.</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Macau pataca and the Hong Kong dollar are linked to each other and, in many cases, are used interchangeably in Macau. See "Management's Discussion and Analysis of Financial Condition and Results of Operations—Inflation and Foreign Currency Risk." However, 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0"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Gaming customers from Hong Kong, southeast China, Taiwan and other locations in Asia can reach Macau in a relatively short period of time, using a variety of methods of transportation, and visitors from more distant locations in Asia can take advantage of short travel times by air to Macau or to Hong Kong (followed by a short water ferry or helicopter trip to Macau). The relatively easy access from major population centers promotes Macau as a popular gaming destination in Asia.</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Macau draws a significant number of gaming customers from both visitors and residents of Hong Kong. One of the major methods of transportation to Macau from Hong Kong is the hydrofoil ferry service. The hydrofoil ferry offers service up to four times per hour, with trips to and from Macau in duration of approximately 55 to 75 minutes. Macau is also accessible from Hong Kong by helicopter in approximately 20 minutes.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many major cities in Asia such as Manila, Singapore, Taipei, Bangkok, Beijing and Shanghai. The Macau International Airport can accomodate large commercial airliners and directly serves at least 20 cities, including at least 12 in China, with links to numerous other major Asian destinations.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Potential for growth of Macau gaming market. </w:t>
      </w:r>
      <w:r>
        <w:rPr>
          <w:rFonts w:ascii="Arial" w:cs="Arial" w:eastAsia="Arial" w:hAnsi="Arial"/>
          <w:sz w:val="18"/>
          <w:szCs w:val="18"/>
          <w:color w:val="auto"/>
        </w:rPr>
        <w:t>We believe that the following factors will play a positive role in Macau's status as a gaming and resort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destination:</w:t>
      </w:r>
    </w:p>
    <w:p>
      <w:pPr>
        <w:spacing w:after="0" w:line="199" w:lineRule="exact"/>
        <w:rPr>
          <w:sz w:val="20"/>
          <w:szCs w:val="20"/>
          <w:color w:val="auto"/>
        </w:rPr>
      </w:pPr>
    </w:p>
    <w:p>
      <w:pPr>
        <w:ind w:left="1080" w:right="3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proximity to, and ease of access from, Hong Kong, China and Taiwan and other Asian regional markets, including Indonesia, Thailand and Japan, where casinos currently are banned;</w:t>
      </w:r>
    </w:p>
    <w:p>
      <w:pPr>
        <w:spacing w:after="0" w:line="212" w:lineRule="exact"/>
        <w:rPr>
          <w:rFonts w:ascii="Arial" w:cs="Arial" w:eastAsia="Arial" w:hAnsi="Arial"/>
          <w:sz w:val="18"/>
          <w:szCs w:val="18"/>
          <w:color w:val="auto"/>
        </w:rPr>
      </w:pPr>
    </w:p>
    <w:p>
      <w:pPr>
        <w:ind w:left="1080" w:hanging="532"/>
        <w:spacing w:after="0" w:line="323" w:lineRule="auto"/>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significant foreign and domestic investment in new and expanded casino and entertainment facilities in Macau that are intended to promote Macau as a casino resort destination, enhance tourism and lengthen stays, such as: the reported development of an entertainment complex that will include gaming amenities in the Fisherman's Wharf area of Macau planned by Sociedade de Jogos de Macau through a related entity; the casino resort on Taipa reportedly planned by Galaxy Casino, Ltd., an affiliate of Venetian Resorts; and Wynn Macau's proposed casino resort; and</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development of Hong Kong Disneyland (scheduled to open in 2005) on Lantau Island near Macau.</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within Macau and from Regional Markets</w:t>
      </w:r>
    </w:p>
    <w:p>
      <w:pPr>
        <w:spacing w:after="0" w:line="231"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i w:val="1"/>
          <w:iCs w:val="1"/>
          <w:color w:val="auto"/>
        </w:rPr>
        <w:t xml:space="preserve">Local Competition. </w:t>
      </w:r>
      <w:r>
        <w:rPr>
          <w:rFonts w:ascii="Arial" w:cs="Arial" w:eastAsia="Arial" w:hAnsi="Arial"/>
          <w:sz w:val="16"/>
          <w:szCs w:val="16"/>
          <w:color w:val="auto"/>
        </w:rPr>
        <w:t>In the past, gaming in Macau had been administered as a government-sanctioned monopoly concession awarded to a single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concessionaire. However, under the authority of the Chief Executive and the Casino Tender Commission of Macau, the government of Macau has recently liberalized the gaming industry by granting concessions to operate casinos to three concessionaires. Sociedade de Jogos de Macau, referred to as SJM, has been granted one of the concessions. SJM is controlled by Stanley Ho, who through another entity had controlled the monopoly concession to conduct gaming operations in Macau for approximately 40 years. Galaxy Casino Company Limited, referred to as Galaxy, also has been awarded a concession to operate casinos in Macau. Galaxy is a joint venture between an affiliate of the operators of The Venetian in Las Vegas and a group of Hong Kong investors headed by Lui Chi-woo. Wynn Macau was awarded the third concession. Wynn Macau's gaming business would compete with businesses to be operated by the two other casino concessionaires in Macau. In addition, the concession agreement into which Wynn Macau has entered with the Macau government permits the government to grant additional concessions for the operation of casinos after April 1, 2009. If the government of Macau awards additional concessions, Wynn Macau will face increased competition from local casino operators in Macau.</w:t>
      </w:r>
    </w:p>
    <w:p>
      <w:pPr>
        <w:spacing w:after="0" w:line="177"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SJM has the benefit of being the established gaming enterprise already in existence at eleven locations in Macau. Most of these eleven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eleven casinos in Macau</w:t>
      </w:r>
    </w:p>
    <w:p>
      <w:pPr>
        <w:sectPr>
          <w:pgSz w:w="11900" w:h="16838" w:orient="portrait"/>
          <w:cols w:equalWidth="0" w:num="1">
            <w:col w:w="11420"/>
          </w:cols>
          <w:pgMar w:left="240" w:top="341" w:right="239" w:bottom="157"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57" w:gutter="0" w:footer="0" w:header="0"/>
          <w:type w:val="continuous"/>
        </w:sectPr>
      </w:pPr>
    </w:p>
    <w:bookmarkStart w:id="52" w:name="page53"/>
    <w:bookmarkEnd w:id="52"/>
    <w:p>
      <w:pPr>
        <w:ind w:right="20"/>
        <w:spacing w:after="0" w:line="268" w:lineRule="auto"/>
        <w:rPr>
          <w:sz w:val="20"/>
          <w:szCs w:val="20"/>
          <w:color w:val="auto"/>
        </w:rPr>
      </w:pPr>
      <w:r>
        <w:rPr>
          <w:rFonts w:ascii="Arial" w:cs="Arial" w:eastAsia="Arial" w:hAnsi="Arial"/>
          <w:sz w:val="18"/>
          <w:szCs w:val="18"/>
          <w:color w:val="auto"/>
        </w:rPr>
        <w:t>are located in hotels. In addition, an affiliate of Mr. Ho owns substantially all of the water ferry services and the helicopter shuttle service that link Macau to Hong Kong and Kowloon.</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Wynn Macau will face increased competition if SJM or Galaxy constructs new, or renovates pre-existing, casinos in Macau. SJM is reported to be planning a major remodeling of the Hotel Lisboa and a new Fisherman's Wharf entertainment complex, which will include gaming amenities, in the area of the Macau ferry terminal. SJM is obligated to invest at least approximately 4.7 billion patacas (approximately US $588 million) by December 2004 under its concession agreement with the government of Macau. Additionally, according to news reports, Galaxy intends to build a major casino resort on Taipa, the island where Macau's international airport is located, and possibly other casinos. Galaxy is obligated to invest at least 8.8 billion patacas (approximately US $1.1 billion) by June 2012 under its concession agreement with the government of Macau.</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Regional Competition. </w:t>
      </w:r>
      <w:r>
        <w:rPr>
          <w:rFonts w:ascii="Arial" w:cs="Arial" w:eastAsia="Arial" w:hAnsi="Arial"/>
          <w:sz w:val="16"/>
          <w:szCs w:val="16"/>
          <w:color w:val="auto"/>
        </w:rPr>
        <w:t>Wynn Macau will face competition from casinos located in other areas of Asia, such as the major gaming and resort destination,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Genting Highlands Resort,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Penghu, Taiwan are successful or if the reported large-scale new casino entertainment complex proposed in Manila, Philippines is developed, Wynn Macau will face additional regional competition.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 applications for LE RÊVE are for goods or services that would, if finally rejected, have a material impact on our business.</w:t>
      </w:r>
    </w:p>
    <w:p>
      <w:pPr>
        <w:spacing w:after="0" w:line="16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ectPr>
          <w:pgSz w:w="11900" w:h="16838" w:orient="portrait"/>
          <w:cols w:equalWidth="0" w:num="1">
            <w:col w:w="11420"/>
          </w:cols>
          <w:pgMar w:left="240" w:top="590" w:right="239" w:bottom="0" w:gutter="0" w:footer="0" w:header="0"/>
        </w:sectPr>
      </w:pPr>
    </w:p>
    <w:bookmarkStart w:id="53" w:name="page54"/>
    <w:bookmarkEnd w:id="53"/>
    <w:p>
      <w:pPr>
        <w:ind w:right="1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 the site of the former Desert Inn Resort &amp; Casino and the remaining homes around the golf course. As a result of its service obligations to the remaining homes, Desert Inn Improvement Co. is a public utility under Nevada law and is subject to regulatory restrictions imposed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Macau Lease. </w:t>
      </w:r>
      <w:r>
        <w:rPr>
          <w:rFonts w:ascii="Arial" w:cs="Arial" w:eastAsia="Arial" w:hAnsi="Arial"/>
          <w:sz w:val="16"/>
          <w:szCs w:val="16"/>
          <w:color w:val="auto"/>
        </w:rPr>
        <w:t>The Macau Special Administrative Region owns most of the land in Macau and, in most cases, private interests in real property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are obtained only through leases and other grants of rights to use land from the government. The government of Macau has granted to Wynn Macau the right to lease a parcel of land of approximately 14 acres located in the outer harbor of downtown Macau opposite the Hotel Lisboa on which Wynn Macau intends to construct and operate its initial casino resort. If Wynn Macau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for successive periods terminating no later than December 19, 2049. In exchange, Wynn Macau would be obligated to pay a premium of approximately 318 million patacas (approximately US $40 million). In addition, once the land concession agreement is entered into, Wynn Macau would become obligated to pay an entity affiliated with Stanley Ho, approximately 160 million patacas (approximately US $20 million) for relinquishing its rights to use a portion of that site. Wynn Macau would be able to credit both this land concession premium and the payment to the former concessionaire toward its 4 billion pataca required investment in Macau.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9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trial in this matter currently is scheduled for February 2003. The court has, nonetheless, entered several preliminary injunction orders concerning the parties' respective 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2"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pacing w:after="0" w:line="186"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ectPr>
          <w:pgSz w:w="11900" w:h="16838" w:orient="portrait"/>
          <w:cols w:equalWidth="0" w:num="1">
            <w:col w:w="11420"/>
          </w:cols>
          <w:pgMar w:left="240" w:top="131"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 Corrao to pay any anticipated overages.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Wynn Las Vegas to demonstrate, as a condition to every release or drawdown of funds, that Wynn Las Vegas has sufficient funds available to cover all remaining construction costs, plus required contingency, in accordance with our construction budget. Accordingly, if Marnell Corrao spends greater amounts than</w:t>
      </w:r>
    </w:p>
    <w:p>
      <w:pPr>
        <w:sectPr>
          <w:pgSz w:w="11900" w:h="16838" w:orient="portrait"/>
          <w:cols w:equalWidth="0" w:num="1">
            <w:col w:w="11400"/>
          </w:cols>
          <w:pgMar w:left="240" w:top="341" w:right="259" w:bottom="0" w:gutter="0" w:footer="0" w:header="0"/>
        </w:sectPr>
      </w:pPr>
    </w:p>
    <w:bookmarkStart w:id="55" w:name="page56"/>
    <w:bookmarkEnd w:id="55"/>
    <w:p>
      <w:pPr>
        <w:ind w:right="380"/>
        <w:spacing w:after="0" w:line="268" w:lineRule="auto"/>
        <w:rPr>
          <w:sz w:val="20"/>
          <w:szCs w:val="20"/>
          <w:color w:val="auto"/>
        </w:rPr>
      </w:pPr>
      <w:r>
        <w:rPr>
          <w:rFonts w:ascii="Arial" w:cs="Arial" w:eastAsia="Arial" w:hAnsi="Arial"/>
          <w:sz w:val="18"/>
          <w:szCs w:val="18"/>
          <w:color w:val="auto"/>
        </w:rPr>
        <w:t>anticipated in respect of any component of the work, Wynn Las Vegas may be denied further access to the proceeds of the second mortgage notes and further drawings under the credit facilities.</w:t>
      </w:r>
    </w:p>
    <w:p>
      <w:pPr>
        <w:spacing w:after="0" w:line="186"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Cost overruns could cause Wynn Las Vegas to be "out of balance" under the second mortgage notes, credit facilities and FF&amp;E facility and, consequently, unable to obtain funds from the second mortgage note proceeds secured account or to draw down under the credit facilities or the FF&amp;E facility. If Wynn Las Vegas cannot obtain these funds, it will not be able to open Le Rêve to the general public on schedule or at all. Given that Wynn Las Vegas is required to use a substantial portion of the cash equity contribution made by Wynn Resorts before receiving disbursements of the second mortgage note proceeds or borrowing under the credit facilities and the FF&amp;E facility, if any such "out of balance" event occurs in the latter stages of construction, the holders of Wynn Resorts common stock would be fully exposed and the lenders under the credit facilities and FF&amp;E facility would have no obligation to commence or continue funding loans under their respective facilities.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ectPr>
          <w:pgSz w:w="11900" w:h="16838" w:orient="portrait"/>
          <w:cols w:equalWidth="0" w:num="1">
            <w:col w:w="11420"/>
          </w:cols>
          <w:pgMar w:left="240" w:top="131" w:right="239" w:bottom="0" w:gutter="0" w:footer="0" w:header="0"/>
        </w:sectPr>
      </w:pPr>
    </w:p>
    <w:bookmarkStart w:id="56" w:name="page57"/>
    <w:bookmarkEnd w:id="56"/>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60" w:hanging="532"/>
        <w:spacing w:after="0" w:line="370" w:lineRule="auto"/>
        <w:tabs>
          <w:tab w:leader="none" w:pos="10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Marnell Corrao must make an itemized application for payment based on an approved schedule of values. Payment of the application is subject to approval by us and our subsidiaries'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subsidiaries' lenders.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ectPr>
          <w:pgSz w:w="11900" w:h="16838" w:orient="portrait"/>
          <w:cols w:equalWidth="0" w:num="1">
            <w:col w:w="11400"/>
          </w:cols>
          <w:pgMar w:left="240" w:top="131" w:right="259" w:bottom="0" w:gutter="0" w:footer="0" w:header="0"/>
        </w:sectPr>
      </w:pPr>
    </w:p>
    <w:bookmarkStart w:id="57" w:name="page58"/>
    <w:bookmarkEnd w:id="57"/>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subsidiaries'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25" w:lineRule="exact"/>
        <w:rPr>
          <w:rFonts w:ascii="Arial" w:cs="Arial" w:eastAsia="Arial" w:hAnsi="Arial"/>
          <w:sz w:val="18"/>
          <w:szCs w:val="18"/>
          <w:color w:val="auto"/>
        </w:rPr>
      </w:pPr>
    </w:p>
    <w:p>
      <w:pPr>
        <w:spacing w:after="0"/>
        <w:tabs>
          <w:tab w:leader="none" w:pos="0" w:val="left"/>
        </w:tabs>
        <w:numPr>
          <w:ilvl w:val="0"/>
          <w:numId w:val="70"/>
        </w:numPr>
        <w:rPr>
          <w:rFonts w:ascii="Arial" w:cs="Arial" w:eastAsia="Arial" w:hAnsi="Arial"/>
          <w:sz w:val="18"/>
          <w:szCs w:val="18"/>
          <w:color w:val="auto"/>
        </w:rPr>
      </w:pPr>
    </w:p>
    <w:p>
      <w:pPr>
        <w:sectPr>
          <w:pgSz w:w="11900" w:h="16838" w:orient="portrait"/>
          <w:cols w:equalWidth="0" w:num="1">
            <w:col w:w="11400"/>
          </w:cols>
          <w:pgMar w:left="240" w:top="131" w:right="259" w:bottom="0" w:gutter="0" w:footer="0" w:header="0"/>
        </w:sectPr>
      </w:pPr>
    </w:p>
    <w:bookmarkStart w:id="58" w:name="page59"/>
    <w:bookmarkEnd w:id="58"/>
    <w:p>
      <w:pPr>
        <w:spacing w:after="0" w:line="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mechanics' liens relating to Marnell Corrao's work; or</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fees and costs suffered by or threatened against Marnell Corrao and/or its affiliates that relate to or arise out of any act or omission by us and that are imposed by law or relate to:</w:t>
      </w:r>
    </w:p>
    <w:p>
      <w:pPr>
        <w:spacing w:after="0" w:line="213"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the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the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ectPr>
          <w:pgSz w:w="11900" w:h="16846" w:orient="portrait"/>
          <w:cols w:equalWidth="0" w:num="1">
            <w:col w:w="11420"/>
          </w:cols>
          <w:pgMar w:left="240" w:top="131" w:right="239" w:bottom="0" w:gutter="0" w:footer="0" w:header="0"/>
        </w:sectPr>
      </w:pPr>
    </w:p>
    <w:bookmarkStart w:id="59" w:name="page60"/>
    <w:bookmarkEnd w:id="59"/>
    <w:p>
      <w:pPr>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is a summary of the key terms of the concession agreement between Wynn Macau and the government of Macau. There are Chinese and Portuguese versions of the concession agreement, each of which is an official document of equal authority. The following summary is based on English translations of both of the official Chinese and Portuguese versions of the agreement and is qualified in its entirety by reference to the two official versions of the concession agreement themselves. We believe that the following summary of the concession agreement reflects the key terms of the concession agreement in all material regards. However, because of the difficulties inherent in translation, English may not precisely convey the nuances of the concession agreement, and the English translations of the concession agreement may imply meanings different from those embodied by the official documents. Moreover, the concession agreement provides that all issues of interpretation will be subject to the exclusive jurisdiction of the Macau courts, and the summarization of the key terms of the concession agreement is complicated by the difficulties in ascertaining how a Macau court would interpret the concession agreement.</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currency used in the concession agreement is the Macau pataca. The Macau pataca, which is not a freely convertible currency, is linked to the Hong Kong dollar, which itself is linked to the U.S. dollar. We have converted all pataca references into U.S. dollars, using an exchange rate of approximately eight Macau patacas to one U.S. dollar (which is the middle of the buy and sell rates on October 22, 2002, as reported by the Monetary Authority of Macau). While the rate of exchange may fluctuate over the term of the concession agreement, the rate of exchange between the United States dollar and the Hong Kong dollar has remained relatively stable over the past several years.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Wynn Macau, an indirect, 82.5%-owned subsidiary of Wynn Resorts, has entered into a concession agreement with the government of Macau permitting it to construct and operate one or more casinos in Macau. The term of the concession agreement is 20 years, beginning on June 27, 2002 and ending on June 26, 2022, unless terminated pursuant to the concession agreement on an earlier date. Under Macau law, the concession agreement may also be extended by mutual agreement of the parties for up to an additional five years. Wynn Macau has agreed to invest no less than a total of 4 billion patacas (approximately US</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 million) in one or more casino projects in Macau by June 26, 2009, and to commence operations of its first permanent casino resort in Macau no later than December 2006.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Scope of Macau Activities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concession agreement provides that Wynn Macau's business shall be limited to the operation of casino gaming or other prescribed forms of gaming. The concession agreement also permits Wynn Macau to operate other businesses that are related to casino gaming, such as a resort hotel, as part of an integrated facility with a casino, with the approval of the government of Macau. Wynn Macau has no reason to believe that the Macau government would not approve Wynn Macau operating a resort hotel, complete with food and beverage facilities, convention facilities, retail facilities, travel and transportation facilities, entertainment facilities, recreational facilities, spa and personal care facilities and related facilities, so long as they are part of an integrated project which offers casino gaming.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Location and Types of Games</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concession agreement obligates Wynn Macau to conduct gaming activities only at locations within Macau approved by the government of Macau. The concession agreement prohibits Wynn Macau from engaging in Internet gaming and horse race or sports betting or offering games to the public on boats or aircraft, or in the form of a lottery. The concession agreement authorizes Wynn Macau to conduct a variety of popular card, dice and other table games, including baccarat, black jack, craps, mahjong, roulette, three- and five-card poker and pai gow, and also permits it to offer gaming machines such as pachinko and slot machines.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Limit on Number of Concessions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concession agreement provides that, prior to April 1, 2009, the government of Macau will grant no more than three concessions for the operation of casinos in Macau. If, after April 1, 2009, the government permits more than three concessions for the operation of casinos in Macau, and any of the concessions provide terms which are more favorable overall than those provided by Wynn Macau's concession agreement, the government must extend those more favorable terms to Wynn Macau.</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Premium</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Macau must pay the government of Macau a premium, comprised of a fixed portion, paid annually, and a variable portion, paid monthly. The amount of the fixed portion of the premium is 30 million patacas (approximately US $3.8 million) per year. The amount of the variable portion of the premium is calculated according to the number of gaming tables and machines Wynn Macau operates in Macau, with a set minimum of 45 million patacas (approximately US $5.6 million) per year.</w:t>
      </w:r>
    </w:p>
    <w:p>
      <w:pPr>
        <w:sectPr>
          <w:pgSz w:w="11900" w:h="16838" w:orient="portrait"/>
          <w:cols w:equalWidth="0" w:num="1">
            <w:col w:w="11400"/>
          </w:cols>
          <w:pgMar w:left="240" w:top="131" w:right="259" w:bottom="160" w:gutter="0" w:footer="0" w:header="0"/>
        </w:sectPr>
      </w:pPr>
    </w:p>
    <w:bookmarkStart w:id="60" w:name="page61"/>
    <w:bookmarkEnd w:id="60"/>
    <w:p>
      <w:pPr>
        <w:ind w:firstLine="348"/>
        <w:spacing w:after="0" w:line="255" w:lineRule="auto"/>
        <w:rPr>
          <w:sz w:val="20"/>
          <w:szCs w:val="20"/>
          <w:color w:val="auto"/>
        </w:rPr>
      </w:pPr>
      <w:r>
        <w:rPr>
          <w:rFonts w:ascii="Arial" w:cs="Arial" w:eastAsia="Arial" w:hAnsi="Arial"/>
          <w:sz w:val="18"/>
          <w:szCs w:val="18"/>
          <w:color w:val="auto"/>
        </w:rPr>
        <w:t>Wynn Macau is obligated to begin paying the fixed portion of the premium on the earlier of June 26, 2005 or when its first permanent casino resort is opened for business. The variable portion of the premium becomes due when Wynn Macau begins operating casino games for the general public in Macau in either a temporary or permanent casino. If Wynn Macau operates a temporary casino before completion of its first permanent casino resort, the variable portion of the premium will be calculated using the same formula applied to permanent casino resorts, with a set minimum of 9 million patacas (approximately US $1.1 million) per year.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Special Gaming Tax</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Wynn Macau must pay 35% of its gross gaming revenue to the government as a special gaming tax. The concession agreement authorizes the government to require Wynn Macau to obtain a bank guarantee ensuring payment of the special gaming tax if the government has justification for believing that Wynn Macau will not pay the full amount of the special gaming tax according to law.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Required Contributions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Macau must pay 1.6% of its gross gaming revenue to a public foundation designated by the government of Macau for the promotion, development and study of social, cultural, economic, educational, scientific, academic and charitable activities in Macau. In addition, Wynn Macau must pay 2.4% of its gross gaming revenue to one or more beneficiaries for urban development, promotion of tourism and social security in Macau. Under the concession agreement, Wynn Macau may, with government consent, allocate up to one-half of this second contribution to project(s) Wynn Macau designates. The other one-half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must be allocated to beneficiaries designated by the government of Macau. The concession agreement provides that Wynn Macau may negotiate with the government of Macau to adjust the rates of these required contributions beginning in the year 2010.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Macau generally imposes a complementary income tax at the rate of 15% on the profits realized from conducting business in Macau and a 15% withholding tax on dividends paid from Macau entities to their stockholders. Wynn Macau is seeking legislative changes to exempt concessionaires from the complementary income tax and the dividend withholding tax on the grounds that the tax payments required by the concession agreement are in lieu of the complementary income tax and the dividend withholding tax. Alternatively, although the Chief Executive of Macau has no power to exempt concessionaires from the dividend withholding tax, the Macau gaming laws permit him to exempt concessionaires from the complementary income tax for a period of time. Wynn Macau has requested that the Chief Executive of Macau exempt it from the complementary income tax throughout the term of the concession.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Capital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concession agreement requires that Wynn Macau have an initial paid-in capital of 200 million patacas (approximately US $25 million).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Legal Reserve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Macau is obligated to retain an amount equal to no less than 10% of its yearly profits as a reserve, until the reserve reaches the amount of 50 million patacas (approximately US $6.3 million). Wynn Macau may only use this reserve to:</w:t>
      </w:r>
    </w:p>
    <w:p>
      <w:pPr>
        <w:spacing w:after="0" w:line="19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cover any yearly loss it incurs that it cannot cover with any of its other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cover the losses that it carries forward from previous years that it cannot cover with the profits from the current year or any other reserve;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increase its registered capital.</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Bank Guarantee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Macau is obligated to obtain the necessary financing to carry out its investment plan and maintain the financial capacity to adequately operate its gaming business in Macau. In compliance with the concession agreement, Wynn Macau has obtained an uncollateralized bank guarantee from Banco National Ultramarino, S.A. in the required amount of 700 million patacas (approximately US $87.5 million) for the period from the execution of the concession agreement until March 31, 2007. The amount of this required guarantee will be reduced to 300 million patacas (approximately US $37.5 million) for the period from April 1, 2007 until 180 days after the end of the term of the concession agreement. Wynn Macau pays a commission to the bank in the amount of 0.5% per year of the guarantee amount. This bank guarantee is also intended to satisfy the requirement imposed by Macau law that a controlling stockholder of Wynn Macau obtain a bank guarantee for the benefit of the government of Macau. The purpose of this bank guarantee is to guarantee Wynn Macau's:</w:t>
      </w:r>
    </w:p>
    <w:p>
      <w:pPr>
        <w:spacing w:after="0" w:line="186"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the concession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premiums;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payment of any fines;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of any indemnity for failure to perform the concession agreement.</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concession agreement permits the government of Macau to withdraw amounts from the bank guarantee for any of these purposes without prior adjudication. Wynn Macau is obligated to reimburse the bank and reinstate the guarantee in full if any amounts are withdrawn for payment of its obligations. Wynn Macau may not cancel the bank guarantee without government approval, but the government may allow Wynn Macau to substitute a bond or other contract for the guarantee. Wynn Macau must bear any costs incurred for the issuance, maintenance and cancellation of any such bank guarantee, bond or contract.</w:t>
      </w:r>
    </w:p>
    <w:p>
      <w:pPr>
        <w:sectPr>
          <w:pgSz w:w="11900" w:h="16838" w:orient="portrait"/>
          <w:cols w:equalWidth="0" w:num="1">
            <w:col w:w="11400"/>
          </w:cols>
          <w:pgMar w:left="240" w:top="131" w:right="259" w:bottom="0" w:gutter="0" w:footer="0" w:header="0"/>
        </w:sectPr>
      </w:pPr>
    </w:p>
    <w:bookmarkStart w:id="61" w:name="page62"/>
    <w:bookmarkEnd w:id="61"/>
    <w:p>
      <w:pPr>
        <w:spacing w:after="0" w:line="6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connection with the commencement of construction, or otherwise, Wynn Macau may be required to obtain a replacement guarantee or bond and/or modify the existing bank guarantee in a manner that requires it to provide certain security or other financial commitments.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Oversight of Construction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concession agreement requires Wynn Macau to adhere to an agreed-upon construction schedule for the completion of the first casino resort, but the agreement provides that the deadlines in the construction schedule may be extended with governmental approval. The government of Macau may suspend construction of the casino(s) if it determines that Wynn Macau has failed to adequately implement the construction plans or violated the concession agreement or applicable law.</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Allocation of Unused Investment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concession agreement, Wynn Macau is required to invest not less than a total of 4 billion patacas (currently approximately US $500 million)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one or more casino projects by June 26, 2009. If Wynn Macau does not invest the amount required by the concession agreement in its Macau project(s)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26, 2009, it is obligated to invest the remaining amount in projects related to its gaming operations in Macau that the government approves, or in projects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interest designated by the Macau government.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231"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According to the concession agreement, the government of Macau is entitled to enter the premises of Wynn Macau's casino(s) at any time and review Wynn Macau's records to monitor the gross revenue from its gaming operations. Wynn Macau is required to periodically submit financial reports and other documentation to the government of Macau, and answer the government's requests for information. Wynn Macau must inform the government of Macau of any events which may affect the normal operation or economic stability of its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Macau is required to have an executive director who is a Macau resident and holds at least 10% of the voting shares and capital in Wynn Macau. The appointment, scope of authority, term of office and any alteration to such appointment, scope of authority or term of office of the executive director of Wynn Macau are established by the board of directors of Wynn Macau and are subject to Macau government approval. Government approval must also be obtained if the board of directors of Wynn Macau desires to delegate governing authority to another person or body.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Transfer of Shares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concession agreement requires that Wynn Macau obtain government authorization before permitting the transfer or encumbrance of, or the grant of voting rights with respect to, the shares of Wynn Macau. Government approval must also be obtained before the transfer of the shares of the direct or indirect corporate stockholders of Wynn Macau representing 5% or more of the equity of Wynn Macau, unless the shares subject to transfer are publicly tradable on a stock exchange. We believe that transfer of the publicly traded shares of Wynn Resorts will not require government approval because they will be listed on The Nasdaq National Market; however, any shares which were privately issued would be subject to these transfer restrictions until such time as they become publicly tradable. Accordingly, we believe that the government of Macau would assert that it has the right to approve the transfer of shares of Wynn Resorts representing 5% or more of the equity of Wynn Macau by Wynn Resorts' principal stockholders, Mr. Wynn and Aruze USA.</w:t>
      </w:r>
    </w:p>
    <w:p>
      <w:pPr>
        <w:spacing w:after="0" w:line="172"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The concession agreement provides that if a controlling stockholder of Wynn Macau receives written instructions to dispose of its shares by a gaming authority outside of Macau, and if the government of Macau does not attribute the disposition to the actions of Wynn Macau, then that controlling stockholder will be permitted to transfer the shares to Wynn Macau that it holds without seeking government approval. If the controlling stockholder desires to transfer its shares to a third party, the government of Macau must approve of the transferee.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Capital Restrictions</w:t>
      </w:r>
    </w:p>
    <w:p>
      <w:pPr>
        <w:spacing w:after="0" w:line="231"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Any public listing of the shares of Wynn Macau or any company of which it is a controlling stockholder on a stock exchange or increase in the capital of Wynn Macau through public offering of common stock must be approved by the government of Macau. Wynn Macau also must seek government approval if it is to issue preferred stock or bonds. The concession agreement requires the shares of Wynn Macau and all of its direct and indirect corporate stockholders to be represented by shares in the name of their beneficial owners, unless the shares in question are publicly tradable on a stock exchange. We believe that the publicly held shares of Wynn Resorts will not be subject to these restrictions because they will be listed on The Nasdaq National Market.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Suitability Requirements</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Macau and its directors, key employees, managing companies and stockholders who own 5% or more of Wynn Macau's stock must be found suitable and are subject to the continuous monitoring and supervision of the government of Macau for the term of the concession agreement to ensure that they are suitable to conduct a gaming business in Macau. The objectives of the government's supervision will be to preserve the conduct of gaming in Macau in a fair and honest manner and to safeguard and protect the interests of Macau in receiving taxes from the operation of casinos in the jurisdiction.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 by the Government Beginning in the Fifteenth Year</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From June 27, 2017 until the end of the term of the concession agreement, the government of Macau will have the right to redeem the concession granted to Wynn Macau under the concession agreement, with one year's prior notice. If the government so redeems the concession, the government will be required to provide compensation to Wynn Macau for the resulting losses it incurs equal to the earnings of the hotel-casino-resort before interest, depreciation and amortization for the fiscal year immediately preceding the date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redemption is declared, multiplied by the number of years remaining on the term of the concession agreement. Under the concession agreement, the Macau government must provide compensation for losses with respect to the resort-hotel-casino complex referred to in the investment plan attached to the concession</w:t>
      </w:r>
    </w:p>
    <w:p>
      <w:pPr>
        <w:sectPr>
          <w:pgSz w:w="11900" w:h="16908" w:orient="portrait"/>
          <w:cols w:equalWidth="0" w:num="1">
            <w:col w:w="11400"/>
          </w:cols>
          <w:pgMar w:left="240" w:top="131" w:right="259" w:bottom="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agreement. However, the concession agreement is unclear how the compensation provision applies if more than one resort-hotel-casino is built.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Automatic Transfer of Assets to Government Without Compensation at End of Term</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the end of the term of the concession agreement and any agreed upon extensions, the areas defined as casino under Macau law and all the gaming equipment pertaining to the gaming operations of Wynn Macau, but not any hotel or resort assets (other than the areas defined as casino under Macau law), will be automatically transferred to the government of Macau without compensation to Wynn Macau. The concession agreement prohibits Wynn Macau from encumbering these assets or leasing the buildings in which the areas defined as casino under Macau law are located, without government approval. The casino(s) as defined under Macau law and all of the gaming equipment pertaining to the gaming operations of Wynn Macau must be free from encumbrance by the end of the concession term and Wynn Macau must hold clear title to the buildings, or independent units thereof, in which the areas defined as casino under Macau law are operated no later than 180 days before the end of the term of the concession agreement, unless the concession agreement terminates at an earlier date, in which case Wynn Macau will be obligated to acquire title to these buildings, or independent units thereof, at the earliest possible time. If Wynn Macau dissolves or liquidates, it must assure the government of Macau full payment for the property to which the government is entitled at the end of the concession agreement, including if necessary, by means of a guarantee or indemnity acceptable to the government of Macau.</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Liability for Violation of the Concession Agreement</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concession agreement provides that Wynn Macau is civilly liable to the government of Macau for violation of the concession agreement and damages caused by parties with whom it contracts for the construction and operation of its Macau casino(s), unless its non-performance of the agreement is the result of circumstances which constitute force majeure. Wynn Macau must apply any insurance proceeds it receives for damage to improvements on real property to restoration of the damaged property unless it has no economic interest in rebuilding the improvements, in which case it must remit the insurance proceeds to the government of Macau. The government of Macau can resort to the bank guarantee Wynn Macau has obtained for any damages caused by Wynn Macau's violation of the concession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Prohibition on Cession, Transfer and Alienation of Casino</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concession agreement prohibits Wynn Macau from ceding, transferring, alienating or in any way burdening the concession in whole or in part without the approval of the government of Macau. If Wynn Macau assigns the whole concession agreement in contravention of its terms, Wynn Macau will be liable to the government of Macau for 1 billion patacas (approximately US $125 million), and if Wynn Macau assigns part of the concession agreement in contravention of its terms, Wynn Macau will be liable to the government of Macau for 500 million patacas (approximately US $62.5 million). If Wynn Macau encumbers the concession to conduct gaming activities, in whole or in part, in violation of the agreement, it will be liable to the government of Macau for 300 million patacas (approximately US $37.5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Restrictions on Sub-Concession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concession agreement prohibits Wynn Macau from granting a sub-concession to conduct gaming in Macau without government approval. If Wynn Macau violates this provision by granting a sub-concession of the whole agreement without governmental approval, it will be liable to the government of Macau for 500 million patacas (approximately US $62.5 million), and if Wynn Macau grants a sub-concession of part of the agreement without governmental approval, it will be liable to the government of Macau for 300 million patacas (approximately US $37.5 million).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Temporary Administrative Intervention</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concession agreement provides that, if Wynn Macau ceases operation of its gaming business without justification or government approval, or if the government finds that the operation of the Macau casino(s) is seriously deficient, the government may seize the gaming business for the duration of the cessation or deficiency, and appoint an operator to continue the business. During any such sequestration, Wynn Macau will bear the costs of maintenance and any costs necessary to restore the gaming business to normal operations. The government may draw on the guarantee, bond or contract Wynn Macau has obtained to guarantee its performance of the concession agreement to pay these costs. Once operations have returned to normal and it has demonstrated the ability to adequately operate the gaming business, Wynn Macau will regain the right to resume control of casino operations, but if Wynn Macau is unable or unwilling to resume normal operations, the government could unilaterally rescind the concession agreement at its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231" w:lineRule="exact"/>
        <w:rPr>
          <w:sz w:val="20"/>
          <w:szCs w:val="20"/>
          <w:color w:val="auto"/>
        </w:rPr>
      </w:pPr>
    </w:p>
    <w:p>
      <w:pPr>
        <w:jc w:val="center"/>
        <w:ind w:right="440"/>
        <w:spacing w:after="0" w:line="370" w:lineRule="auto"/>
        <w:rPr>
          <w:sz w:val="20"/>
          <w:szCs w:val="20"/>
          <w:color w:val="auto"/>
        </w:rPr>
      </w:pPr>
      <w:r>
        <w:rPr>
          <w:rFonts w:ascii="Arial" w:cs="Arial" w:eastAsia="Arial" w:hAnsi="Arial"/>
          <w:sz w:val="15"/>
          <w:szCs w:val="15"/>
          <w:color w:val="auto"/>
        </w:rPr>
        <w:t>The government of Macau may unilaterally rescind the concession if Wynn Macau fails to fulfill its fundamental obligations under the concession agreement. The concession agreement expressly provides that the government of Macau may unilaterally rescind the concession agreement if Wynn Macau:</w:t>
      </w:r>
    </w:p>
    <w:p>
      <w:pPr>
        <w:spacing w:after="0" w:line="13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conducts non-authorized games or activities excluded from its corporate purpose;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ectPr>
          <w:pgSz w:w="11900" w:h="16838" w:orient="portrait"/>
          <w:cols w:equalWidth="0" w:num="1">
            <w:col w:w="11420"/>
          </w:cols>
          <w:pgMar w:left="240" w:top="131" w:right="239" w:bottom="0" w:gutter="0" w:footer="0" w:header="0"/>
        </w:sectPr>
      </w:pPr>
    </w:p>
    <w:bookmarkStart w:id="63" w:name="page64"/>
    <w:bookmarkEnd w:id="63"/>
    <w:p>
      <w:pPr>
        <w:jc w:val="both"/>
        <w:ind w:right="300"/>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under Macau law and all of the gaming equipment pertaining to the gaming operations of Wynn Macau will be transferred to the government without compensation.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and Wynn Macau's casino(s) will be subject to extensive state and local regulation and licensing and gaming authorities have significant control over their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 Nevada Gaming Commission, the Nevada State Gaming Control Board and the Clark County Liquor and Gaming License Board, which we refer to collectively as the Nevada Gaming Authorities.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ectPr>
          <w:pgSz w:w="11900" w:h="16838" w:orient="portrait"/>
          <w:cols w:equalWidth="0" w:num="1">
            <w:col w:w="11400"/>
          </w:cols>
          <w:pgMar w:left="240" w:top="131" w:right="259" w:bottom="19" w:gutter="0" w:footer="0" w:header="0"/>
        </w:sectPr>
      </w:pPr>
    </w:p>
    <w:bookmarkStart w:id="64" w:name="page65"/>
    <w:bookmarkEnd w:id="64"/>
    <w:p>
      <w:pPr>
        <w:ind w:right="4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7"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this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See "Certain Relationships and Related Transactions—Buy-Out of Aruze USA Stock."</w:t>
      </w:r>
    </w:p>
    <w:p>
      <w:pPr>
        <w:spacing w:after="0" w:line="172"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the stock of Wynn Resorts.</w:t>
      </w:r>
    </w:p>
    <w:p>
      <w:pPr>
        <w:spacing w:after="0" w:line="16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w:t>
      </w:r>
    </w:p>
    <w:p>
      <w:pPr>
        <w:sectPr>
          <w:pgSz w:w="11900" w:h="16838" w:orient="portrait"/>
          <w:cols w:equalWidth="0" w:num="1">
            <w:col w:w="11420"/>
          </w:cols>
          <w:pgMar w:left="240" w:top="131" w:right="239" w:bottom="0" w:gutter="0" w:footer="0" w:header="0"/>
        </w:sectPr>
      </w:pPr>
    </w:p>
    <w:bookmarkStart w:id="65" w:name="page66"/>
    <w:bookmarkEnd w:id="65"/>
    <w:p>
      <w:pPr>
        <w:ind w:right="300"/>
        <w:spacing w:after="0" w:line="306" w:lineRule="auto"/>
        <w:rPr>
          <w:sz w:val="20"/>
          <w:szCs w:val="20"/>
          <w:color w:val="auto"/>
        </w:rPr>
      </w:pPr>
      <w:r>
        <w:rPr>
          <w:rFonts w:ascii="Arial" w:cs="Arial" w:eastAsia="Arial" w:hAnsi="Arial"/>
          <w:sz w:val="16"/>
          <w:szCs w:val="16"/>
          <w:color w:val="auto"/>
        </w:rPr>
        <w:t>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If the Nevada Gaming Commission decides that we violated the Nevada Gaming Control Act or 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 See "Description of Capital Stock— Prohibitions on the Receipt of Dividends, the Exercise of Voting or Other Rights or the Receipt of Other Remuneration."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we:</w:t>
      </w:r>
    </w:p>
    <w:p>
      <w:pPr>
        <w:spacing w:after="0" w:line="215" w:lineRule="exact"/>
        <w:rPr>
          <w:sz w:val="20"/>
          <w:szCs w:val="20"/>
          <w:color w:val="auto"/>
        </w:rPr>
      </w:pPr>
    </w:p>
    <w:p>
      <w:pPr>
        <w:jc w:val="right"/>
        <w:ind w:left="5580" w:right="5580" w:hanging="5032"/>
        <w:spacing w:after="0" w:line="455" w:lineRule="auto"/>
        <w:tabs>
          <w:tab w:leader="none" w:pos="1083" w:val="left"/>
        </w:tabs>
        <w:numPr>
          <w:ilvl w:val="0"/>
          <w:numId w:val="79"/>
        </w:numPr>
        <w:rPr>
          <w:rFonts w:ascii="Arial" w:cs="Arial" w:eastAsia="Arial" w:hAnsi="Arial"/>
          <w:sz w:val="15"/>
          <w:szCs w:val="15"/>
          <w:color w:val="auto"/>
        </w:rPr>
      </w:pPr>
      <w:r>
        <w:rPr>
          <w:rFonts w:ascii="Arial" w:cs="Arial" w:eastAsia="Arial" w:hAnsi="Arial"/>
          <w:sz w:val="15"/>
          <w:szCs w:val="15"/>
          <w:color w:val="auto"/>
        </w:rPr>
        <w:t>pay that person any dividend or interest upon any voting securities; 117</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-1027430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w:t>
      </w:r>
    </w:p>
    <w:p>
      <w:pPr>
        <w:sectPr>
          <w:pgSz w:w="11900" w:h="16838" w:orient="portrait"/>
          <w:cols w:equalWidth="0" w:num="1">
            <w:col w:w="11420"/>
          </w:cols>
          <w:pgMar w:left="240" w:top="131" w:right="239" w:bottom="0" w:gutter="0" w:footer="0" w:header="0"/>
        </w:sectPr>
      </w:pPr>
    </w:p>
    <w:bookmarkStart w:id="66" w:name="page67"/>
    <w:bookmarkEnd w:id="66"/>
    <w:p>
      <w:pPr>
        <w:ind w:right="500"/>
        <w:spacing w:after="0" w:line="268" w:lineRule="auto"/>
        <w:rPr>
          <w:sz w:val="20"/>
          <w:szCs w:val="20"/>
          <w:color w:val="auto"/>
        </w:rPr>
      </w:pPr>
      <w:r>
        <w:rPr>
          <w:rFonts w:ascii="Arial" w:cs="Arial" w:eastAsia="Arial" w:hAnsi="Arial"/>
          <w:sz w:val="18"/>
          <w:szCs w:val="18"/>
          <w:color w:val="auto"/>
        </w:rPr>
        <w:t>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Once Wynn Resorts becomes a registered company, it may not make a public offering of its securities without the prior approval of the Nevada Gaming Commission if it intends to use the securities or the proceeds from the offering to construct, acquire or finance gaming facilities in Nevada, or to retire or extend obligations incurred for those purposes or for similar transactions. Any approval that we might receive in the future relating to this or future offerings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common stock pursuant to this prospectus will qualify as a public offering. The Nevada State Gaming Control Board Chairman considered our ruling request and has issued an administrative ruling that it is not necessary to submit an application for prior approval of this offering or the offering of second mortgage notes by Wynn Las Vegas.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Once Wynn Resorts becomes a registered company, it must obtain prior approval of the Nevada Gaming Commission with respect to a change in control through:</w:t>
      </w:r>
    </w:p>
    <w:p>
      <w:pPr>
        <w:spacing w:after="0" w:line="213"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merger;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ectPr>
          <w:pgSz w:w="11900" w:h="16838" w:orient="portrait"/>
          <w:cols w:equalWidth="0" w:num="1">
            <w:col w:w="11420"/>
          </w:cols>
          <w:pgMar w:left="240" w:top="131" w:right="239" w:bottom="134" w:gutter="0" w:footer="0" w:header="0"/>
        </w:sectPr>
      </w:pPr>
    </w:p>
    <w:bookmarkStart w:id="67" w:name="page68"/>
    <w:bookmarkEnd w:id="67"/>
    <w:p>
      <w:pPr>
        <w:spacing w:after="0" w:line="13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recapitalization proposed by a registered company's board of directors in response to a tender offer made directly to its stockholders for the purpose of acquiring control.</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90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60" w:firstLine="341"/>
        <w:spacing w:after="0" w:line="291" w:lineRule="auto"/>
        <w:rPr>
          <w:sz w:val="20"/>
          <w:szCs w:val="20"/>
          <w:color w:val="auto"/>
        </w:rPr>
      </w:pPr>
      <w:r>
        <w:rPr>
          <w:rFonts w:ascii="Arial" w:cs="Arial" w:eastAsia="Arial" w:hAnsi="Arial"/>
          <w:sz w:val="16"/>
          <w:szCs w:val="16"/>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88"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right="40" w:hanging="532"/>
        <w:spacing w:after="0" w:line="370" w:lineRule="auto"/>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Wynn Macau, a majority-owned indirect subsidiary of Wynn Resorts, has entered into a concession agreement with the government of Macau permitting it to construct and operate one or more casinos in Macau. As a concessionaire, Wynn Macau is subject to the regulatory control of the Macau government.</w:t>
      </w:r>
    </w:p>
    <w:p>
      <w:pPr>
        <w:spacing w:after="0" w:line="139"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Macau government has adopted Law and Administrative Regulations governing the operation of casinos in Macau. Only concessionaires are permitted to operate casinos. To compete for concessions, candidates must tender proposals pursuant to procedures prescribing the content and timing of submissions and the 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72"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color w:val="auto"/>
        </w:rPr>
        <w:t>Under the Law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w:t>
      </w:r>
    </w:p>
    <w:p>
      <w:pPr>
        <w:sectPr>
          <w:pgSz w:w="11900" w:h="16975" w:orient="portrait"/>
          <w:cols w:equalWidth="0" w:num="1">
            <w:col w:w="11420"/>
          </w:cols>
          <w:pgMar w:left="240" w:top="131" w:right="239" w:bottom="0" w:gutter="0" w:footer="0" w:header="0"/>
        </w:sectPr>
      </w:pPr>
    </w:p>
    <w:bookmarkStart w:id="68" w:name="page69"/>
    <w:bookmarkEnd w:id="68"/>
    <w:p>
      <w:pPr>
        <w:spacing w:after="0" w:line="7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engaged by a concessionaire to manage casino operations. Concessionaires also are required to satisfy minimum capitalization requirements, to demonstrate and maintain adequate financial capacity to operate the concession, and to submit to continuous monitoring of its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0"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16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5% of gross gaming revenue (Wynn Macau must pay 4% under its concession agreement) for the promotion of public interests, infrastructure and tourism. Concessionaires also are obligated to withhold, subject to partial exemption, a 5% tax from commissions paid to junket representatives. A junket representative is a person who, for the purpose of promoting casino gaming activity, arranges customer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accommodations, food and beverage services and entertainment in exchange for commissions or other compensation from a concessionaire.</w:t>
      </w:r>
    </w:p>
    <w:p>
      <w:pPr>
        <w:spacing w:after="0" w:line="24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issue,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to the Macau government. Such contractors are subject to disapproval by the Macau government. Changes in the management structure of business entity licensees must be reported to the Macau government and transfers or the encumbering of interests in such licensees are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97"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5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Macau's concession, the government of Macau's right to redeem the concession begins fifteen years from the date of the concession agreement and entitles Wynn Macau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many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consummation of this offering, Wynn Resorts' directors and executive officers and their ages and positions will be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John Strzemp</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2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Executive Vice President—Chief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-1456690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-1456690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-1456690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-1456690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-1456690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-1456690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7" w:orient="portrait"/>
          <w:cols w:equalWidth="0" w:num="1">
            <w:col w:w="11420"/>
          </w:cols>
          <w:pgMar w:left="240" w:top="131" w:right="239" w:bottom="0" w:gutter="0" w:footer="0" w:header="0"/>
        </w:sectPr>
      </w:pPr>
    </w:p>
    <w:bookmarkStart w:id="69" w:name="page70"/>
    <w:bookmarkEnd w:id="69"/>
    <w:tbl>
      <w:tblPr>
        <w:tblLayout w:type="fixed"/>
        <w:tblInd w:w="166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Matt Maddox</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620" w:type="dxa"/>
            <w:vAlign w:val="bottom"/>
          </w:tcPr>
          <w:p>
            <w:pPr>
              <w:ind w:left="180"/>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260" w:type="dxa"/>
            <w:vAlign w:val="bottom"/>
          </w:tcPr>
          <w:p>
            <w:pPr>
              <w:spacing w:after="0"/>
              <w:rPr>
                <w:sz w:val="20"/>
                <w:szCs w:val="20"/>
                <w:color w:val="auto"/>
              </w:rPr>
            </w:pPr>
            <w:r>
              <w:rPr>
                <w:rFonts w:ascii="Arial" w:cs="Arial" w:eastAsia="Arial" w:hAnsi="Arial"/>
                <w:sz w:val="18"/>
                <w:szCs w:val="18"/>
                <w:color w:val="auto"/>
              </w:rPr>
              <w:t>DeRuyter O. Butler</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4620" w:type="dxa"/>
            <w:vAlign w:val="bottom"/>
          </w:tcPr>
          <w:p>
            <w:pPr>
              <w:ind w:left="180"/>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Development</w:t>
            </w: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since June 2002. From April 2000 to September 2002, Mr. Wynn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member of Valvino, our wholly owned subsidiary.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since October 2002. Mr. Okada founded Aruze Corp., a Japanese manufacturer of pachislot and</w:t>
      </w:r>
      <w:r>
        <w:rPr>
          <w:rFonts w:ascii="Arial" w:cs="Arial" w:eastAsia="Arial" w:hAnsi="Arial"/>
          <w:sz w:val="16"/>
          <w:szCs w:val="16"/>
          <w:i w:val="1"/>
          <w:iCs w:val="1"/>
          <w:color w:val="auto"/>
        </w:rPr>
        <w:t xml:space="preserve"> </w:t>
      </w:r>
      <w:r>
        <w:rPr>
          <w:rFonts w:ascii="Arial" w:cs="Arial" w:eastAsia="Arial" w:hAnsi="Arial"/>
          <w:sz w:val="16"/>
          <w:szCs w:val="16"/>
          <w:color w:val="auto"/>
        </w:rPr>
        <w:t>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since October 2002. Mr. Kramer has served as President of Wynn Resorts Holdings, a wholly</w:t>
      </w:r>
      <w:r>
        <w:rPr>
          <w:rFonts w:ascii="Arial" w:cs="Arial" w:eastAsia="Arial" w:hAnsi="Arial"/>
          <w:sz w:val="16"/>
          <w:szCs w:val="16"/>
          <w:i w:val="1"/>
          <w:iCs w:val="1"/>
          <w:color w:val="auto"/>
        </w:rPr>
        <w:t xml:space="preserve"> </w:t>
      </w:r>
      <w:r>
        <w:rPr>
          <w:rFonts w:ascii="Arial" w:cs="Arial" w:eastAsia="Arial" w:hAnsi="Arial"/>
          <w:sz w:val="16"/>
          <w:szCs w:val="16"/>
          <w:color w:val="auto"/>
        </w:rPr>
        <w:t>owned indirect subsidiary of Wynn Resorts, since April 2002. From July 1999 to October 2001, Mr. Kramer was a Managing Director at Dresdner Kleinwort 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Robert J. Miller </w:t>
      </w:r>
      <w:r>
        <w:rPr>
          <w:rFonts w:ascii="Arial" w:cs="Arial" w:eastAsia="Arial" w:hAnsi="Arial"/>
          <w:sz w:val="16"/>
          <w:szCs w:val="16"/>
          <w:color w:val="auto"/>
        </w:rPr>
        <w:t>has served as a director since October 2002. Robert J. Miller has been a partner of the Nevada law firm of Jones Vargas since January 1999.</w:t>
      </w:r>
      <w:r>
        <w:rPr>
          <w:rFonts w:ascii="Arial" w:cs="Arial" w:eastAsia="Arial" w:hAnsi="Arial"/>
          <w:sz w:val="16"/>
          <w:szCs w:val="16"/>
          <w:i w:val="1"/>
          <w:iCs w:val="1"/>
          <w:color w:val="auto"/>
        </w:rPr>
        <w:t xml:space="preserve"> </w:t>
      </w:r>
      <w:r>
        <w:rPr>
          <w:rFonts w:ascii="Arial" w:cs="Arial" w:eastAsia="Arial" w:hAnsi="Arial"/>
          <w:sz w:val="16"/>
          <w:szCs w:val="16"/>
          <w:color w:val="auto"/>
        </w:rPr>
        <w:t>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70"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since October 2002. Mr. Moran is the retired Chairman of Dyson-Kissner-Moran Corporation, a private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i w:val="1"/>
          <w:iCs w:val="1"/>
          <w:color w:val="auto"/>
        </w:rPr>
        <w:t xml:space="preserve">Elaine P. Wynn </w:t>
      </w:r>
      <w:r>
        <w:rPr>
          <w:rFonts w:ascii="Arial" w:cs="Arial" w:eastAsia="Arial" w:hAnsi="Arial"/>
          <w:sz w:val="16"/>
          <w:szCs w:val="16"/>
          <w:color w:val="auto"/>
        </w:rPr>
        <w:t>has served as a director since October 2002. Mrs. Wynn has served as Co-Chairperson of the Greater Las Vegas Inner-City Games</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since October 2002. Since 1977, Mr. Zax has served as Chairman of the Board, and, since 1978,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since October 2002. Mr. Zeman has served as chairman of Lan Kwai Fong Holdings Limited, a company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Since April 2001, Mr. Schorr has served as Chief Operating Officer of Wynn Resorts Holdings.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2000 through April 2001, Mr. Schorr has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Since November 2001, Mr. Strzemp has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Marc H. Rubinstein </w:t>
      </w:r>
      <w:r>
        <w:rPr>
          <w:rFonts w:ascii="Arial" w:cs="Arial" w:eastAsia="Arial" w:hAnsi="Arial"/>
          <w:sz w:val="16"/>
          <w:szCs w:val="16"/>
          <w:color w:val="auto"/>
        </w:rPr>
        <w:t>serves as Senior Vice President—General Counsel. Since April 2001, Mr. Rubinstein has served as Senior Vice President—General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 Senior Vice President and General Counsel of the Sheraton Desert Inn Corporation, a gaming company that did business as The Desert Inn, and then a wholly owned subsidiary of ITT Sheraton Corp. and Starwood Hotels &amp; Resorts Worldwide, Inc.</w:t>
      </w:r>
    </w:p>
    <w:p>
      <w:pPr>
        <w:sectPr>
          <w:pgSz w:w="11900" w:h="16838" w:orient="portrait"/>
          <w:cols w:equalWidth="0" w:num="1">
            <w:col w:w="11380"/>
          </w:cols>
          <w:pgMar w:left="240" w:top="140" w:right="279" w:bottom="2" w:gutter="0" w:footer="0" w:header="0"/>
        </w:sectPr>
      </w:pPr>
    </w:p>
    <w:bookmarkStart w:id="70" w:name="page71"/>
    <w:bookmarkEnd w:id="70"/>
    <w:p>
      <w:pPr>
        <w:ind w:right="24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Mr. Maddox has served as Vice President—Investor Relations and Treasurer of</w:t>
      </w:r>
      <w:r>
        <w:rPr>
          <w:rFonts w:ascii="Arial" w:cs="Arial" w:eastAsia="Arial" w:hAnsi="Arial"/>
          <w:sz w:val="18"/>
          <w:szCs w:val="18"/>
          <w:i w:val="1"/>
          <w:iCs w:val="1"/>
          <w:color w:val="auto"/>
        </w:rPr>
        <w:t xml:space="preserve"> </w:t>
      </w:r>
      <w:r>
        <w:rPr>
          <w:rFonts w:ascii="Arial" w:cs="Arial" w:eastAsia="Arial" w:hAnsi="Arial"/>
          <w:sz w:val="18"/>
          <w:szCs w:val="18"/>
          <w:color w:val="auto"/>
        </w:rPr>
        <w:t>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indirect subsidiary of Wynn Resorts since June 2000.</w:t>
      </w:r>
      <w:r>
        <w:rPr>
          <w:rFonts w:ascii="Arial" w:cs="Arial" w:eastAsia="Arial" w:hAnsi="Arial"/>
          <w:sz w:val="16"/>
          <w:szCs w:val="16"/>
          <w:i w:val="1"/>
          <w:iCs w:val="1"/>
          <w:color w:val="auto"/>
        </w:rPr>
        <w:t xml:space="preserve"> </w:t>
      </w:r>
      <w:r>
        <w:rPr>
          <w:rFonts w:ascii="Arial" w:cs="Arial" w:eastAsia="Arial" w:hAnsi="Arial"/>
          <w:sz w:val="16"/>
          <w:szCs w:val="16"/>
          <w:color w:val="auto"/>
        </w:rPr>
        <w:t>From 1973 until 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articles of incorporation and bylaws provide for a classified board of directors consisting of three classes of directors, each serving staggered three-year terms. As a result, a portion of our board of directors will be elected each year. To implement the classified board of directors structure, prior to the completion of this offering, three of the members of the board of directors will be Class I directors elected to one-year terms, two will be Class II directors elected to two-year terms and three will be Class III directors elected to three-year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terms. Thereafter, directors will be elected for three-year terms. Upon the completion of this offering, Class I will consist of Elaine P. Wynn, Ronald J. Kramer and John A. Moran; Class II will consist of Stephen A. Wynn and Stanley R. Zax; and Class III will consist of Robert J. Miller, Allan Zeman and Kazuo Okada.</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Upon completion of this offering, our board of directors intends to appoint an executive committee, an audit committee and a compensation committee. The composition of the board committees will comply with the requirements of The Nasdaq National Market and the Sarbanes-Oxley Act of 2002.</w:t>
      </w:r>
    </w:p>
    <w:p>
      <w:pPr>
        <w:spacing w:after="0" w:line="139"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executive committee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audit committee will select, on behalf of our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our board of directors whether the audited financials should be included in our Annual Reports on Form 10-K to be filed with the Securities and Exchange Commission. We expect that the audit committee will be comprised of three independent directors.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compensation committee will review and approve, on behalf of the entire board of directors, (1) the annual salaries and other compensation of our officers and (2) individual stock and stock option grants. The compensation committee also will provide assistance and recommendations with respect to our compensation policies and practices and assist with the administration of our compensation plans. We expect that the compensation committee will be comprised of at least two independent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right="140" w:firstLine="341"/>
        <w:spacing w:after="0" w:line="259" w:lineRule="auto"/>
        <w:rPr>
          <w:sz w:val="20"/>
          <w:szCs w:val="20"/>
          <w:color w:val="auto"/>
        </w:rPr>
      </w:pPr>
      <w:r>
        <w:rPr>
          <w:rFonts w:ascii="Arial" w:cs="Arial" w:eastAsia="Arial" w:hAnsi="Arial"/>
          <w:sz w:val="18"/>
          <w:szCs w:val="18"/>
          <w:color w:val="auto"/>
        </w:rPr>
        <w:t>As noted above, the board of directors will appoint a compensation committee upon completion of this offering. We do not expect that any of our executive officers will serve as a director or member of the compensation committee of another entity, one of whose executive officers serves on our board of directors or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Upon completion of this offering, each of our directors who is not an employee of Wynn Resorts or its subsidiaries will receive a monthly fee of $4,000 for services as a director. Directors who serve on our executive, audit and compensation committees will receive an additional monthly fee of $1,000. Directors will also receive reimbursement for medical expenses and coverage under our life insurance program. Directors who are employees of Wynn Resorts or its subsidiaries will not receive compensation for their services as directors.</w:t>
      </w:r>
    </w:p>
    <w:p>
      <w:pPr>
        <w:spacing w:after="0" w:line="197"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Each non-employee director will receive stock options each year under our 2002 stock incentive plan in an amount to be determined. The stock options will have an exercise price equal to the market value of Wynn Resorts' common stock on the date of grant and will vest over a period defined in the option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3"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w:t>
      </w:r>
    </w:p>
    <w:p>
      <w:pPr>
        <w:sectPr>
          <w:pgSz w:w="11900" w:h="16838" w:orient="portrait"/>
          <w:cols w:equalWidth="0" w:num="1">
            <w:col w:w="11400"/>
          </w:cols>
          <w:pgMar w:left="240" w:top="131" w:right="259" w:bottom="13" w:gutter="0" w:footer="0" w:header="0"/>
          <w:type w:val="continuous"/>
        </w:sectPr>
      </w:pPr>
    </w:p>
    <w:bookmarkStart w:id="71" w:name="page72"/>
    <w:bookmarkEnd w:id="71"/>
    <w:p>
      <w:pPr>
        <w:ind w:right="28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Annual Compensation</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300" w:type="dxa"/>
            <w:vAlign w:val="bottom"/>
          </w:tcPr>
          <w:p>
            <w:pPr>
              <w:spacing w:after="0"/>
              <w:rPr>
                <w:sz w:val="20"/>
                <w:szCs w:val="20"/>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5"/>
                <w:szCs w:val="15"/>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ind w:left="980"/>
              <w:spacing w:after="0" w:line="138" w:lineRule="exact"/>
              <w:rPr>
                <w:sz w:val="20"/>
                <w:szCs w:val="20"/>
                <w:color w:val="auto"/>
              </w:rPr>
            </w:pPr>
            <w:r>
              <w:rPr>
                <w:rFonts w:ascii="Arial" w:cs="Arial" w:eastAsia="Arial" w:hAnsi="Arial"/>
                <w:sz w:val="14"/>
                <w:szCs w:val="14"/>
                <w:color w:val="auto"/>
                <w:w w:val="88"/>
              </w:rPr>
              <w:t>71,190(3)(4)</w:t>
            </w:r>
          </w:p>
        </w:tc>
        <w:tc>
          <w:tcPr>
            <w:tcW w:w="30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5"/>
              </w:rPr>
              <w:t>Chief Executive Officer and President of Wynn Resorts Holdings</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000"/>
              <w:spacing w:after="0" w:line="159" w:lineRule="exact"/>
              <w:rPr>
                <w:sz w:val="20"/>
                <w:szCs w:val="20"/>
                <w:color w:val="auto"/>
              </w:rPr>
            </w:pPr>
            <w:r>
              <w:rPr>
                <w:rFonts w:ascii="Arial" w:cs="Arial" w:eastAsia="Arial" w:hAnsi="Arial"/>
                <w:sz w:val="14"/>
                <w:szCs w:val="14"/>
                <w:color w:val="auto"/>
                <w:w w:val="85"/>
              </w:rPr>
              <w:t>31,511(3)(4)</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D. Schorr(5)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Kenneth R. Wynn(6)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ind w:left="13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John Strzemp(7)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300,530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14,963</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w w:val="88"/>
              </w:rPr>
              <w:t>Executive Vice President and Chief Financial Officer of Wynn Resorts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65,769</w:t>
            </w:r>
          </w:p>
        </w:tc>
        <w:tc>
          <w:tcPr>
            <w:tcW w:w="1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384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DeRuyter O. Butler(8)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President—Architecture of Wynn Design &amp;</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197,885</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13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Development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3840" w:type="dxa"/>
            <w:vAlign w:val="bottom"/>
            <w:gridSpan w:val="3"/>
          </w:tcPr>
          <w:p>
            <w:pPr>
              <w:spacing w:after="0"/>
              <w:rPr>
                <w:sz w:val="20"/>
                <w:szCs w:val="20"/>
                <w:color w:val="auto"/>
              </w:rPr>
            </w:pPr>
            <w:r>
              <w:rPr>
                <w:rFonts w:ascii="Arial" w:cs="Arial" w:eastAsia="Arial" w:hAnsi="Arial"/>
                <w:sz w:val="14"/>
                <w:szCs w:val="14"/>
                <w:color w:val="auto"/>
              </w:rPr>
              <w:t>Marc H. Rubinstein(9)</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220" w:type="dxa"/>
            <w:vAlign w:val="bottom"/>
          </w:tcPr>
          <w:p>
            <w:pPr>
              <w:spacing w:after="0"/>
              <w:rPr>
                <w:sz w:val="24"/>
                <w:szCs w:val="2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286,279</w:t>
            </w:r>
          </w:p>
        </w:tc>
        <w:tc>
          <w:tcPr>
            <w:tcW w:w="1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11,847</w:t>
            </w:r>
          </w:p>
        </w:tc>
        <w:tc>
          <w:tcPr>
            <w:tcW w:w="0" w:type="dxa"/>
            <w:vAlign w:val="bottom"/>
          </w:tcPr>
          <w:p>
            <w:pPr>
              <w:spacing w:after="0"/>
              <w:rPr>
                <w:sz w:val="1"/>
                <w:szCs w:val="1"/>
                <w:color w:val="auto"/>
              </w:rPr>
            </w:pPr>
          </w:p>
        </w:tc>
      </w:tr>
      <w:tr>
        <w:trPr>
          <w:trHeight w:val="172"/>
        </w:trPr>
        <w:tc>
          <w:tcPr>
            <w:tcW w:w="3840" w:type="dxa"/>
            <w:vAlign w:val="bottom"/>
            <w:gridSpan w:val="3"/>
          </w:tcPr>
          <w:p>
            <w:pPr>
              <w:spacing w:after="0"/>
              <w:rPr>
                <w:sz w:val="20"/>
                <w:szCs w:val="20"/>
                <w:color w:val="auto"/>
              </w:rPr>
            </w:pPr>
            <w:r>
              <w:rPr>
                <w:rFonts w:ascii="Arial" w:cs="Arial" w:eastAsia="Arial" w:hAnsi="Arial"/>
                <w:sz w:val="14"/>
                <w:szCs w:val="14"/>
                <w:color w:val="auto"/>
                <w:w w:val="87"/>
              </w:rPr>
              <w:t>Senior Vice President and General Counsel of Wynn Resorts Holdings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113,708</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-2303780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-2303780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-1960880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-1960880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-1960880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-1960880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-1960880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-1960880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-1960880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-1960880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-1960880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-1960880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-1960880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-1960880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85"/>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Stephen A. Wynn served as managing member of Valvino from its inception to September 2002 and has served as Chief Executive Officer and President of Wynn Resorts Holdings since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Represents (i) salary of a driver whom we employ for Stephen A. Wynn's business and personal use and (ii) accounting services.</w:t>
      </w:r>
    </w:p>
    <w:p>
      <w:pPr>
        <w:jc w:val="both"/>
        <w:ind w:left="540" w:right="120" w:hanging="532"/>
        <w:spacing w:after="0" w:line="183" w:lineRule="auto"/>
        <w:tabs>
          <w:tab w:leader="none" w:pos="540" w:val="left"/>
        </w:tabs>
        <w:numPr>
          <w:ilvl w:val="0"/>
          <w:numId w:val="85"/>
        </w:numPr>
        <w:rPr>
          <w:rFonts w:ascii="Arial" w:cs="Arial" w:eastAsia="Arial" w:hAnsi="Arial"/>
          <w:sz w:val="22"/>
          <w:szCs w:val="22"/>
          <w:color w:val="auto"/>
          <w:vertAlign w:val="subscript"/>
        </w:rPr>
      </w:pPr>
      <w:r>
        <w:rPr>
          <w:rFonts w:ascii="Arial" w:cs="Arial" w:eastAsia="Arial" w:hAnsi="Arial"/>
          <w:sz w:val="12"/>
          <w:szCs w:val="12"/>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2"/>
          <w:szCs w:val="22"/>
          <w:color w:val="auto"/>
          <w:vertAlign w:val="subscript"/>
        </w:rPr>
      </w:pP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Mr. Schorr was employed by Valvino from June 1, 2000 until his employment with Wynn Resorts Holdings commenced on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Kenneth R. Wynn's employment with Wynn Design &amp; Development commenced on June 1, 2000.</w:t>
      </w:r>
    </w:p>
    <w:p>
      <w:pPr>
        <w:ind w:left="540" w:hanging="532"/>
        <w:spacing w:after="0" w:line="187" w:lineRule="auto"/>
        <w:tabs>
          <w:tab w:leader="none" w:pos="540" w:val="left"/>
        </w:tabs>
        <w:numPr>
          <w:ilvl w:val="0"/>
          <w:numId w:val="85"/>
        </w:numPr>
        <w:rPr>
          <w:rFonts w:ascii="Arial" w:cs="Arial" w:eastAsia="Arial" w:hAnsi="Arial"/>
          <w:sz w:val="12"/>
          <w:szCs w:val="12"/>
          <w:color w:val="auto"/>
          <w:vertAlign w:val="subscript"/>
        </w:rPr>
      </w:pPr>
      <w:r>
        <w:rPr>
          <w:rFonts w:ascii="Arial" w:cs="Arial" w:eastAsia="Arial" w:hAnsi="Arial"/>
          <w:sz w:val="8"/>
          <w:szCs w:val="8"/>
          <w:color w:val="auto"/>
        </w:rPr>
        <w:t>Mr. Strzemp was employed by Valvino from November 1, 2000 until his employment with Wynn Resorts Holdings commenced on April 1, 2001.</w:t>
      </w:r>
    </w:p>
    <w:p>
      <w:pPr>
        <w:ind w:left="540" w:hanging="532"/>
        <w:spacing w:after="0" w:line="197" w:lineRule="auto"/>
        <w:tabs>
          <w:tab w:leader="none" w:pos="540" w:val="left"/>
        </w:tabs>
        <w:numPr>
          <w:ilvl w:val="0"/>
          <w:numId w:val="85"/>
        </w:numPr>
        <w:rPr>
          <w:rFonts w:ascii="Arial" w:cs="Arial" w:eastAsia="Arial" w:hAnsi="Arial"/>
          <w:sz w:val="10"/>
          <w:szCs w:val="10"/>
          <w:color w:val="auto"/>
          <w:vertAlign w:val="subscript"/>
        </w:rPr>
      </w:pPr>
      <w:r>
        <w:rPr>
          <w:rFonts w:ascii="Arial" w:cs="Arial" w:eastAsia="Arial" w:hAnsi="Arial"/>
          <w:sz w:val="8"/>
          <w:szCs w:val="8"/>
          <w:color w:val="auto"/>
        </w:rPr>
        <w:t>Mr. Butler's employment with Wynn Design &amp; Development commenced on June 1, 2000.</w:t>
      </w:r>
    </w:p>
    <w:p>
      <w:pPr>
        <w:ind w:left="540" w:hanging="532"/>
        <w:spacing w:after="0" w:line="185" w:lineRule="auto"/>
        <w:tabs>
          <w:tab w:leader="none" w:pos="540" w:val="left"/>
        </w:tabs>
        <w:numPr>
          <w:ilvl w:val="0"/>
          <w:numId w:val="85"/>
        </w:numPr>
        <w:rPr>
          <w:rFonts w:ascii="Arial" w:cs="Arial" w:eastAsia="Arial" w:hAnsi="Arial"/>
          <w:sz w:val="18"/>
          <w:szCs w:val="18"/>
          <w:color w:val="auto"/>
          <w:vertAlign w:val="subscript"/>
        </w:rPr>
      </w:pPr>
      <w:r>
        <w:rPr>
          <w:rFonts w:ascii="Arial" w:cs="Arial" w:eastAsia="Arial" w:hAnsi="Arial"/>
          <w:sz w:val="10"/>
          <w:szCs w:val="10"/>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have adopted our 2002 stock incentive plan. The 2002 stock incentive plan provides for the grant of stock awards, incentive stock options and non-qualified stock options to our employees, directors and specified consultants. We intend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board of directors intends to delegate general administrative authority over the 2002 stock incentive plan to our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outstanding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Our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pacing w:after="0" w:line="19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 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certain events occur that result in a change of our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ectPr>
          <w:pgSz w:w="11900" w:h="16838" w:orient="portrait"/>
          <w:cols w:equalWidth="0" w:num="1">
            <w:col w:w="11420"/>
          </w:cols>
          <w:pgMar w:left="240" w:top="131" w:right="239" w:bottom="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We have the authority to amend, alter, suspend or terminate the 2002 stock incentive plan without stockholder approval provided that our doing so does not impair the rights of any optionee or increase the number of shares for which options and stock awards may be granted. We may amend the plan with stockholder approval to increase the number of shares for which options and stock awards may be granted.</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Following the completion of this offering, we intend to grant awards of 189,723 shares of restricted stock under our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employment agreements with Stephen A. Wynn, John Strzemp, Marc D. Schorr, Marc H. Rubinstein, DeRuyter O. Butler and Kenneth R. Wynn.</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Under Stephen A. Wynn's employment agreement, the annual base salary is $1,250,000 for the first year and will increase by $500,000 each year to a maximum of $2,750,000. Under Mr. Schorr's employment agreement, the annual base salary is $750,000 for the first year and $1,000,000 thereafter. The annual base salary is $459,000 for Mr. Strzemp, $360,000 for Mr. Rubinstein, $350,000 for Mr. Butler and $250,000 for Kenneth Wynn.</w:t>
      </w:r>
    </w:p>
    <w:p>
      <w:pPr>
        <w:spacing w:after="0" w:line="16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our board of directors, in its sole and exclusive discretion, may determine. However, after our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contract will end on May 31, 2006. If this offering does not close on or before April 1, 2003, the employment contracts will become null and void. In addition to base salary and bonuses, each executive will participate in all of our employee benefit plans that cover executives, to the extent that the executive is otherwise eligible, will receive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reimbursement for reasonable business expenses (including entertainment, promotional, gift and travel expenses and club memberships) and will be entitled to four weeks paid vacation each year. In addition, we will provide the use of a company car and driver at our sole cost and expense to Stephen A. Wynn. In addition, Stephen A. Wynn, Mr. Schorr and Kenneth Wynn will enter into time-sharing agreements with us covering their personal use of our aircraft, with each such executive paying us the lesser of (1) his and his family's share of the direct costs incurred by us in operating the aircraft or (2) the amount required by applicable federal aviation regulations.</w:t>
      </w:r>
    </w:p>
    <w:p>
      <w:pPr>
        <w:spacing w:after="0" w:line="19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If we terminate the employment of an executive without "cause," or the executive terminates his employment with us upon "good reason" following a "change of control" (as these terms are defined in the employment contracts), we will pay the executive a "separation payment" in a lump sum equal to (a) the executive's base salary for the remainder of the term of the employment contract, but not for less than one 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Internal Revenue Code Section 4999. If the executive is entitled to receive the separation payment, he will also be entitled to continue participating in our health benefits coverage for the period for which the separation payment is payable on the same basis as if he were still employed by us. Except as provided below, if the executive's employment terminates for any other reason before the expiration of the term (i.e., because of the executive's death, disability, discharge for cause or revocation of gaming license), we will be required to pay the executive only accrued but unpaid base salary and vacation pay through his termination date. If Mr. Wynn's employment agreement is terminated as a result of death, complete disability or denial or revocation of Mr. Wynn's gaming license, then we will pay Mr. Wynn a separation payment equal to his base salary for the remainder of the term of the employment contract, but not less than one year, and the bonus that Mr. Wynn received for the preceding bonus period projected over the remainder of the term, but not less than the preceding bonus that was paid, projected over one year.</w:t>
      </w:r>
    </w:p>
    <w:p>
      <w:pPr>
        <w:spacing w:after="0" w:line="18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this offering. Pursuant to this agreement, Mr. Kramer is also prevented from competing with Wynn Resorts Holdings and its affiliates for the one year of his employment.</w:t>
      </w:r>
    </w:p>
    <w:p>
      <w:pPr>
        <w:sectPr>
          <w:pgSz w:w="11900" w:h="16838" w:orient="portrait"/>
          <w:cols w:equalWidth="0" w:num="1">
            <w:col w:w="11400"/>
          </w:cols>
          <w:pgMar w:left="240" w:top="131" w:right="259" w:bottom="0" w:gutter="0" w:footer="0" w:header="0"/>
        </w:sectPr>
      </w:pPr>
    </w:p>
    <w:bookmarkStart w:id="73" w:name="page74"/>
    <w:bookmarkEnd w:id="73"/>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 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8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9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w:t>
      </w:r>
    </w:p>
    <w:p>
      <w:pPr>
        <w:sectPr>
          <w:pgSz w:w="11900" w:h="16891" w:orient="portrait"/>
          <w:cols w:equalWidth="0" w:num="1">
            <w:col w:w="11400"/>
          </w:cols>
          <w:pgMar w:left="240" w:top="131" w:right="259" w:bottom="0" w:gutter="0" w:footer="0" w:header="0"/>
        </w:sectPr>
      </w:pPr>
    </w:p>
    <w:bookmarkStart w:id="74" w:name="page75"/>
    <w:bookmarkEnd w:id="74"/>
    <w:p>
      <w:pPr>
        <w:ind w:right="180"/>
        <w:spacing w:after="0" w:line="259" w:lineRule="auto"/>
        <w:rPr>
          <w:sz w:val="20"/>
          <w:szCs w:val="20"/>
          <w:color w:val="auto"/>
        </w:rPr>
      </w:pPr>
      <w:r>
        <w:rPr>
          <w:rFonts w:ascii="Arial" w:cs="Arial" w:eastAsia="Arial" w:hAnsi="Arial"/>
          <w:sz w:val="18"/>
          <w:szCs w:val="18"/>
          <w:color w:val="auto"/>
        </w:rPr>
        <w:t>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240" w:firstLine="351"/>
        <w:spacing w:after="0" w:line="302" w:lineRule="auto"/>
        <w:rPr>
          <w:sz w:val="20"/>
          <w:szCs w:val="20"/>
          <w:color w:val="auto"/>
        </w:rPr>
      </w:pPr>
      <w:r>
        <w:rPr>
          <w:rFonts w:ascii="Arial" w:cs="Arial" w:eastAsia="Arial" w:hAnsi="Arial"/>
          <w:sz w:val="15"/>
          <w:szCs w:val="15"/>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Aruze USA, before transferring his or its shares to any person other than a permitted transferee, must first allow the other parties to the agreement to participate in such transfer on the same terms and conditions.</w:t>
      </w:r>
    </w:p>
    <w:p>
      <w:pPr>
        <w:spacing w:after="0" w:line="19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parties to the agreement have the option to purchase the shares of Wynn Resorts' common stock held by the party undergoing the change in control. Under the agreement, a stockholder may assign these options to Wynn Resorts.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 prior buy-out arrangements under the Valvino operating agreement and under the stockholders agreement between Mr. Wynn, Aruze USA and Baron Asset Fund were terminated upon the effectiveness of the new agreement.</w:t>
      </w:r>
    </w:p>
    <w:p>
      <w:pPr>
        <w:spacing w:after="0" w:line="172"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indirect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Le 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100" w:firstLine="345"/>
        <w:spacing w:after="0" w:line="294" w:lineRule="auto"/>
        <w:rPr>
          <w:sz w:val="20"/>
          <w:szCs w:val="20"/>
          <w:color w:val="auto"/>
        </w:rPr>
      </w:pPr>
      <w:r>
        <w:rPr>
          <w:rFonts w:ascii="Arial" w:cs="Arial" w:eastAsia="Arial" w:hAnsi="Arial"/>
          <w:sz w:val="16"/>
          <w:szCs w:val="16"/>
          <w:b w:val="1"/>
          <w:bCs w:val="1"/>
          <w:i w:val="1"/>
          <w:iCs w:val="1"/>
          <w:color w:val="auto"/>
        </w:rPr>
        <w:t xml:space="preserve">Art Gallery. </w:t>
      </w:r>
      <w:r>
        <w:rPr>
          <w:rFonts w:ascii="Arial" w:cs="Arial" w:eastAsia="Arial" w:hAnsi="Arial"/>
          <w:sz w:val="16"/>
          <w:szCs w:val="16"/>
          <w:color w:val="auto"/>
        </w:rPr>
        <w:t>We operate an art gallery at the former premises of the Desert Inn Resort &amp; Casino in which we display paintings from The Wynn Collection.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 collection while we exhibited it, which insurance costs for the eight months ended June 30, 2002 were approximately $55,000. In addition, we were obligated to make monthly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42"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w:t>
      </w:r>
    </w:p>
    <w:p>
      <w:pPr>
        <w:sectPr>
          <w:pgSz w:w="11900" w:h="16838" w:orient="portrait"/>
          <w:cols w:equalWidth="0" w:num="1">
            <w:col w:w="11420"/>
          </w:cols>
          <w:pgMar w:left="240" w:top="131" w:right="239" w:bottom="0" w:gutter="0" w:footer="0" w:header="0"/>
        </w:sectPr>
      </w:pPr>
    </w:p>
    <w:bookmarkStart w:id="75" w:name="page76"/>
    <w:bookmarkEnd w:id="75"/>
    <w:p>
      <w:pPr>
        <w:ind w:right="120"/>
        <w:spacing w:after="0" w:line="291" w:lineRule="auto"/>
        <w:rPr>
          <w:sz w:val="20"/>
          <w:szCs w:val="20"/>
          <w:color w:val="auto"/>
        </w:rPr>
      </w:pPr>
      <w:r>
        <w:rPr>
          <w:rFonts w:ascii="Arial" w:cs="Arial" w:eastAsia="Arial" w:hAnsi="Arial"/>
          <w:sz w:val="16"/>
          <w:szCs w:val="16"/>
          <w:color w:val="auto"/>
        </w:rPr>
        <w:t>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4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 by Mr. Wynn. Valvino paid Las Vegas Jet approximately $356,000 for the use of its aircraft during this period. Wynn Macau paid Las Vegas Jet approximately $211,000 for its use of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aircraft during the period following the contribution by Wynn Macau to Valvino and prior to May 30, 2002.</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Reimbursable Costs. </w:t>
      </w:r>
      <w:r>
        <w:rPr>
          <w:rFonts w:ascii="Arial" w:cs="Arial" w:eastAsia="Arial" w:hAnsi="Arial"/>
          <w:sz w:val="18"/>
          <w:szCs w:val="18"/>
          <w:color w:val="auto"/>
        </w:rPr>
        <w:t>We have periodically incurred costs on Mr. Wynn's behalf, including costs with respect to Mr. Wynn's personal use of the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household employees at Mr. Wynn's residence, personal legal fees, construction work at Mr. Wynn's home and other personal purchases. Mr. Wynn fully 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Tax Indemnification Agreement. </w:t>
      </w:r>
      <w:r>
        <w:rPr>
          <w:rFonts w:ascii="Arial" w:cs="Arial" w:eastAsia="Arial" w:hAnsi="Arial"/>
          <w:sz w:val="16"/>
          <w:szCs w:val="16"/>
          <w:color w:val="auto"/>
        </w:rPr>
        <w:t>Mr. Wynn, Aruze USA, Baron Asset Fund, and the Kenneth R. Wynn Family Trust, referred to collectively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 into account by it at applicable corporate tax rates. A reallocation of deductions of Valvino from the period prior to the contribution to the period commencing upon the contribution, or a reallocation of income of Wynn Resorts from the period commencing upon the contribution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w:t>
      </w:r>
    </w:p>
    <w:p>
      <w:pPr>
        <w:sectPr>
          <w:pgSz w:w="11900" w:h="16838" w:orient="portrait"/>
          <w:cols w:equalWidth="0" w:num="1">
            <w:col w:w="11420"/>
          </w:cols>
          <w:pgMar w:left="240" w:top="131" w:right="239" w:bottom="0" w:gutter="0" w:footer="0" w:header="0"/>
        </w:sectPr>
      </w:pPr>
    </w:p>
    <w:bookmarkStart w:id="76" w:name="page77"/>
    <w:bookmarkEnd w:id="76"/>
    <w:p>
      <w:pPr>
        <w:ind w:right="680"/>
        <w:spacing w:after="0" w:line="268" w:lineRule="auto"/>
        <w:rPr>
          <w:sz w:val="20"/>
          <w:szCs w:val="20"/>
          <w:color w:val="auto"/>
        </w:rPr>
      </w:pPr>
      <w:r>
        <w:rPr>
          <w:rFonts w:ascii="Arial" w:cs="Arial" w:eastAsia="Arial" w:hAnsi="Arial"/>
          <w:sz w:val="18"/>
          <w:szCs w:val="18"/>
          <w:color w:val="auto"/>
        </w:rPr>
        <w:t>for the period prior to the contribution of the Valvino membership interests. Any payment made pursuant to the agreement by Wynn Resorts or any of its subsidiaries to the Valvino members may be non-deductible for income tax purposes.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Management Agreement. </w:t>
      </w:r>
      <w:r>
        <w:rPr>
          <w:rFonts w:ascii="Arial" w:cs="Arial" w:eastAsia="Arial" w:hAnsi="Arial"/>
          <w:sz w:val="16"/>
          <w:szCs w:val="16"/>
          <w:color w:val="auto"/>
        </w:rPr>
        <w:t>Wynn Resorts will enter into a management agreement with the restricted entities to provide management and consulting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Valvino and its subsidiaries.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 Discussion &amp; Analysis of Financial Condition and Results of Operations—Liquidity and Capital Resources—Material Transactions Affecting Liquidity and Capital Resources."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this offering and a joint book-running manager in the offering of the second mortgage notes by Wynn Las Vegas and Wynn Capital. In addition, affiliates of Dresdner Kleinwort Wasserstein may participate in the credit facilities and/or FF&amp;E facility.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On June 3, 2002, and in preparation for this offering,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63,685,000 shares of common stock outstanding after completion of this offering.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4"/>
              </w:rPr>
              <w:t>Beneficial</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4"/>
              </w:rPr>
              <w:t>Beneficial</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97"/>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Ownership of</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tcPr>
          <w:p>
            <w:pPr>
              <w:jc w:val="center"/>
              <w:ind w:left="492"/>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89"/>
              </w:rPr>
              <w:t>Before Offering</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7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Percent</w:t>
            </w:r>
          </w:p>
        </w:tc>
        <w:tc>
          <w:tcPr>
            <w:tcW w:w="420" w:type="dxa"/>
            <w:vAlign w:val="bottom"/>
          </w:tcPr>
          <w:p>
            <w:pPr>
              <w:spacing w:after="0"/>
              <w:rPr>
                <w:sz w:val="23"/>
                <w:szCs w:val="23"/>
                <w:color w:val="auto"/>
              </w:rPr>
            </w:pPr>
          </w:p>
        </w:tc>
        <w:tc>
          <w:tcPr>
            <w:tcW w:w="156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260" w:type="dxa"/>
            <w:vAlign w:val="bottom"/>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18,972,299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Kenneth R. Wynn(4)</w:t>
            </w:r>
          </w:p>
        </w:tc>
        <w:tc>
          <w:tcPr>
            <w:tcW w:w="1260" w:type="dxa"/>
            <w:vAlign w:val="bottom"/>
          </w:tcPr>
          <w:p>
            <w:pPr>
              <w:jc w:val="right"/>
              <w:spacing w:after="0"/>
              <w:rPr>
                <w:sz w:val="20"/>
                <w:szCs w:val="20"/>
                <w:color w:val="auto"/>
              </w:rPr>
            </w:pPr>
            <w:r>
              <w:rPr>
                <w:rFonts w:ascii="Arial" w:cs="Arial" w:eastAsia="Arial" w:hAnsi="Arial"/>
                <w:sz w:val="18"/>
                <w:szCs w:val="18"/>
                <w:color w:val="auto"/>
              </w:rPr>
              <w:t>58,317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58,317</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2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92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All Directors and Executive Officers as a Group(5)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38,002,915</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-2387600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-2387600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-2387600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-2387600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-2139315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-2139315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-2139315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-2139315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-2139315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-2139315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-2139315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-2139315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-2139315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400" w:hanging="532"/>
        <w:spacing w:after="0" w:line="186" w:lineRule="auto"/>
        <w:tabs>
          <w:tab w:leader="none" w:pos="540" w:val="left"/>
        </w:tabs>
        <w:numPr>
          <w:ilvl w:val="0"/>
          <w:numId w:val="92"/>
        </w:numPr>
        <w:rPr>
          <w:rFonts w:ascii="Arial" w:cs="Arial" w:eastAsia="Arial" w:hAnsi="Arial"/>
          <w:sz w:val="27"/>
          <w:szCs w:val="27"/>
          <w:color w:val="auto"/>
          <w:vertAlign w:val="subscript"/>
        </w:rPr>
      </w:pPr>
      <w:r>
        <w:rPr>
          <w:rFonts w:ascii="Arial" w:cs="Arial" w:eastAsia="Arial" w:hAnsi="Arial"/>
          <w:sz w:val="14"/>
          <w:szCs w:val="14"/>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w:t>
      </w:r>
    </w:p>
    <w:p>
      <w:pPr>
        <w:spacing w:after="0" w:line="73" w:lineRule="exact"/>
        <w:rPr>
          <w:rFonts w:ascii="Arial" w:cs="Arial" w:eastAsia="Arial" w:hAnsi="Arial"/>
          <w:sz w:val="27"/>
          <w:szCs w:val="27"/>
          <w:color w:val="auto"/>
          <w:vertAlign w:val="subscript"/>
        </w:rPr>
      </w:pPr>
    </w:p>
    <w:p>
      <w:pPr>
        <w:ind w:left="540" w:right="40" w:hanging="532"/>
        <w:spacing w:after="0" w:line="188" w:lineRule="auto"/>
        <w:tabs>
          <w:tab w:leader="none" w:pos="540" w:val="left"/>
        </w:tabs>
        <w:numPr>
          <w:ilvl w:val="0"/>
          <w:numId w:val="92"/>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ectPr>
          <w:pgSz w:w="11900" w:h="16838" w:orient="portrait"/>
          <w:cols w:equalWidth="0" w:num="1">
            <w:col w:w="11420"/>
          </w:cols>
          <w:pgMar w:left="240" w:top="131" w:right="239" w:bottom="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20"/>
          </w:cols>
          <w:pgMar w:left="240" w:top="131" w:right="239" w:bottom="0" w:gutter="0" w:footer="0" w:header="0"/>
          <w:type w:val="continuous"/>
        </w:sectPr>
      </w:pPr>
    </w:p>
    <w:bookmarkStart w:id="77" w:name="page78"/>
    <w:bookmarkEnd w:id="77"/>
    <w:p>
      <w:pPr>
        <w:ind w:left="540" w:right="220" w:hanging="532"/>
        <w:spacing w:after="0" w:line="186" w:lineRule="auto"/>
        <w:tabs>
          <w:tab w:leader="none" w:pos="540" w:val="left"/>
        </w:tabs>
        <w:numPr>
          <w:ilvl w:val="0"/>
          <w:numId w:val="93"/>
        </w:numPr>
        <w:rPr>
          <w:rFonts w:ascii="Arial" w:cs="Arial" w:eastAsia="Arial" w:hAnsi="Arial"/>
          <w:sz w:val="24"/>
          <w:szCs w:val="24"/>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Aruze USA's address is 745 Grier Drive, Las Vegas, Nevada 89119. Aruze USA is a subsidiary of Aruze Corp., of which Kazuo Okada owns a controlling interest. Each of Aruze USA, Aruze Corp. and Mr. Okada may be deemed to have beneficial ownership of these shares.</w:t>
      </w:r>
    </w:p>
    <w:p>
      <w:pPr>
        <w:ind w:left="540" w:hanging="532"/>
        <w:spacing w:after="0" w:line="198" w:lineRule="auto"/>
        <w:tabs>
          <w:tab w:leader="none" w:pos="540" w:val="left"/>
        </w:tabs>
        <w:numPr>
          <w:ilvl w:val="0"/>
          <w:numId w:val="93"/>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71" w:lineRule="exact"/>
        <w:rPr>
          <w:rFonts w:ascii="Arial" w:cs="Arial" w:eastAsia="Arial" w:hAnsi="Arial"/>
          <w:sz w:val="27"/>
          <w:szCs w:val="27"/>
          <w:color w:val="auto"/>
          <w:vertAlign w:val="subscript"/>
        </w:rPr>
      </w:pPr>
    </w:p>
    <w:p>
      <w:pPr>
        <w:ind w:left="540" w:right="240" w:hanging="532"/>
        <w:spacing w:after="0" w:line="186" w:lineRule="auto"/>
        <w:tabs>
          <w:tab w:leader="none" w:pos="540" w:val="left"/>
        </w:tabs>
        <w:numPr>
          <w:ilvl w:val="0"/>
          <w:numId w:val="93"/>
        </w:numPr>
        <w:rPr>
          <w:rFonts w:ascii="Arial" w:cs="Arial" w:eastAsia="Arial" w:hAnsi="Arial"/>
          <w:sz w:val="24"/>
          <w:szCs w:val="24"/>
          <w:color w:val="auto"/>
          <w:vertAlign w:val="subscript"/>
        </w:rPr>
      </w:pPr>
      <w:r>
        <w:rPr>
          <w:rFonts w:ascii="Arial" w:cs="Arial" w:eastAsia="Arial" w:hAnsi="Arial"/>
          <w:sz w:val="12"/>
          <w:szCs w:val="12"/>
          <w:color w:val="auto"/>
        </w:rPr>
        <w:t>Includes shares held by Stephen A. Wynn, shares held by Aruze USA of which Kazuo Okada may be deemed to have beneficial ownership and shares held by the Kenneth R. Wynn Family Trust of which Kenneth Wynn may be deemed to have beneficial ownership.</w:t>
      </w:r>
    </w:p>
    <w:p>
      <w:pPr>
        <w:spacing w:after="0" w:line="195" w:lineRule="exact"/>
        <w:rPr>
          <w:sz w:val="20"/>
          <w:szCs w:val="20"/>
          <w:color w:val="auto"/>
        </w:rPr>
      </w:pPr>
    </w:p>
    <w:p>
      <w:pPr>
        <w:ind w:right="100" w:firstLine="345"/>
        <w:spacing w:after="0" w:line="284"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Upon the completion of the offering, we intend to grant awards of 189,723 shares of restricted stock under our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plan to each of the following employees: DeRuyter O. Butler, W. Todd Nisbet, Marc D. Schorr, John Strzemp, Roger P. Thomas and Kenneth R. Wynn. The restricted stock will vest in November 2004 as to Mr. Strzemp, in May 2005 as to Mr. Schorr and Kenneth R. Wynn, in May 2006 as to Mr. Butler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also intend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us in another venue or, if opened, the complete run of such other show has been cancelled due to any act or omission of Mr. Dragone.</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 approval, including the approval of significant corporate transactions. The stockholders agreement will continue to be in effect after the completion of this offering. See "Certain Relationships and Related Transactions—Stockholders Agreement."</w:t>
      </w:r>
    </w:p>
    <w:p>
      <w:pPr>
        <w:spacing w:after="0" w:line="17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Buy-Out of Aruze USA Stock. </w:t>
      </w:r>
      <w:r>
        <w:rPr>
          <w:rFonts w:ascii="Arial" w:cs="Arial" w:eastAsia="Arial" w:hAnsi="Arial"/>
          <w:sz w:val="18"/>
          <w:szCs w:val="18"/>
          <w:color w:val="auto"/>
        </w:rPr>
        <w:t>Mr. Wynn, Kazuo Okada, Aruze USA, Aruze Corp. and Wynn Resorts have entered into arrangements which provide that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Business—The Nevada Gaming Commission may require the disposition of shares of certain shareholders of Wynn Resorts in a manner that may cause us to incur debt or disrupt our stock price" and "Regulation and Licensing—Redemption of Securities Owned by an Unsuitable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authorized to issue 400,000,000 shares of common stock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of October 1, 2002, there were 40,000,000 shares of common stock outstanding, which were held of record by five stockholders. 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ectPr>
          <w:pgSz w:w="11900" w:h="16838" w:orient="portrait"/>
          <w:cols w:equalWidth="0" w:num="1">
            <w:col w:w="11420"/>
          </w:cols>
          <w:pgMar w:left="240" w:top="318" w:right="239" w:bottom="140" w:gutter="0" w:footer="0" w:header="0"/>
        </w:sectPr>
      </w:pPr>
    </w:p>
    <w:bookmarkStart w:id="78" w:name="page79"/>
    <w:bookmarkEnd w:id="78"/>
    <w:p>
      <w:pPr>
        <w:ind w:right="60" w:firstLine="348"/>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0"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 and Prohibitions on the Receipt of Dividends, the Exercise of Voting or Other Rights or the Receipt of Other Remuneration</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252"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exercising voting or other rights conferred by its capital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that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74"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define "ownership" or "control" to mean ownership of record, beneficial ownership as defined in Rule 13d-3 of the Securities and Exchange Commission or the power to direct and manage, by agreement, contract, agency or other manner, the management or policies of a person or the disposition of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and, if not, as Wynn Resorts elects.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252"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ectPr>
          <w:pgSz w:w="11900" w:h="16838" w:orient="portrait"/>
          <w:cols w:equalWidth="0" w:num="1">
            <w:col w:w="11380"/>
          </w:cols>
          <w:pgMar w:left="240" w:top="131" w:right="279" w:bottom="0" w:gutter="0" w:footer="0" w:header="0"/>
        </w:sectPr>
      </w:pPr>
    </w:p>
    <w:bookmarkStart w:id="79" w:name="page80"/>
    <w:bookmarkEnd w:id="79"/>
    <w:p>
      <w:pPr>
        <w:ind w:right="60" w:firstLine="348"/>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66 2/3% of the outstanding voting power, voting as a single class.</w:t>
      </w:r>
    </w:p>
    <w:p>
      <w:pPr>
        <w:spacing w:after="0" w:line="16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i w:val="1"/>
          <w:iCs w:val="1"/>
          <w:color w:val="auto"/>
        </w:rPr>
        <w:t>Classified Board of Directors</w:t>
      </w:r>
      <w:r>
        <w:rPr>
          <w:rFonts w:ascii="Arial" w:cs="Arial" w:eastAsia="Arial" w:hAnsi="Arial"/>
          <w:sz w:val="16"/>
          <w:szCs w:val="16"/>
          <w:color w:val="auto"/>
        </w:rPr>
        <w:t>. 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66 2/3% of the outstanding stock entitled to vote in the election of directors to amend the classified board provision. As a result, at least two annual meetings of stockholders may be necessary to change a majority of the directors.</w:t>
      </w:r>
    </w:p>
    <w:p>
      <w:pPr>
        <w:spacing w:after="0" w:line="16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supermajority approval of the directors for the sale of all or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Nevada Control Share Laws. </w:t>
      </w:r>
      <w:r>
        <w:rPr>
          <w:rFonts w:ascii="Arial" w:cs="Arial" w:eastAsia="Arial" w:hAnsi="Arial"/>
          <w:sz w:val="16"/>
          <w:szCs w:val="16"/>
          <w:color w:val="auto"/>
        </w:rPr>
        <w:t>Following the closing of this offering, Wynn Resorts may become subject to Nevada's laws which govern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 "controlling interest" of "issuing 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97"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13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Nevada Regulatory Approvals. </w:t>
      </w:r>
      <w:r>
        <w:rPr>
          <w:rFonts w:ascii="Arial" w:cs="Arial" w:eastAsia="Arial" w:hAnsi="Arial"/>
          <w:sz w:val="16"/>
          <w:szCs w:val="16"/>
          <w:color w:val="auto"/>
        </w:rPr>
        <w:t>Once Wynn Resorts becomes a registered company under Nevada's gaming laws, it will be required to obtain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Nevada Gaming Commission with respect to a change in control. In addition, persons seeking to acquire control will be required to meet the requirements of the Nevada gaming authorities before assuming control. Because Desert Inn Improvement Co., an indirect subsidiary of Wynn Resorts, is a public utility under Nevada law, the approval of the Public Utilities Commission of Nevada may be required before any change in the ownership structure of Wynn Resorts. These requirements may have the effect of preventing, delaying or making an acquisition of Wynn Resorts more difficult. See "Regulation and Licensing."</w:t>
      </w:r>
    </w:p>
    <w:p>
      <w:pPr>
        <w:spacing w:after="0" w:line="170"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No Cumulative Voting.</w:t>
      </w:r>
      <w:r>
        <w:rPr>
          <w:sz w:val="20"/>
          <w:szCs w:val="20"/>
          <w:color w:val="auto"/>
        </w:rPr>
        <w:tab/>
      </w:r>
      <w:r>
        <w:rPr>
          <w:rFonts w:ascii="Arial" w:cs="Arial" w:eastAsia="Arial" w:hAnsi="Arial"/>
          <w:sz w:val="16"/>
          <w:szCs w:val="16"/>
          <w:color w:val="auto"/>
        </w:rPr>
        <w:t>Our articles of incorporation and bylaws do not provide for cumulative voting in the election of directors.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the common stock will be Wells Fargo Bank Minnesota, National Association.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CERTAIN INDEBTEDNESS</w:t>
      </w:r>
    </w:p>
    <w:p>
      <w:pPr>
        <w:spacing w:after="0" w:line="231" w:lineRule="exact"/>
        <w:rPr>
          <w:sz w:val="20"/>
          <w:szCs w:val="20"/>
          <w:color w:val="auto"/>
        </w:rPr>
      </w:pPr>
    </w:p>
    <w:p>
      <w:pPr>
        <w:jc w:val="both"/>
        <w:ind w:right="220" w:firstLine="348"/>
        <w:spacing w:after="0" w:line="256"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 References to the "restricted entities" or to the "guarantors" in this prospectus mean Valvino, Wynn Resorts Holdings, Wynn Design &amp; Development, World Travel, Las Vegas Jet, Desert Inn Water Company and Palo, LLC and references to the "issuers" mean Wynn Las Vegas and Wynn Capital.</w:t>
      </w:r>
    </w:p>
    <w:p>
      <w:pPr>
        <w:sectPr>
          <w:pgSz w:w="11900" w:h="16838" w:orient="portrait"/>
          <w:cols w:equalWidth="0" w:num="1">
            <w:col w:w="11420"/>
          </w:cols>
          <w:pgMar w:left="240" w:top="131" w:right="239" w:bottom="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indirect subsidiary, 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210" w:lineRule="exact"/>
        <w:rPr>
          <w:sz w:val="20"/>
          <w:szCs w:val="20"/>
          <w:color w:val="auto"/>
        </w:rPr>
      </w:pPr>
    </w:p>
    <w:p>
      <w:pPr>
        <w:jc w:val="both"/>
        <w:ind w:left="1080" w:right="360" w:hanging="532"/>
        <w:spacing w:after="0" w:line="284"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22" w:lineRule="exact"/>
        <w:rPr>
          <w:rFonts w:ascii="Arial" w:cs="Arial" w:eastAsia="Arial" w:hAnsi="Arial"/>
          <w:sz w:val="16"/>
          <w:szCs w:val="16"/>
          <w:color w:val="auto"/>
        </w:rPr>
      </w:pPr>
    </w:p>
    <w:p>
      <w:pPr>
        <w:ind w:left="1080" w:right="36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When borrowings outstanding under the revolving credit facility equal or exceed $200 million, lead arrangers holding a majority of the commitments of the lead arrangers will have the right to convert $100 to $400 million of the amounts outstanding under the revolving loan to term loans, on the same terms and conditions as those made under the delay draw term loan facility. The commitments of the lenders to make revolving loans to our subsidiaries will be permanently reduced by the amount of any revolving loans that are converted to term loans, and the outstanding loans under the delay draw term loan facility will be correspondingly increased.</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use a total of $713.2 million of the proceeds of the credit facilities to finance development and construction of Le Rêve and to meet our pre-opening expenses and debt service obligations with an additional anticipated $33.8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8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before Le Rêve opens, the borrowings will bear interest at Wynn Las Vegas' election, at either (i) the base rate plus a margin still to be determined for both revolving loans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color w:val="auto"/>
        </w:rPr>
        <w:t>term loans or (ii) the reserve adjusted Eurodollar Rate plus 4.00% per annum for revolving loans or the reserve adjusted Eurodollar Rate plus 4.25% per annum for term loans; and</w:t>
      </w:r>
    </w:p>
    <w:p>
      <w:pPr>
        <w:spacing w:after="0" w:line="199" w:lineRule="exact"/>
        <w:rPr>
          <w:sz w:val="20"/>
          <w:szCs w:val="20"/>
          <w:color w:val="auto"/>
        </w:rPr>
      </w:pPr>
    </w:p>
    <w:p>
      <w:pPr>
        <w:ind w:left="1080" w:right="3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a leverage ratio.</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the revolving credit facility.</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the revolving credit facility will be determined by a grid based on our leverage ratio. For unborrowed amounts under the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the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this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credit facilities, Wynn Las Vegas, its subsidiaries and certain of its affiliates will be considered restricted entities and will guarantee the obligations of Wynn Las Vegas under the credit facilities. In the event that Wynn Resorts incurs certain indebtedness in excess of $10 million in the aggregate or guarantees other specified indebtedness prior to meeting a prescribed leverage ratio and debt rating test, then Wynn Resorts will also be required to guarantee the credit facilities and the second mortgage notes, subject to certain limited exceptions. The obligations of each guarantor under its guarantee will be limited as necessary to reduce the risk that the guarantee would be treated as a fraudulent conveyance under applicable law. Each guarantee of the obligations under the credit facilities will be a senior</w:t>
      </w:r>
    </w:p>
    <w:p>
      <w:pPr>
        <w:sectPr>
          <w:pgSz w:w="11900" w:h="16838" w:orient="portrait"/>
          <w:cols w:equalWidth="0" w:num="1">
            <w:col w:w="11420"/>
          </w:cols>
          <w:pgMar w:left="240" w:top="125" w:right="239" w:bottom="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secured obligation of each guarantor, secured by a security interest in certain of the guarantors' existing and future assets, and will rank pari passu in right of payment with any existing and future senior indebtedness of the guarantors. In addition, each guarantee will rank senior in right of payment to all of the existing and future subordinated indebtedness of each guarantor.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subsidiaries' obligations under the credit facilities will be secured (subject to permitted liens) by:</w:t>
      </w:r>
    </w:p>
    <w:p>
      <w:pPr>
        <w:spacing w:after="0" w:line="199" w:lineRule="exact"/>
        <w:rPr>
          <w:sz w:val="20"/>
          <w:szCs w:val="20"/>
          <w:color w:val="auto"/>
        </w:rPr>
      </w:pPr>
    </w:p>
    <w:p>
      <w:pPr>
        <w:ind w:left="1080" w:hanging="532"/>
        <w:spacing w:after="0" w:line="28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the credit facilities or the indenture governing the second mortgage notes, the lenders under the credit facilities or, if no amounts are outstanding under the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6"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pledge of all equity interests in Wynn Las Vegas, Wynn Capital and the restricted entities to the extent permitted by applicable law;</w:t>
      </w:r>
    </w:p>
    <w:p>
      <w:pPr>
        <w:spacing w:after="0" w:line="45" w:lineRule="exact"/>
        <w:rPr>
          <w:rFonts w:ascii="Arial" w:cs="Arial" w:eastAsia="Arial" w:hAnsi="Arial"/>
          <w:sz w:val="16"/>
          <w:szCs w:val="16"/>
          <w:color w:val="auto"/>
        </w:rPr>
      </w:pPr>
    </w:p>
    <w:p>
      <w:pPr>
        <w:ind w:left="1080" w:right="120" w:hanging="532"/>
        <w:spacing w:after="0" w:line="252"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7" w:lineRule="exact"/>
        <w:rPr>
          <w:rFonts w:ascii="Arial" w:cs="Arial" w:eastAsia="Arial" w:hAnsi="Arial"/>
          <w:sz w:val="18"/>
          <w:szCs w:val="18"/>
          <w:color w:val="auto"/>
        </w:rPr>
      </w:pPr>
    </w:p>
    <w:p>
      <w:pPr>
        <w:jc w:val="both"/>
        <w:ind w:left="1080" w:right="420" w:hanging="532"/>
        <w:spacing w:after="0" w:line="283"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Wynn Las Vegas, Wynn Capital and the restricted entities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2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credit facilities may be secured by liens of equal priority on the same Wynn Resorts assets. The security interests in these assets may be released if certain tests are met.</w:t>
      </w:r>
    </w:p>
    <w:p>
      <w:pPr>
        <w:spacing w:after="0" w:line="19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guarantees;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negative pledges;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liens;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leases;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6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ectPr>
          <w:pgSz w:w="11900" w:h="16838" w:orient="portrait"/>
          <w:cols w:equalWidth="0" w:num="1">
            <w:col w:w="11420"/>
          </w:cols>
          <w:pgMar w:left="240" w:top="131" w:right="239" w:bottom="0" w:gutter="0" w:footer="0" w:header="0"/>
        </w:sectPr>
      </w:pPr>
    </w:p>
    <w:bookmarkStart w:id="82" w:name="page83"/>
    <w:bookmarkEnd w:id="82"/>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Mortgage Notes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Wynn Las Vegas and Wynn Capital, referred to as the issuers, will enter into an indenture among themselves and certain restricted entities and Wells Fargo Bank, National Association as trustee, pursuant to which the issuers will issue second mortgage notes with an aggregate principal amount of $340 million. The second mortgage notes will:</w:t>
      </w:r>
    </w:p>
    <w:p>
      <w:pPr>
        <w:spacing w:after="0" w:line="20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 general obligations of the issuers;</w:t>
      </w:r>
    </w:p>
    <w:p>
      <w:pPr>
        <w:spacing w:after="0" w:line="22" w:lineRule="exact"/>
        <w:rPr>
          <w:rFonts w:ascii="Arial" w:cs="Arial" w:eastAsia="Arial" w:hAnsi="Arial"/>
          <w:sz w:val="18"/>
          <w:szCs w:val="18"/>
          <w:color w:val="auto"/>
        </w:rPr>
      </w:pPr>
    </w:p>
    <w:p>
      <w:pPr>
        <w:ind w:left="1080" w:right="200" w:hanging="532"/>
        <w:spacing w:after="0" w:line="25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 secured by a first priority security interest in the net proceeds of this offering and a second priority security interest in substantially all of the existing and future assets of the issuers and certain other restricted entities and, in certain limited circumstances, may be secured by a security interest in certain of the existing and future assets of Wynn Resorts;</w:t>
      </w:r>
    </w:p>
    <w:p>
      <w:pPr>
        <w:spacing w:after="0" w:line="20" w:lineRule="exact"/>
        <w:rPr>
          <w:rFonts w:ascii="Arial" w:cs="Arial" w:eastAsia="Arial" w:hAnsi="Arial"/>
          <w:sz w:val="18"/>
          <w:szCs w:val="18"/>
          <w:color w:val="auto"/>
        </w:rPr>
      </w:pPr>
    </w:p>
    <w:p>
      <w:pPr>
        <w:jc w:val="both"/>
        <w:ind w:left="1080" w:right="260" w:hanging="532"/>
        <w:spacing w:after="0" w:line="283"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rank equal in right of payment to all of the issuers' existing and future senior indebtedness, including borrowings under the credit facilities and FF&amp;E facility, but will be effectively subordinated to such indebtedness to the extent that senior lenders, including the lenders under the credit facilities and FF&amp;E facility, have security interests in assets that rank prior the security interests securing the second mortgage notes and to the extent of the restrictions on payment and exercise of remedies contained in the intercreditor agreements;</w:t>
      </w:r>
    </w:p>
    <w:p>
      <w:pPr>
        <w:spacing w:after="0" w:line="10" w:lineRule="exact"/>
        <w:rPr>
          <w:rFonts w:ascii="Arial" w:cs="Arial" w:eastAsia="Arial" w:hAnsi="Arial"/>
          <w:sz w:val="16"/>
          <w:szCs w:val="16"/>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rank senior in right of payment to all of the issuers' existing and future subordinated indebtedness;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be unconditionally guaranteed by the guarantors, which may, in certain limited circumstances, include Wynn Resorts. See "—Guarantees."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second mortgage notes will bear interest at a rate that will be established at the time of pricing of the second mortgage notes, which pricing is expected</w:t>
      </w:r>
    </w:p>
    <w:p>
      <w:pPr>
        <w:spacing w:after="0" w:line="3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to occur concurrently with the pricing of the equity offering. Interest will be payable semi-annually in arrears on and , commencing on , 2003. The issuers will make each interest payment to the holders of record of the second mortgage notes on the immediately preceding and .</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jc w:val="both"/>
        <w:ind w:right="20" w:firstLine="341"/>
        <w:spacing w:after="0" w:line="306"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See "—Credit Facilities—Completion Guarantee."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obligations of the issuers under the second mortgage notes will also be jointly and severally guaranteed by the other restricted entities. In the event that Wynn Resorts incurs certain indebtedness in excess of $10 million in the aggregate or provides guarantees of other specified indebtedness prior to meeting a prescribed leverage ratio and debt rating test, then Wynn Resorts will also be required to guarantee the second mortgage notes, subject to certain limited exceptions. The guarantees, including the Wynn Resorts guarantee, may be released if certain tests are met. The obligations of each guarantor under its guarantee will be limited as necessary to reduce the risk that the guarantee would be treated as a fraudulent conveyance under applicable law. Each guarantee of the notes will be a senior obligation of each guarantor, secured by a second priority security interest in substantially all the guarantors' existing and future assets, and will rank equally in right of payment with any existing and future senior indebtedness of the guarantors, but will be effectively subordinated to such indebtedness to the extent that senior lenders, including the lenders under the credit facilities and the FF&amp;E facility, have security interests in assets that rank prior the security interests securing the second mortgage notes. In addition, each guarantee will rank senior in right of payment to all of the existing and future subordinated indebtedness of each guarantor.</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permitted liens and applicable gaming and other law and regulations, the second mortgage notes will be secured by, among other things:</w:t>
      </w:r>
    </w:p>
    <w:p>
      <w:pPr>
        <w:sectPr>
          <w:pgSz w:w="11900" w:h="16838" w:orient="portrait"/>
          <w:cols w:equalWidth="0" w:num="1">
            <w:col w:w="11360"/>
          </w:cols>
          <w:pgMar w:left="240" w:top="145" w:right="299" w:bottom="0" w:gutter="0" w:footer="0" w:header="0"/>
        </w:sectPr>
      </w:pPr>
    </w:p>
    <w:bookmarkStart w:id="83" w:name="page84"/>
    <w:bookmarkEnd w:id="83"/>
    <w:p>
      <w:pPr>
        <w:spacing w:after="0" w:line="14" w:lineRule="exact"/>
        <w:rPr>
          <w:sz w:val="20"/>
          <w:szCs w:val="20"/>
          <w:color w:val="auto"/>
        </w:rPr>
      </w:pPr>
    </w:p>
    <w:p>
      <w:pPr>
        <w:ind w:left="1080" w:right="500" w:hanging="532"/>
        <w:spacing w:after="0" w:line="254"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first priority, exclusive security interest in the net proceeds of the second mortgage notes deposited into escrow pending the closing of this offering;</w:t>
      </w:r>
    </w:p>
    <w:p>
      <w:pPr>
        <w:spacing w:after="0" w:line="21"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second priority security interest in a liquidity reserve account to be funded prior to closing of the credit facilities with cash or short-term, highly-rated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After Wynn Las Vegas and its restricted subsidiaries have met earnings before interest, taxes, depreciation and amortization targets for a period of four full consecutive quarters after Le Rêve opens, any remaining amounts in the liquidity reserve account will be used to reduce the outstanding balance of the revolving credit facility;</w:t>
      </w:r>
    </w:p>
    <w:p>
      <w:pPr>
        <w:spacing w:after="0" w:line="8"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second priority pledge of the equity interests of the issuers and the other restricted entities to the extent permitted by applicable law;</w:t>
      </w:r>
    </w:p>
    <w:p>
      <w:pPr>
        <w:spacing w:after="0" w:line="4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second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 acre parcel, the golf course parcel, and certain other assets upon meeting certain maximum leverage tests, minimum earnings before interest, taxes, depreciation and amortization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requirements and minimum credit ratings after opening, in each case as may be applicable;</w:t>
      </w:r>
    </w:p>
    <w:p>
      <w:pPr>
        <w:spacing w:after="0" w:line="252" w:lineRule="exact"/>
        <w:rPr>
          <w:sz w:val="20"/>
          <w:szCs w:val="20"/>
          <w:color w:val="auto"/>
        </w:rPr>
      </w:pPr>
    </w:p>
    <w:p>
      <w:pPr>
        <w:ind w:left="1080" w:right="160" w:hanging="532"/>
        <w:spacing w:after="0" w:line="254"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second priority security interest in substantially all of the other existing and future assets of the issuers and the restricted entities, and subject to certain exceptions; and</w:t>
      </w:r>
    </w:p>
    <w:p>
      <w:pPr>
        <w:spacing w:after="0" w:line="7"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third priority security interests on the furniture, fixtures and equipment financed with the FF&amp;E facility other than the aircraft. See "—FF&amp;E Facility."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Wynn Resorts pledges assets to secure guarantees of other specified indebtedness prior to meeting prescribed leverage ratio and debt rating tests, then the second mortgage notes may be secured by second priority liens on the same Wynn Resorts' assets. The security interests in these assets may be released if certain tests are met.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100" w:firstLine="341"/>
        <w:spacing w:after="0" w:line="286" w:lineRule="auto"/>
        <w:rPr>
          <w:sz w:val="20"/>
          <w:szCs w:val="20"/>
          <w:color w:val="auto"/>
        </w:rPr>
      </w:pPr>
      <w:r>
        <w:rPr>
          <w:rFonts w:ascii="Arial" w:cs="Arial" w:eastAsia="Arial" w:hAnsi="Arial"/>
          <w:sz w:val="16"/>
          <w:szCs w:val="16"/>
          <w:color w:val="auto"/>
        </w:rPr>
        <w:t>At any time prior to , 2005, the issuers may redeem up to 35% of the aggregate principal amount of the second mortgage notes with the proceeds of certain qualified equity offerings at a specified redemption price; provided that certain conditions are satisfied. The second mortgage notes otherwise</w:t>
      </w:r>
    </w:p>
    <w:p>
      <w:pPr>
        <w:spacing w:after="0"/>
        <w:tabs>
          <w:tab w:leader="none" w:pos="3040" w:val="left"/>
        </w:tabs>
        <w:rPr>
          <w:sz w:val="20"/>
          <w:szCs w:val="20"/>
          <w:color w:val="auto"/>
        </w:rPr>
      </w:pPr>
      <w:r>
        <w:rPr>
          <w:rFonts w:ascii="Arial" w:cs="Arial" w:eastAsia="Arial" w:hAnsi="Arial"/>
          <w:sz w:val="18"/>
          <w:szCs w:val="18"/>
          <w:color w:val="auto"/>
        </w:rPr>
        <w:t>are not redeemable prior to</w:t>
      </w:r>
      <w:r>
        <w:rPr>
          <w:sz w:val="20"/>
          <w:szCs w:val="20"/>
          <w:color w:val="auto"/>
        </w:rPr>
        <w:tab/>
      </w:r>
      <w:r>
        <w:rPr>
          <w:rFonts w:ascii="Arial" w:cs="Arial" w:eastAsia="Arial" w:hAnsi="Arial"/>
          <w:sz w:val="15"/>
          <w:szCs w:val="15"/>
          <w:color w:val="auto"/>
        </w:rPr>
        <w:t>, 2006.</w:t>
      </w:r>
    </w:p>
    <w:p>
      <w:pPr>
        <w:spacing w:after="0" w:line="219"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After , 2006, the issuers may redeem all or a part of the second mortgage notes upon not less than 30 nor more than 60 days' notice, at a premium declining ratably to zero.</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Repurchase at the Option of the Holders of Second Mortgage Notes</w:t>
      </w:r>
    </w:p>
    <w:p>
      <w:pPr>
        <w:spacing w:after="0" w:line="231"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Following the occurrence of a change of control under the second mortgage notes, the issuers will be required to offer to repurchase the second mortgage notes at a purchase price equal to 101% of the principal amount of the second mortgage notes, plus any accrued and unpaid interest to the date of repurchase.</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issuers will be required in certain circumstances to offer to repurchase the second mortgage notes at a purchase price equal to the principal amount of the second mortgage notes, plus any accrued and unpaid interest to the date of repurchase, to the extent of the net cash proceeds of certain asset sales and events of loss.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second mortgage notes may be redeemed by the issuers in certain instances where a gaming authority requires a holder or beneficial owner of the second mortgage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issuers will not be required to make mandatory redemption or sinking fund payments with respect to the second mortgage notes.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second mortgage notes will contain additional affirmative and negative covenants applicable to the issuers and the restricted entities, including, among other things, limitations on:</w:t>
      </w:r>
    </w:p>
    <w:p>
      <w:pPr>
        <w:spacing w:after="0" w:line="199"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issuance of preferred stock;</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merger, consolidation or sale of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designation of restricted and unrestricted subsidiaries;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sale and leaseback transactions;</w:t>
      </w:r>
    </w:p>
    <w:p>
      <w:pPr>
        <w:sectPr>
          <w:pgSz w:w="11900" w:h="16853" w:orient="portrait"/>
          <w:cols w:equalWidth="0" w:num="1">
            <w:col w:w="11420"/>
          </w:cols>
          <w:pgMar w:left="240" w:top="145" w:right="239" w:bottom="0" w:gutter="0" w:footer="0" w:header="0"/>
        </w:sectPr>
      </w:pPr>
    </w:p>
    <w:bookmarkStart w:id="84" w:name="page85"/>
    <w:bookmarkEnd w:id="84"/>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activities of Wynn Capital and the completion guarantor;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issuances and sales of equity interests in wholly owned subsidiaries.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indenture for the second mortgage notes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loss of material contracts, noncompliance with covenants, material breaches of representations and warranties, bankruptcy, judgments in excess of specified amounts, impairment of security interests in collateral, and, prior to final completion of Le Rêve, specified events under the disbursement agreement, subject in some cases to applicable notice provisions and grace periods. See "—Disbursement Agreement." Events of default will apply to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representative of the lenders under the credit facilities and the trustee will enter into an intercreditor agreement that will govern the relations between the note holders and those lenders. The intercreditor agreement will provide that the second mortgage note holders 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have a first priority security interest in, or claim against, the net proceeds of the second mortgage note offering deposited into a secured account pending disbursement of such amounts in accordance with the terms of the disbursement agreement. The lenders under the credit facilities will have a first priority security interest in, or claim against all remaining collateral pledged by the issuers and the restricted entities, other than collateral securing the FF&amp;E facility in which the lenders under the FF&amp;E facility will have a first priority security interest, the lenders under the credit facilities will have a second priority security interest and the second mortgage note holders will have a third priority security interest. Neither the lenders under the credit facilities nor the second mortgage note holders will have a security interest in the aircraft.</w:t>
      </w:r>
    </w:p>
    <w:p>
      <w:pPr>
        <w:spacing w:after="0" w:line="174"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intercreditor agreement will establish certain provisions and agreements concerning the exercise of remedies by the second mortgage note holders and the lenders against their respective collateral. As a result, the second mortgage note holders will have limited rights to force a sale of any of the collateral or otherwise exercise any of the remedies available to a secured creditor in connection with the collateral, other than the collateral in which the credit facilities lenders do not have an interest, unless or until the credit facilities are paid in full. Applicable law, including gaming laws and regulations, will also impose restrictions on the ability of the second mortgage note holders and the lenders under the credit facilities to enforce the remedies of a secured creditor.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representative of the lenders under the credit facilities and the trustee, on the one hand, and the representative of the lenders under the FF&amp;E facility, on the other hand, will enter into an intercreditor agreement that will govern the relations between the credit facilities lenders and the note holders, on the one hand, and the lenders under the FF&amp;E facility on the other hand. This intercreditor agreement will provide that the lenders under the FF&amp;E facility will have a first priority security interest in the furniture, fixture and equipment for Le Rêve that is financed by draws on the FF&amp;E facility. The lenders under the credit facilities will have a second priority security interest in such collateral and the note holders will benefit from a third priority security interest in such collateral, except that neither the lenders under the credit facilities nor the second mortgage note holders will have a security interest in the aircraft.</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FF&amp;E intercreditor agreement will establish certain provisions and agreements concerning the exercise of remedies by the lenders under the credit facilities, the note holders and the lenders under the FF&amp;E facility against the furniture, fixtures and equipment financed by the FF&amp;E facility. Generally speaking, and subject to certain agreed upon stand still periods, the lenders under the FF&amp;E facility will have, until repayment in full of the FF&amp;E facility, the exclusive right to force a sale of any of the FF&amp;E collateral or otherwise exercise any of the remedies available to a secured creditor in connection with the FF&amp;E collateral. Applicable law, including gaming laws and regulations, will also impose restrictions on the ability of the lenders under the FF&amp;E facility, the lenders under the credit facilities and the second mortgage note holders to enforce the remedies of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facility agent, and Deutsche Bank Trust Company Americas, as the disbursement agent. This summary is qualified in its entirety by reference to the contract itself.</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General</w:t>
      </w:r>
    </w:p>
    <w:p>
      <w:pPr>
        <w:sectPr>
          <w:pgSz w:w="11900" w:h="16838" w:orient="portrait"/>
          <w:cols w:equalWidth="0" w:num="1">
            <w:col w:w="11420"/>
          </w:cols>
          <w:pgMar w:left="240" w:top="145" w:right="239" w:bottom="0" w:gutter="0" w:footer="0" w:header="0"/>
          <w:type w:val="continuous"/>
        </w:sectPr>
      </w:pPr>
    </w:p>
    <w:bookmarkStart w:id="85" w:name="page86"/>
    <w:bookmarkEnd w:id="85"/>
    <w:p>
      <w:pPr>
        <w:ind w:right="40" w:firstLine="348"/>
        <w:spacing w:after="0" w:line="312" w:lineRule="auto"/>
        <w:rPr>
          <w:sz w:val="20"/>
          <w:szCs w:val="20"/>
          <w:color w:val="auto"/>
        </w:rPr>
      </w:pPr>
      <w:r>
        <w:rPr>
          <w:rFonts w:ascii="Arial" w:cs="Arial" w:eastAsia="Arial" w:hAnsi="Arial"/>
          <w:sz w:val="15"/>
          <w:szCs w:val="15"/>
          <w:color w:val="auto"/>
        </w:rPr>
        <w:t>The disbursement agreement will set forth our subsidiaries' material obligations to construct and complete Le Rêve and will establish a line item budget and a schedule for construction of Le Rêve. The disbursement agreement also will establish the conditions to, and the relative sequencing of, the making of disbursements from 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Order</w:t>
      </w:r>
    </w:p>
    <w:p>
      <w:pPr>
        <w:spacing w:after="0" w:line="231"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disbursement agreement will set forth the sequencing order in which funds from the various sources will be made available to our subsidiaries. Under the disbursement agreement, our subsidiaries will be required to use all of the equity funds available to them (including proceeds of this offering that are contributed to Wynn Las Vegas) before obtaining any disbursement of debt proceeds.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Pursuant to the disbursement agreement, the construction consultant will confirm that such costs were incurred within the parameters set forth in the approved project budget.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w:t>
      </w:r>
    </w:p>
    <w:p>
      <w:pPr>
        <w:spacing w:after="0" w:line="231"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color w:val="auto"/>
        </w:rPr>
        <w:t>In order to implement the funding of disbursements, the disbursement agreement will call for the establishment of certain accounts, each of which will be, subject to certain exceptions, pledged to the lenders under the credit facilities and the holders of second mortgage notes, except that the secured account holding the proceeds of the second mortgage notes will be pledged to the second mortgage note holders only. Each time Wynn Las Vegas receives funds from its credit facilities, FF&amp;E facility, the second mortgage notes proceeds account or other sources for the development and construction of Le Rêve, those funds must be deposited in the appropriate accounts and, subject to the conditions to disbursement, be disbursed to pay for the development and construction of Le Rêve.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 Conditions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subsidiaries will be required to satisfy conditions precedent before we are permitted to receive funds from the disbursement accounts. These conditions will include, among others:</w:t>
      </w:r>
    </w:p>
    <w:p>
      <w:pPr>
        <w:spacing w:after="0" w:line="199"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780" w:hanging="532"/>
        <w:spacing w:after="0" w:line="25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7" w:lineRule="exact"/>
        <w:rPr>
          <w:rFonts w:ascii="Arial" w:cs="Arial" w:eastAsia="Arial" w:hAnsi="Arial"/>
          <w:sz w:val="18"/>
          <w:szCs w:val="18"/>
          <w:color w:val="auto"/>
        </w:rPr>
      </w:pPr>
    </w:p>
    <w:p>
      <w:pPr>
        <w:ind w:left="1620" w:right="40" w:hanging="532"/>
        <w:spacing w:after="0" w:line="253"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20" w:lineRule="exact"/>
        <w:rPr>
          <w:rFonts w:ascii="Arial" w:cs="Arial" w:eastAsia="Arial" w:hAnsi="Arial"/>
          <w:sz w:val="18"/>
          <w:szCs w:val="18"/>
          <w:color w:val="auto"/>
        </w:rPr>
      </w:pPr>
    </w:p>
    <w:p>
      <w:pPr>
        <w:ind w:left="1620" w:hanging="532"/>
        <w:spacing w:after="0"/>
        <w:tabs>
          <w:tab w:leader="none" w:pos="162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the use of funds in accordance with the budgeted amounts, as adjusted from time to time in accordance with the disbursement agreement,</w:t>
      </w:r>
    </w:p>
    <w:p>
      <w:pPr>
        <w:spacing w:after="0" w:line="57" w:lineRule="exact"/>
        <w:rPr>
          <w:rFonts w:ascii="Arial" w:cs="Arial" w:eastAsia="Arial" w:hAnsi="Arial"/>
          <w:sz w:val="15"/>
          <w:szCs w:val="15"/>
          <w:color w:val="auto"/>
        </w:rPr>
      </w:pPr>
    </w:p>
    <w:p>
      <w:pPr>
        <w:ind w:left="1620" w:right="860" w:hanging="532"/>
        <w:spacing w:after="0" w:line="254"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7" w:lineRule="exact"/>
        <w:rPr>
          <w:rFonts w:ascii="Arial" w:cs="Arial" w:eastAsia="Arial" w:hAnsi="Arial"/>
          <w:sz w:val="18"/>
          <w:szCs w:val="18"/>
          <w:color w:val="auto"/>
        </w:rPr>
      </w:pPr>
    </w:p>
    <w:p>
      <w:pPr>
        <w:ind w:left="1620" w:right="400" w:hanging="532"/>
        <w:spacing w:after="0" w:line="268" w:lineRule="auto"/>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12" w:lineRule="exact"/>
        <w:rPr>
          <w:rFonts w:ascii="Arial" w:cs="Arial" w:eastAsia="Arial" w:hAnsi="Arial"/>
          <w:sz w:val="18"/>
          <w:szCs w:val="18"/>
          <w:color w:val="auto"/>
        </w:rPr>
      </w:pPr>
    </w:p>
    <w:p>
      <w:pPr>
        <w:ind w:left="1080" w:right="36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2" w:lineRule="exact"/>
        <w:rPr>
          <w:rFonts w:ascii="Arial" w:cs="Arial" w:eastAsia="Arial" w:hAnsi="Arial"/>
          <w:sz w:val="18"/>
          <w:szCs w:val="18"/>
          <w:color w:val="auto"/>
        </w:rPr>
      </w:pPr>
    </w:p>
    <w:p>
      <w:pPr>
        <w:ind w:left="1080" w:right="44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subsidiaries' receipt of the governmental approvals then required;</w:t>
      </w:r>
    </w:p>
    <w:p>
      <w:pPr>
        <w:spacing w:after="0" w:line="22" w:lineRule="exact"/>
        <w:rPr>
          <w:rFonts w:ascii="Arial" w:cs="Arial" w:eastAsia="Arial" w:hAnsi="Arial"/>
          <w:sz w:val="18"/>
          <w:szCs w:val="18"/>
          <w:color w:val="auto"/>
        </w:rPr>
      </w:pPr>
    </w:p>
    <w:p>
      <w:pPr>
        <w:ind w:left="1080" w:right="60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subsidiaries' delivery to the disbursement agent of the acknowledgments of payment and lien releases required under the disbursement agreement;</w:t>
      </w:r>
    </w:p>
    <w:p>
      <w:pPr>
        <w:spacing w:after="0" w:line="21" w:lineRule="exact"/>
        <w:rPr>
          <w:rFonts w:ascii="Arial" w:cs="Arial" w:eastAsia="Arial" w:hAnsi="Arial"/>
          <w:sz w:val="18"/>
          <w:szCs w:val="18"/>
          <w:color w:val="auto"/>
        </w:rPr>
      </w:pPr>
    </w:p>
    <w:p>
      <w:pPr>
        <w:jc w:val="both"/>
        <w:ind w:left="1080" w:right="20" w:hanging="532"/>
        <w:spacing w:after="0" w:line="305" w:lineRule="auto"/>
        <w:tabs>
          <w:tab w:leader="none" w:pos="10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Wynn Resorts and its principal stockholders must maintain in full force and effect the existing arrangements among Wynn Resorts' stockholders to facilitate obtaining the gaming license for the Le Rêve project in the event that one of our major stockholders is unable to qualify for such license;</w:t>
      </w:r>
    </w:p>
    <w:p>
      <w:pPr>
        <w:spacing w:after="0" w:line="7" w:lineRule="exact"/>
        <w:rPr>
          <w:rFonts w:ascii="Arial" w:cs="Arial" w:eastAsia="Arial" w:hAnsi="Arial"/>
          <w:sz w:val="15"/>
          <w:szCs w:val="15"/>
          <w:color w:val="auto"/>
        </w:rPr>
      </w:pPr>
    </w:p>
    <w:p>
      <w:pPr>
        <w:ind w:left="1080" w:hanging="532"/>
        <w:spacing w:after="0" w:line="25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Wynn Las Vegas and the general contractor must have entered into subcontracts in respect of specified percentages of the total construction cost of Le Rêve to be managed by each of them, which percentages are to be mutually agreed upon by Wynn Las Vegas and the lenders under the credit facilities;</w:t>
      </w:r>
    </w:p>
    <w:p>
      <w:pPr>
        <w:spacing w:after="0" w:line="20" w:lineRule="exact"/>
        <w:rPr>
          <w:rFonts w:ascii="Arial" w:cs="Arial" w:eastAsia="Arial" w:hAnsi="Arial"/>
          <w:sz w:val="18"/>
          <w:szCs w:val="18"/>
          <w:color w:val="auto"/>
        </w:rPr>
      </w:pPr>
    </w:p>
    <w:p>
      <w:pPr>
        <w:ind w:left="1080" w:right="520" w:hanging="532"/>
        <w:spacing w:after="0" w:line="254"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Prior to borrowing any amounts under the credit facilities or the FF&amp;E facility or receiving any disbursements from the secured account holding the proceeds of the second mortgage notes, we plan to use a portion of the proceeds of this offering, and our other available funds, to commence construction of Le Rêve. As a condition to borrowing under the credit facilities or the FF&amp;E facility or receiving disbursements from the secured account, we will be required to submit</w:t>
      </w:r>
    </w:p>
    <w:p>
      <w:pPr>
        <w:sectPr>
          <w:pgSz w:w="11900" w:h="16838" w:orient="portrait"/>
          <w:cols w:equalWidth="0" w:num="1">
            <w:col w:w="11400"/>
          </w:cols>
          <w:pgMar w:left="240" w:top="131" w:right="259" w:bottom="0" w:gutter="0" w:footer="0" w:header="0"/>
        </w:sectPr>
      </w:pPr>
    </w:p>
    <w:bookmarkStart w:id="86" w:name="page87"/>
    <w:bookmarkEnd w:id="86"/>
    <w:p>
      <w:pPr>
        <w:spacing w:after="0" w:line="19"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evidence acceptable to the construction consultant that the construction of Le Rêve has been completed to that point in accordance with our plans and specifications, on budget and on schedule.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security for the $50 million completion guarantee in favor of the lenders under the credit facilities and the holders of the second mortgage notes by the special purpose subsidiary of Wynn Las Vegas, $50 million of the proceeds of this offering will be contributed to the subsidiary and deposited into the completion guarantee deposit account. See "—Credit Facilities—Guarantees." Any interest which may accrue on amounts deposited in the completion capital account deposit account shall be deposited in the company's funds account until applied as provided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may be applied to pay budgeted costs in accordance with the disbursement agreement. Following the completion and opening of Le Rêve, these funds will be available to meet our subsidiaries' debt service obligations. Upon the occurrence of an event of default under the credit facilities or the indenture governing the second mortgage notes, the lenders under the credit facilities or, if no amounts are outstanding under the credit facilities, the holders of the second mortgage notes, will be permitted to exercise remedies against such sums and apply such sums against the obligations under their respective debt documents. Once Wynn Las Vegas has met prescribed cash flow tests for a full fiscal year after the opening of Le Rêve, any remaining funds shall be used to reduce the principal amount outstanding under our subsidiaries' revolving credit facility, but without reducing the revolving credit facility commitment.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Changes to Construction Budget and Schedule</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36" w:lineRule="exact"/>
        <w:rPr>
          <w:rFonts w:ascii="Arial" w:cs="Arial" w:eastAsia="Arial" w:hAnsi="Arial"/>
          <w:sz w:val="18"/>
          <w:szCs w:val="18"/>
          <w:color w:val="auto"/>
        </w:rPr>
      </w:pPr>
    </w:p>
    <w:p>
      <w:pPr>
        <w:ind w:left="1080" w:right="240" w:hanging="532"/>
        <w:spacing w:after="0" w:line="254"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and</w:t>
      </w:r>
    </w:p>
    <w:p>
      <w:pPr>
        <w:spacing w:after="0" w:line="7"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also have the ability to extend the completion date for a limited period beyond September 30, 2005 due to force majeure events.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39" w:lineRule="exact"/>
        <w:rPr>
          <w:sz w:val="20"/>
          <w:szCs w:val="20"/>
          <w:color w:val="auto"/>
        </w:rPr>
      </w:pPr>
    </w:p>
    <w:p>
      <w:pPr>
        <w:ind w:left="1080" w:right="50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21"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disbursement agreement will also require us to comply with negative covenants. These covenants will limit, among other things, the issuers and the restricted entities' ability to:</w:t>
      </w:r>
    </w:p>
    <w:p>
      <w:pPr>
        <w:spacing w:after="0" w:line="213" w:lineRule="exact"/>
        <w:rPr>
          <w:sz w:val="20"/>
          <w:szCs w:val="20"/>
          <w:color w:val="auto"/>
        </w:rPr>
      </w:pPr>
    </w:p>
    <w:p>
      <w:pPr>
        <w:ind w:left="1080" w:hanging="532"/>
        <w:spacing w:after="0" w:line="254"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waive or terminate any material right under the financing agreements, the construction contract guarantee, other material project documents or any required governmental approval;</w:t>
      </w:r>
    </w:p>
    <w:p>
      <w:pPr>
        <w:spacing w:after="0" w:line="7" w:lineRule="exact"/>
        <w:rPr>
          <w:rFonts w:ascii="Arial" w:cs="Arial" w:eastAsia="Arial" w:hAnsi="Arial"/>
          <w:sz w:val="18"/>
          <w:szCs w:val="18"/>
          <w:color w:val="auto"/>
        </w:rPr>
      </w:pPr>
    </w:p>
    <w:p>
      <w:pPr>
        <w:ind w:left="1080" w:right="20" w:hanging="532"/>
        <w:spacing w:after="0" w:line="284"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8"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is not permitted by a project document; or</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ectPr>
          <w:pgSz w:w="11900" w:h="16857" w:orient="portrait"/>
          <w:cols w:equalWidth="0" w:num="1">
            <w:col w:w="11400"/>
          </w:cols>
          <w:pgMar w:left="240" w:top="131" w:right="259" w:bottom="0" w:gutter="0" w:footer="0" w:header="0"/>
        </w:sectPr>
      </w:pPr>
    </w:p>
    <w:bookmarkStart w:id="87" w:name="page88"/>
    <w:bookmarkEnd w:id="87"/>
    <w:p>
      <w:pPr>
        <w:ind w:left="540"/>
        <w:spacing w:after="0"/>
        <w:rPr>
          <w:sz w:val="20"/>
          <w:szCs w:val="20"/>
          <w:color w:val="auto"/>
        </w:rPr>
      </w:pPr>
      <w:r>
        <w:rPr>
          <w:rFonts w:ascii="Arial" w:cs="Arial" w:eastAsia="Arial" w:hAnsi="Arial"/>
          <w:sz w:val="18"/>
          <w:szCs w:val="18"/>
          <w:b w:val="1"/>
          <w:bCs w:val="1"/>
          <w:color w:val="auto"/>
        </w:rPr>
        <w:t>Exercise of Remedies on Default</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disbursement agreement and the other financing documents, upon the occurrence of an event of default under the credit facilities, the FF&amp;E facility or the second mortgage notes, our subsidiaries' lenders will be permitted to exercise remedies, including one or more of the following:</w:t>
      </w:r>
    </w:p>
    <w:p>
      <w:pPr>
        <w:spacing w:after="0" w:line="153"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36"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will terminate on or about the date on which final completion occurs.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Before this offering, there has been no public trading market for Wynn Resorts' common stock, and we cannot predict the effect, if any, that market sales of shares of Wynn Resorts' common stock or the availability of shares of Wynn Resorts' common stock for sale will have on the market price of Wynn Resorts' common stock prevailing from time to time. Nevertheless, sales of substantial amounts of Wynn Resorts' common stock in the public market could adversely affect the market price of its common stock and could impair Wynn Resorts' future ability to raise capital through the sale of its equity securities.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completion of this offering, Wynn Resorts will have 63,685,000 shares of its common stock outstanding, assuming no exercise of the underwriters' over-allotment option. All of the shares sold in this offering will be freely tradable, except that any shares purchased by Wynn Resorts' affiliates may only be sold in compliance with the applicable limitations of Rule 144. The remaining 40,000,000 shares of Wynn Resorts' common stock are "restricted securities" as defined under Rule 144. Restricted securities may be sold in the public market only if registered or if they qualify for an exemption from registration under Rules 144, 144(k) or 701 under the Securities Act. These rules are summarized below.</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Subject to the provisions of Rules 144, 144(k) and 701, no shares of Wynn Resorts' common stock that are subject to the lock-up agreements will be available for sale in the public market upon the expiration of the 180-day lock-up period. We expect that up to 40,000,000 shares of Wynn Resorts' common stock will become eligible for public sale at prescribed times. We expect that 38,002,915 shares of Wynn Resorts' common stock, which are held by our affiliates, will become eligible for public sale beginning in September 2003.</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our stockholders sell substantial amounts of Wynn Resorts' common stock in the public market following this offering, the prevailing market price of Wynn Resorts' common stock could decline. Furthermore, sales of substantial amounts of Wynn Resorts' common stock in the public market after contractual and legal restrictions lapse could adversely affect the prevailing market price of the common stock and Wynn Resorts' ability to raise equity capital in the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restricted shares for at least one year including the holding period of any prior owner except an affiliate would be entitled to sell within any three-month period a number of shares that does not exceed the greater of:</w:t>
      </w:r>
    </w:p>
    <w:p>
      <w:pPr>
        <w:spacing w:after="0" w:line="208"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1% of the number of shares of common stock then outstanding; or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as reported on all national exchanges during the four calendar weeks preceding the filing of a Form 144 with respect to such sale.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Wynn Resorts.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Rule 144(k), a person who is not deemed to have been Wynn Resorts' affiliate at any time during the three months preceding a sale, and who has beneficially owned the shares proposed to be sold for at least two years including the holding period of any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owner except an affiliate, is entitled to sell such shares without complying with the manner of sale, public information, volume limitation or notice provisions of Rule 144. The Securities Act defines affiliates to be persons that directly, or indirectly through one or more intermediaries, control, or are controlled by, or are under common control with, Wynn Resorts. These persons typically include Wynn Resorts' executive officers and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under Rule 701, any of Wynn Resorts' employees, directors, officers, consultants or advisors who purchase shares from Wynn Resorts under a stock option plan or other written agreement can resell those shares 90 days after the effective date of this offering, subject to lock-up agreements, in reliance on Rule 144, but without complying with the holding period, public information, volume limitation or notice provisions of Rule 144, so long as they are not affiliates of Wynn Resorts. If they are affiliates, they are eligible to resell the shares 90 days after the effective date of this offering, subject to lock-up agreements, in reliance on Rule 144 but without compliance with the holding period contained in Rule 144.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Under the 2002 Stock Incentive Plan</w:t>
      </w:r>
    </w:p>
    <w:p>
      <w:pPr>
        <w:sectPr>
          <w:pgSz w:w="11900" w:h="16838" w:orient="portrait"/>
          <w:cols w:equalWidth="0" w:num="1">
            <w:col w:w="11400"/>
          </w:cols>
          <w:pgMar w:left="240" w:top="125" w:right="259" w:bottom="0" w:gutter="0" w:footer="0" w:header="0"/>
        </w:sectPr>
      </w:pPr>
    </w:p>
    <w:bookmarkStart w:id="88" w:name="page89"/>
    <w:bookmarkEnd w:id="88"/>
    <w:p>
      <w:pPr>
        <w:ind w:right="40" w:firstLine="351"/>
        <w:spacing w:after="0" w:line="306" w:lineRule="auto"/>
        <w:rPr>
          <w:sz w:val="20"/>
          <w:szCs w:val="20"/>
          <w:color w:val="auto"/>
        </w:rPr>
      </w:pPr>
      <w:r>
        <w:rPr>
          <w:rFonts w:ascii="Arial" w:cs="Arial" w:eastAsia="Arial" w:hAnsi="Arial"/>
          <w:sz w:val="16"/>
          <w:szCs w:val="16"/>
          <w:color w:val="auto"/>
        </w:rPr>
        <w:t>Immediately after this offering, Wynn Resorts intends to file a registration statement on Form S-8 under the Securities Act covering shares of common stock reserved for issuance under its 2002 stock incentive plan. Shares registered under that registration statement will, upon the optionee's exercise and depending on vesting provisions and Rule 144 volume limitations applicable to Wynn Resorts' affiliates, be available for resale in the public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Resorts, all of its officers and directors and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Wynn Resorts' common stock or any equity securities convertible into or exercisable or exchangeable for shares of Wynn Resorts' common stock; or enter into any swap or other arrangement that transfers to another, in whole or in part, any economic consequences of ownership of Wynn Resorts' common stock during the period ending 180 days after the date of this prospectus without the prior written consent of Deutsche Bank Securities Inc., Bear, Stearns &amp; Co. Inc. and Banc of America Securities LLC, on behalf of the underwriters. Deutsche Bank Securities Inc., Bear, Stearns &amp; Co. Inc. and Banc of America Securities LLC have advised Wynn Resorts that they have no present intention to release any shares subject to lockup agreements. In considering whether to release any shares subject to a lockup agreement, Deutsche Bank Securities Inc., Bear, Stearns &amp; Co. Inc. and Banc of America Securities LLC would consider, among other factors, the particular circumstances surrounding the request, including, but not limited to, the number of shares to be released, the effect of the released shares on the market for Wynn Resorts' common stock and the hardship of the person requesting the waiver.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TAX CONSIDERATIONS FOR NON-U.S. HOLDERS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following is a general discussion of certain U.S. federal income and estate tax consequences of the ownership and disposition of Wynn Resorts' common stock by a person that is not a "United States person" for U.S.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U.S. federal income taxation regardless of its source, or a trust if (1) a U.S. court is able to exercise primary supervision over the trust's administration and (2) one or more United States persons have the authority to control all of the trust's substantial decisions. This discussion does not consider specific facts and circumstances that may be relevant to any particular non-U.S. holder's tax position. Special rules may apply to certain non-U.S. holders that are subject to special treatment under the Internal Revenue Code of 1986, as amended, such as dealers in securities, banks, insurance companies, tax-exempt organizations, persons holding their shares as part of a "straddle," "hedge," or "conversion transaction," persons who acquire shares as compensation, "controlled foreign corporations," "passive foreign investment companies," "foreign personal holding companies," and corporations that accumulate earnings to avoid U.S. federal income tax. This discussion is limited to certain U.S. federal income tax consequences to beneficial owners of Wynn Resorts' common stock who hold Wynn Resorts' common stock as a capital asset. Except where otherwise explicitly stated, it does not address the tax consequences of any aspect of state, local, or foreign law or the tax consequences to persons who are former citizens or long-term residents of the United States or to persons holding Wynn Resorts' common stock through a partnership or other pass-through entity. If a partnership holds Wynn Resorts' common stock, the tax treatment of a partner generally will depend on the status of the partner and the activities of the partnership.</w:t>
      </w:r>
    </w:p>
    <w:p>
      <w:pPr>
        <w:spacing w:after="0" w:line="176" w:lineRule="exact"/>
        <w:rPr>
          <w:sz w:val="20"/>
          <w:szCs w:val="20"/>
          <w:color w:val="auto"/>
        </w:rPr>
      </w:pPr>
    </w:p>
    <w:p>
      <w:pPr>
        <w:jc w:val="both"/>
        <w:ind w:right="240" w:firstLine="351"/>
        <w:spacing w:after="0" w:line="262" w:lineRule="auto"/>
        <w:rPr>
          <w:sz w:val="20"/>
          <w:szCs w:val="20"/>
          <w:color w:val="auto"/>
        </w:rPr>
      </w:pPr>
      <w:r>
        <w:rPr>
          <w:rFonts w:ascii="Arial" w:cs="Arial" w:eastAsia="Arial" w:hAnsi="Arial"/>
          <w:sz w:val="18"/>
          <w:szCs w:val="18"/>
          <w:b w:val="1"/>
          <w:bCs w:val="1"/>
          <w:color w:val="auto"/>
        </w:rPr>
        <w:t>Accordingly, each non-U.S. holder is urged to consult its own tax advisor with respect to the U.S. federal tax consequences of the ownership and disposition of common stock, as well as any tax consequences that may arise under the laws of any state, municipality, foreign country or other taxing jurisdiction.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Dividends paid to a non-U.S. holder of Wynn Resorts' common stock ordinarily will be subject to a 30% withholding tax, unless the non-U.S. holder</w:t>
      </w:r>
    </w:p>
    <w:p>
      <w:pPr>
        <w:spacing w:after="0" w:line="38" w:lineRule="exact"/>
        <w:rPr>
          <w:sz w:val="20"/>
          <w:szCs w:val="20"/>
          <w:color w:val="auto"/>
        </w:rPr>
      </w:pPr>
    </w:p>
    <w:p>
      <w:pPr>
        <w:ind w:right="40" w:firstLine="8"/>
        <w:spacing w:after="0" w:line="292"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provides us or our paying agent, as the case may be, with a properly executed Form W-8BEN (or a suitable substitute form) claiming a reduction in the rate of withholding pursuant to an applicable income tax treaty; (2) provides us or our paying agent, as the case may be, with a properly executed Form W-8ECI (or a suitable substitute form) providing a U.S. tax identification number and stating the dividends are effectively connected with the beneficial owner's conduct of a trade or business in the United States; or (3) in the case of payments made outside the United States with respect to an offshore account, complies with certain documentary evidence procedures, directly or, under certain circumstances, through an intermediary.</w:t>
      </w:r>
    </w:p>
    <w:p>
      <w:pPr>
        <w:spacing w:after="0" w:line="17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a non-U.S. holder is engaged in a trade or business in the United States and our dividends are effectively connected with the conduct of such trade or business and, where an income tax treaty applies, are attributable to a U.S. permanent establishment, the non-U.S. holder will be subject to federal income tax on the dividends on a net basis. In addition, if the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31"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 non-U.S. holder generally will not be subject to U.S. federal income tax in respect of a gain realized on a disposition of Wynn Resorts' common stock, provided that (1) the gain is not effectively connected with a trade or business conducted by the non-U.S. holder in the United States, (2) in the case of a non-U.S. holder who is an individual, such holder is present in the United States for fewer than 183 days in the taxable year of the sale and other conditions are met and</w:t>
      </w:r>
    </w:p>
    <w:p>
      <w:pPr>
        <w:spacing w:after="0" w:line="1" w:lineRule="exact"/>
        <w:rPr>
          <w:sz w:val="20"/>
          <w:szCs w:val="20"/>
          <w:color w:val="auto"/>
        </w:rPr>
      </w:pPr>
    </w:p>
    <w:p>
      <w:pPr>
        <w:ind w:right="340" w:firstLine="8"/>
        <w:spacing w:after="0" w:line="261" w:lineRule="auto"/>
        <w:tabs>
          <w:tab w:leader="none" w:pos="2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Wynn Resorts is a "United States real property holding corporation" (a "USRPHC"), Wynn Resorts' common stock is regularly traded on an established securities market at the time of disposition and other conditions described below are met.</w:t>
      </w:r>
    </w:p>
    <w:p>
      <w:pPr>
        <w:spacing w:after="0" w:line="19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Because for U.S. federal income tax purposes Wynn Resorts is now and probably will continue to be a USRPHC, a non-U.S. holder could be subject to tax on any gain realized on a disposition of Wynn Resorts' common stock and to 10% withholding (creditable against such tax liability) on the gross amount realized ("FIRPTA tax and withholding"). We believe, however, that Wynn Resorts' common stock will be considered "regularly traded" on an established securities market because we expect it to be traded on The Nasdaq National Market and to be regularly quoted by brokers and/or dealers making a market in Wynn Resorts' common stock. If Wynn Resorts' common stock is regularly traded at the time of the disposition, withholding generally will not be required and, provided that clauses (1) and (2) above are also satisfied, a non-U.S. holder who did not own more than 5% of the value of Wynn Resorts' common stock, actually or constructively, at any time during the shorter of the five-year period preceding the disposition or the non-U.S. holder's holding period, should not be subject to</w:t>
      </w:r>
    </w:p>
    <w:p>
      <w:pPr>
        <w:sectPr>
          <w:pgSz w:w="11900" w:h="16838" w:orient="portrait"/>
          <w:cols w:equalWidth="0" w:num="1">
            <w:col w:w="11400"/>
          </w:cols>
          <w:pgMar w:left="240" w:top="131" w:right="259" w:bottom="0" w:gutter="0" w:footer="0" w:header="0"/>
        </w:sectPr>
      </w:pPr>
    </w:p>
    <w:bookmarkStart w:id="89" w:name="page90"/>
    <w:bookmarkEnd w:id="89"/>
    <w:p>
      <w:pPr>
        <w:jc w:val="both"/>
        <w:spacing w:after="0" w:line="306" w:lineRule="auto"/>
        <w:rPr>
          <w:sz w:val="20"/>
          <w:szCs w:val="20"/>
          <w:color w:val="auto"/>
        </w:rPr>
      </w:pPr>
      <w:r>
        <w:rPr>
          <w:rFonts w:ascii="Arial" w:cs="Arial" w:eastAsia="Arial" w:hAnsi="Arial"/>
          <w:sz w:val="16"/>
          <w:szCs w:val="16"/>
          <w:color w:val="auto"/>
        </w:rPr>
        <w:t>U.S. federal income tax on any gain realized on the disposition of Wynn Resorts' stock. It is possible, however, that, because of its concentrated ownership, Wynn Resorts' common stock will not be considered regularly traded despite being quoted on The Nasdaq National Market and regularly quoted by market makers. As a result, a non-U.S. holder could be subject to FIRPTA tax and withholding on a disposition of the common stock.</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a non-U.S. holder is engaged in the conduct of a trade or business in the United States, gain on the disposition of Wynn Resorts' common stock that is effectively connected with the conduct of such trade or business and, where an income tax treaty applies, is attributable to a U.S. permanent establishment, will be taxed on a net basis at applicable graduated individual or corporate rates. Effectively connected gain of a foreign corporation may, under certain circumstances, be subject as well to a branch profits tax at a rate of 30% or a lower applicable treaty 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231" w:lineRule="exact"/>
        <w:rPr>
          <w:sz w:val="20"/>
          <w:szCs w:val="20"/>
          <w:color w:val="auto"/>
        </w:rPr>
      </w:pPr>
    </w:p>
    <w:p>
      <w:pPr>
        <w:jc w:val="both"/>
        <w:ind w:right="320" w:firstLine="348"/>
        <w:spacing w:after="0" w:line="335" w:lineRule="auto"/>
        <w:rPr>
          <w:sz w:val="20"/>
          <w:szCs w:val="20"/>
          <w:color w:val="auto"/>
        </w:rPr>
      </w:pPr>
      <w:r>
        <w:rPr>
          <w:rFonts w:ascii="Arial" w:cs="Arial" w:eastAsia="Arial" w:hAnsi="Arial"/>
          <w:sz w:val="15"/>
          <w:szCs w:val="15"/>
          <w:color w:val="auto"/>
        </w:rPr>
        <w:t>Wynn Resorts' common stock owned or treated as being owned by a non-U.S. holder at the time of death will be included in that holder's gross estate for U.S. federal estate tax purposes, unless an applicable estate tax treaty provides otherwise. Although the U.S. federal estate tax generally has been repealed for decedents dying in 2010, the repeal expires and, unless extended by new legislation, the U.S. federal estate tax will be reinstated beginning January 1, 2011.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231"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U.S. information reporting on Form 1099 and backup withholding tax should not apply to dividends paid on Wynn Resorts' common stock to a non-U.S. holder, provided that the non-U.S. holder provides Wynn Resorts or its payor, as the case may be, with a properly executed Form W-8BEN (or satisfies certain certification or documentary evidence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requirements for establishing that it is a non-United States person under U.S. Treasury regulations) or otherwise establishes an exemption. Distributions on Wynn Resorts' common stock will, however, be reported to the IRS and to each non-U.S. holder on Form 1042-S.</w:t>
      </w:r>
    </w:p>
    <w:p>
      <w:pPr>
        <w:spacing w:after="0" w:line="186" w:lineRule="exact"/>
        <w:rPr>
          <w:sz w:val="20"/>
          <w:szCs w:val="20"/>
          <w:color w:val="auto"/>
        </w:rPr>
      </w:pPr>
    </w:p>
    <w:p>
      <w:pPr>
        <w:ind w:right="100" w:firstLine="351"/>
        <w:spacing w:after="0" w:line="284" w:lineRule="auto"/>
        <w:rPr>
          <w:sz w:val="20"/>
          <w:szCs w:val="20"/>
          <w:color w:val="auto"/>
        </w:rPr>
      </w:pPr>
      <w:r>
        <w:rPr>
          <w:rFonts w:ascii="Arial" w:cs="Arial" w:eastAsia="Arial" w:hAnsi="Arial"/>
          <w:sz w:val="16"/>
          <w:szCs w:val="16"/>
          <w:color w:val="auto"/>
        </w:rPr>
        <w:t>Information reporting and backup withholding also generally will not apply to a payment of the proceeds of a sale of Wynn Resorts' common stock effected outside the United States by a foreign office of a foreign broker. However, information reporting (but not backup withholding) will apply to a payment of the proceeds of a sale of Wynn Resorts' common stock effected outside the United States by a foreign office of a broker if the broker (1) is a United States person,</w:t>
      </w:r>
    </w:p>
    <w:p>
      <w:pPr>
        <w:spacing w:after="0" w:line="1" w:lineRule="exact"/>
        <w:rPr>
          <w:sz w:val="20"/>
          <w:szCs w:val="20"/>
          <w:color w:val="auto"/>
        </w:rPr>
      </w:pPr>
    </w:p>
    <w:p>
      <w:pPr>
        <w:ind w:right="80" w:firstLine="8"/>
        <w:spacing w:after="0" w:line="287" w:lineRule="auto"/>
        <w:tabs>
          <w:tab w:leader="none" w:pos="24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derives 50% or more of its gross income for certain periods from the conduct of a trade or business in the United States, (3) is a "controlled foreign corporation" as to the United States or (4) is a foreign partnership that, at any time during its taxable year, is 50%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U.S. office of a broker of the proceeds of a sale of Wynn Resorts' common stock will be subject to both backup withholding and information reporting unless the holder certifies its non-U.S. status under penalties of perjury or otherwise establishes an exemption. Pursuant to recent tax legislation the rate of backup withholding tax is currently 30% and will be reduced to 29% on January 1, 2004 and 28% on January 1, 2006. Unless extended by new legislation, however, the 31% backup withholding tax rate will be reinstated beginning January 1, 2011.</w:t>
      </w:r>
    </w:p>
    <w:p>
      <w:pPr>
        <w:spacing w:after="0" w:line="178"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under the backup withholding rules should be allowed as a refund or a credit against the non-U.S. holder's U.S. federal income tax liability provided the required information is furnished to the IRS.</w:t>
      </w:r>
    </w:p>
    <w:p>
      <w:pPr>
        <w:spacing w:after="0" w:line="180"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You are urged to consult your tax advisor in determining the tax consequences to you of the purchase, ownership, and disposition of Wynn Resorts' common stock, including the application to your particular situation of the federal income tax considerations discussed above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Bear, Stearns &amp; Co. Inc. and Banc of America Securities LLC, have agreed to purchase from us the following respective number of shares of common stock at a public offering price less the underwriting discounts and commissions set forth on the cover page of this prospectus:</w:t>
      </w:r>
    </w:p>
    <w:p>
      <w:pPr>
        <w:spacing w:after="0" w:line="156" w:lineRule="exact"/>
        <w:rPr>
          <w:sz w:val="20"/>
          <w:szCs w:val="20"/>
          <w:color w:val="auto"/>
        </w:rPr>
      </w:pPr>
    </w:p>
    <w:p>
      <w:pPr>
        <w:ind w:left="2120"/>
        <w:spacing w:after="0"/>
        <w:tabs>
          <w:tab w:leader="none" w:pos="808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66675</wp:posOffset>
            </wp:positionV>
            <wp:extent cx="456628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566285" cy="21590"/>
                    </a:xfrm>
                    <a:prstGeom prst="rect">
                      <a:avLst/>
                    </a:prstGeom>
                    <a:noFill/>
                  </pic:spPr>
                </pic:pic>
              </a:graphicData>
            </a:graphic>
          </wp:anchor>
        </w:drawing>
      </w:r>
    </w:p>
    <w:p>
      <w:pPr>
        <w:spacing w:after="0" w:line="21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Dresdner Kleinwort Wasserstein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90" w:name="page91"/>
    <w:bookmarkEnd w:id="90"/>
    <w:p>
      <w:pPr>
        <w:ind w:left="2120"/>
        <w:spacing w:after="0"/>
        <w:rPr>
          <w:sz w:val="20"/>
          <w:szCs w:val="20"/>
          <w:color w:val="auto"/>
        </w:rPr>
      </w:pPr>
      <w:r>
        <w:rPr>
          <w:rFonts w:ascii="Arial" w:cs="Arial" w:eastAsia="Arial" w:hAnsi="Arial"/>
          <w:sz w:val="18"/>
          <w:szCs w:val="18"/>
          <w:color w:val="auto"/>
        </w:rPr>
        <w:t>SG Cowen Securities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-125730</wp:posOffset>
            </wp:positionV>
            <wp:extent cx="456247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62475"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70585" cy="21590"/>
                    </a:xfrm>
                    <a:prstGeom prst="rect">
                      <a:avLst/>
                    </a:prstGeom>
                    <a:noFill/>
                  </pic:spPr>
                </pic:pic>
              </a:graphicData>
            </a:graphic>
          </wp:anchor>
        </w:drawing>
      </w:r>
    </w:p>
    <w:p>
      <w:pPr>
        <w:spacing w:after="0" w:line="2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77470</wp:posOffset>
            </wp:positionV>
            <wp:extent cx="87058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7058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have been advised by the representatives of the underwriters that the underwriters propose to offer the shares of common stock to the public at the public</w:t>
      </w:r>
    </w:p>
    <w:p>
      <w:pPr>
        <w:spacing w:after="0" w:line="50" w:lineRule="exact"/>
        <w:rPr>
          <w:sz w:val="20"/>
          <w:szCs w:val="20"/>
          <w:color w:val="auto"/>
        </w:rPr>
      </w:pPr>
    </w:p>
    <w:p>
      <w:pPr>
        <w:spacing w:after="0"/>
        <w:tabs>
          <w:tab w:leader="none" w:pos="9320" w:val="left"/>
        </w:tabs>
        <w:rPr>
          <w:sz w:val="20"/>
          <w:szCs w:val="20"/>
          <w:color w:val="auto"/>
        </w:rPr>
      </w:pPr>
      <w:r>
        <w:rPr>
          <w:rFonts w:ascii="Arial" w:cs="Arial" w:eastAsia="Arial" w:hAnsi="Arial"/>
          <w:sz w:val="18"/>
          <w:szCs w:val="18"/>
          <w:color w:val="auto"/>
        </w:rPr>
        <w:t>offering price set forth on the cover of this prospectus and to dealers at a price that represents a concession not in excess of $[</w:t>
      </w:r>
      <w:r>
        <w:rPr>
          <w:sz w:val="20"/>
          <w:szCs w:val="20"/>
          <w:color w:val="auto"/>
        </w:rPr>
        <w:tab/>
      </w:r>
      <w:r>
        <w:rPr>
          <w:rFonts w:ascii="Arial" w:cs="Arial" w:eastAsia="Arial" w:hAnsi="Arial"/>
          <w:sz w:val="15"/>
          <w:szCs w:val="15"/>
          <w:color w:val="auto"/>
        </w:rPr>
        <w:t>] per share under the public</w:t>
      </w:r>
    </w:p>
    <w:p>
      <w:pPr>
        <w:spacing w:after="0" w:line="9" w:lineRule="exact"/>
        <w:rPr>
          <w:sz w:val="20"/>
          <w:szCs w:val="20"/>
          <w:color w:val="auto"/>
        </w:rPr>
      </w:pPr>
    </w:p>
    <w:p>
      <w:pPr>
        <w:spacing w:after="0"/>
        <w:tabs>
          <w:tab w:leader="none" w:pos="8160" w:val="left"/>
        </w:tabs>
        <w:rPr>
          <w:sz w:val="20"/>
          <w:szCs w:val="20"/>
          <w:color w:val="auto"/>
        </w:rPr>
      </w:pPr>
      <w:r>
        <w:rPr>
          <w:rFonts w:ascii="Arial" w:cs="Arial" w:eastAsia="Arial" w:hAnsi="Arial"/>
          <w:sz w:val="18"/>
          <w:szCs w:val="18"/>
          <w:color w:val="auto"/>
        </w:rPr>
        <w:t>offering price. The underwriters may allow, and these dealers may re-allow, a concession of not more than $[</w:t>
      </w:r>
      <w:r>
        <w:rPr>
          <w:sz w:val="20"/>
          <w:szCs w:val="20"/>
          <w:color w:val="auto"/>
        </w:rPr>
        <w:tab/>
      </w:r>
      <w:r>
        <w:rPr>
          <w:rFonts w:ascii="Arial" w:cs="Arial" w:eastAsia="Arial" w:hAnsi="Arial"/>
          <w:sz w:val="16"/>
          <w:szCs w:val="16"/>
          <w:color w:val="auto"/>
        </w:rPr>
        <w:t>] per share to other dealers. After the initial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representatives of the underwriters may change the offering price and other selling terms.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"WYNN."</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3,552,750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 of the initial public offering price. We have agreed to pay the underwriters the following discounts and commissions, assuming either no exercise or full exercise by the underwriters of the underwriters' over-allotment option: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gridSpan w:val="3"/>
          </w:tcPr>
          <w:p>
            <w:pPr>
              <w:jc w:val="right"/>
              <w:ind w:right="1672"/>
              <w:spacing w:after="0"/>
              <w:rPr>
                <w:sz w:val="20"/>
                <w:szCs w:val="20"/>
                <w:color w:val="auto"/>
              </w:rPr>
            </w:pPr>
            <w:r>
              <w:rPr>
                <w:rFonts w:ascii="Arial" w:cs="Arial" w:eastAsia="Arial" w:hAnsi="Arial"/>
                <w:sz w:val="14"/>
                <w:szCs w:val="14"/>
                <w:b w:val="1"/>
                <w:bCs w:val="1"/>
                <w:color w:val="auto"/>
              </w:rPr>
              <w:t>Total Fees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86"/>
              </w:rPr>
              <w:t>Without Exercise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 per Share</w:t>
            </w:r>
          </w:p>
        </w:tc>
        <w:tc>
          <w:tcPr>
            <w:tcW w:w="162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198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7"/>
              <w:spacing w:after="0"/>
              <w:rPr>
                <w:sz w:val="20"/>
                <w:szCs w:val="20"/>
                <w:color w:val="auto"/>
              </w:rPr>
            </w:pPr>
            <w:r>
              <w:rPr>
                <w:rFonts w:ascii="Arial" w:cs="Arial" w:eastAsia="Arial" w:hAnsi="Arial"/>
                <w:sz w:val="18"/>
                <w:szCs w:val="18"/>
                <w:color w:val="auto"/>
                <w:w w:val="79"/>
              </w:rPr>
              <w:t>$</w:t>
            </w:r>
          </w:p>
        </w:tc>
        <w:tc>
          <w:tcPr>
            <w:tcW w:w="2460" w:type="dxa"/>
            <w:vAlign w:val="bottom"/>
            <w:gridSpan w:val="3"/>
            <w:shd w:val="clear" w:color="auto" w:fill="CCEEFF"/>
          </w:tcPr>
          <w:p>
            <w:pPr>
              <w:jc w:val="right"/>
              <w:ind w:right="18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-655320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-655320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-217805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-217805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-217805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-217805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-217805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-217805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all of our officers and directors and all of our other stockholders, excluding Baron Asset Fund, have agreed not to offer, pledge, sell, contract to sell, sell any option or contract to purchase, purchase any option or contract to sell, grant any option, right or warrant to purchase, lend or otherwise transfer or dispose of, directly or indirectly, any of their shares of our common stock or any equity securities convertible into or exercisable or exchangeable for shares of our common stock; or enter into any swap or other arrangement that transfers to another, in whole or in part, any economic consequences of ownership of our common stock during the period ending 180 days after the date of this prospectus without the prior written consent of Deutsche Bank Securities Inc., Bear, Stearns &amp; Co. Inc. and Banc of America Securities LLC, the representatives on behalf of the underwriters.</w:t>
      </w:r>
    </w:p>
    <w:p>
      <w:pPr>
        <w:spacing w:after="0" w:line="17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70"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86"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4763"/>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10795"/>
                    </a:xfrm>
                    <a:prstGeom prst="rect">
                      <a:avLst/>
                    </a:prstGeom>
                    <a:noFill/>
                  </pic:spPr>
                </pic:pic>
              </a:graphicData>
            </a:graphic>
          </wp:anchor>
        </w:drawing>
        <w:t>the representatives of the underwriters have repurchased shares sold by or for the account of that underwriter in stabilizing or short covering transactions.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97"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300,000 shares of our common stock being sold in this offering for our vendors, employees, family members of employees, customers and other third parties. The number of shares of our common stock available for the sale to the general public will be reduced to the extent these reserved shares are purchased. Any reserved shares not purchased by these persons will be offered by the underwriters to the general public on the same basis as the other shares in this offering.</w:t>
      </w:r>
    </w:p>
    <w:p>
      <w:pPr>
        <w:spacing w:after="0" w:line="167"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joint book-running managers of this offering and may be made available on web sites maintained by other underwriters. The representatives may agree to allocate a number of shares of common stock to underwriters for sale to their online brokerage account holders. The representatives may allocate shares of common stock to underwriters that may make Internet distributions on the same basis as other allocations. In addition, shares of common stock may be sold by the underwriters to securities dealers who may resell shares of common stock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01"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Deutsche Bank Securities Inc., Banc of America Securities LLC, Bear, Stearns &amp; Co. Inc. and an affiliate of Dresdner Kleinwort Wasserstein Securities LLC will act as joint book-running managers in the offering of second mortgage notes by Wynn Las Vegas and Wynn Capital, which is expected to close concurrently with this offering, and will receive certain fees for their services. SG Cowen Securities Corporation and Jefferies &amp; Company, Inc. will also act as underwriters in connection with the offering of second mortgage notes by Wynn Las Vegas and Wynn Capital and will receive certain fees for their services.</w:t>
      </w:r>
    </w:p>
    <w:p>
      <w:pPr>
        <w:spacing w:after="0" w:line="16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Deutsche Bank Trust Company Americas, an affiliate of Deutsche Bank Securities Inc., will act as the sole administrative agent and as a lender under our subsidiaries'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6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J.P. Morgan Securities Inc. will act as joint documentation agent, and J.P. Morgan Chase Bank, an affiliate of J.P. Morgan Securities Inc., will act as a lender under the credit facilities and will receive certain fees for their services. Dresdner Bank A.G., New York branch, an affiliate of Dresdner Kleinwort Wasserstein Securities LLC, will act as arranger and joint documentation agent and as a lender under the credit facilities and will receive certain fees for its services. See "Description of Certain Indebtedness—Credit Facilities."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participate in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Certain Indebtedness—FF&amp;E Facility."</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subsidiaries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The primary factors that will be considered in determining the public offering price include:</w:t>
      </w:r>
    </w:p>
    <w:p>
      <w:pPr>
        <w:spacing w:after="0" w:line="208"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22" w:lineRule="exact"/>
        <w:rPr>
          <w:rFonts w:ascii="Arial" w:cs="Arial" w:eastAsia="Arial" w:hAnsi="Arial"/>
          <w:sz w:val="18"/>
          <w:szCs w:val="18"/>
          <w:color w:val="auto"/>
        </w:rPr>
      </w:pPr>
    </w:p>
    <w:p>
      <w:pPr>
        <w:ind w:left="1080" w:right="700" w:hanging="532"/>
        <w:spacing w:after="0" w:line="254"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It is expected that delivery of the shares will be made against payment therefor on the date specified on the cover page of this prospectus, which will be the fifth business day following the date of pricing of the shares. Under Rule 15c6-1 under the Exchange Act, trades in the secondary market generally are required to settle in three business days, unless the parties to any such trade expressly agree otherwise. Accordingly, purchasers who wish to trade the shares on the date of pricing or the next succeeding four business days will be required by virtue of the fact that the shares initially will settle in five business days to specify an alternate settlement cycle at the time of any such trade to prevent failed settlement. Purchasers of the shares who wish to trade the shares on the date of pricing or the next succeeding four business days should consult their own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ectPr>
          <w:pgSz w:w="11900" w:h="16838" w:orient="portrait"/>
          <w:cols w:equalWidth="0" w:num="1">
            <w:col w:w="11420"/>
          </w:cols>
          <w:pgMar w:left="240" w:top="361" w:right="239" w:bottom="0" w:gutter="0" w:footer="0" w:header="0"/>
        </w:sectPr>
      </w:pPr>
    </w:p>
    <w:bookmarkStart w:id="92" w:name="page93"/>
    <w:bookmarkEnd w:id="92"/>
    <w:p>
      <w:pPr>
        <w:spacing w:after="0" w:line="4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60" w:firstLine="351"/>
        <w:spacing w:after="0" w:line="294" w:lineRule="auto"/>
        <w:rPr>
          <w:sz w:val="20"/>
          <w:szCs w:val="20"/>
          <w:color w:val="auto"/>
        </w:rPr>
      </w:pPr>
      <w:r>
        <w:rPr>
          <w:rFonts w:ascii="Arial" w:cs="Arial" w:eastAsia="Arial" w:hAnsi="Arial"/>
          <w:sz w:val="16"/>
          <w:szCs w:val="16"/>
          <w:color w:val="auto"/>
        </w:rPr>
        <w:t>Selected legal matters in connection with this offering will be passed upon for Wynn Resorts by Irell &amp; Manella LLP, Los Angeles, California and for the underwriters by Latham &amp; Watkins, Los Angeles, California. Certain matters of Nevada law, including the validity of the common stock offered hereby, will be passed upon for us by Schreck Brignone, Las Vegas, Nevada. Certain matters of the law of the Macau Special Administrative Region of the People's Republic of China will be passed upon for Wynn Resorts by A. Correia da Silva, Macau Special Administrative Region of the People's Republic of China. Latham &amp; Watkins is acting as counsel to the underwriters for this offering, the underwriters for the second mortgage notes and the arrangers under the credit facilities.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Resorts has filed with the Securities and Exchange Commission, referred to as the SEC, a registration statement on Form S-1 with respect to the common stock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Resorts to omit various information about Wynn Resorts and its capital stock. For further information with respect to Wynn Resorts and its common stock, we refer you to the registration statement and exhibits and schedules filed as part of the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Resorts files may be read and copied at the SEC's public reference room at 450 Fifth Street, N.W., Washington, D.C. 20549. Please call the SEC at 1-800-SEC-0330 for further information about the public reference room. Wynn Resorts' filings with the SEC are also available to the public from the SEC's Web site at http://www.sec.gov.</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Wynn Resorts does not currently file periodic reports, proxy statements or other information with the SEC. However, upon completion of this offering, Wynn Resorts will become subject to the information and periodic reporting requirements of the Securities Exchange Act, as amended, and, accordingly, will file periodic reports, proxy statements and other information with the SEC. Such periodic reports, proxy statements and other information will be available for inspection and copying at the SEC's public reference room, and the Web site of the SEC referred to above.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574030" cy="2743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57403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ectPr>
          <w:pgSz w:w="11900" w:h="16886" w:orient="portrait"/>
          <w:cols w:equalWidth="0" w:num="1">
            <w:col w:w="11420"/>
          </w:cols>
          <w:pgMar w:left="240" w:top="131" w:right="239" w:bottom="0" w:gutter="0" w:footer="0" w:header="0"/>
        </w:sectPr>
      </w:pPr>
    </w:p>
    <w:bookmarkStart w:id="93" w:name="page94"/>
    <w:bookmarkEnd w:id="9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4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F-2</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F-3</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F-4</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F-5</w:t>
            </w:r>
          </w:p>
        </w:tc>
        <w:tc>
          <w:tcPr>
            <w:tcW w:w="2640" w:type="dxa"/>
            <w:vAlign w:val="bottom"/>
          </w:tcPr>
          <w:p>
            <w:pPr>
              <w:spacing w:after="0"/>
              <w:rPr>
                <w:sz w:val="24"/>
                <w:szCs w:val="24"/>
                <w:color w:val="auto"/>
              </w:rPr>
            </w:pPr>
          </w:p>
        </w:tc>
      </w:tr>
      <w:tr>
        <w:trPr>
          <w:trHeight w:val="431"/>
        </w:trPr>
        <w:tc>
          <w:tcPr>
            <w:tcW w:w="4840" w:type="dxa"/>
            <w:vAlign w:val="bottom"/>
          </w:tcPr>
          <w:p>
            <w:pPr>
              <w:spacing w:after="0"/>
              <w:rPr>
                <w:sz w:val="20"/>
                <w:szCs w:val="20"/>
                <w:color w:val="auto"/>
              </w:rPr>
            </w:pPr>
            <w:r>
              <w:rPr>
                <w:rFonts w:ascii="Arial" w:cs="Arial" w:eastAsia="Arial" w:hAnsi="Arial"/>
                <w:sz w:val="18"/>
                <w:szCs w:val="18"/>
                <w:color w:val="auto"/>
              </w:rPr>
              <w:t>Consolidated Statements of Cash Flows (as restated)</w:t>
            </w:r>
          </w:p>
        </w:tc>
        <w:tc>
          <w:tcPr>
            <w:tcW w:w="6580" w:type="dxa"/>
            <w:vAlign w:val="bottom"/>
            <w:gridSpan w:val="2"/>
          </w:tcPr>
          <w:p>
            <w:pPr>
              <w:ind w:left="3700"/>
              <w:spacing w:after="0"/>
              <w:rPr>
                <w:sz w:val="20"/>
                <w:szCs w:val="20"/>
                <w:color w:val="auto"/>
              </w:rPr>
            </w:pPr>
            <w:r>
              <w:rPr>
                <w:rFonts w:ascii="Arial" w:cs="Arial" w:eastAsia="Arial" w:hAnsi="Arial"/>
                <w:sz w:val="18"/>
                <w:szCs w:val="18"/>
                <w:color w:val="auto"/>
              </w:rPr>
              <w:t>F-6</w:t>
            </w:r>
          </w:p>
        </w:tc>
      </w:tr>
      <w:tr>
        <w:trPr>
          <w:trHeight w:val="43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3940" w:type="dxa"/>
            <w:vAlign w:val="bottom"/>
            <w:shd w:val="clear" w:color="auto" w:fill="CCEEFF"/>
          </w:tcPr>
          <w:p>
            <w:pPr>
              <w:ind w:left="3700"/>
              <w:spacing w:after="0"/>
              <w:rPr>
                <w:sz w:val="20"/>
                <w:szCs w:val="20"/>
                <w:color w:val="auto"/>
              </w:rPr>
            </w:pPr>
            <w:r>
              <w:rPr>
                <w:rFonts w:ascii="Arial" w:cs="Arial" w:eastAsia="Arial" w:hAnsi="Arial"/>
                <w:sz w:val="18"/>
                <w:szCs w:val="18"/>
                <w:color w:val="auto"/>
                <w:w w:val="81"/>
              </w:rPr>
              <w:t>F-8</w:t>
            </w:r>
          </w:p>
        </w:tc>
        <w:tc>
          <w:tcPr>
            <w:tcW w:w="2640" w:type="dxa"/>
            <w:vAlign w:val="bottom"/>
          </w:tcPr>
          <w:p>
            <w:pPr>
              <w:spacing w:after="0"/>
              <w:rPr>
                <w:sz w:val="24"/>
                <w:szCs w:val="24"/>
                <w:color w:val="auto"/>
              </w:rPr>
            </w:pPr>
          </w:p>
        </w:tc>
      </w:tr>
      <w:tr>
        <w:trPr>
          <w:trHeight w:val="430"/>
        </w:trPr>
        <w:tc>
          <w:tcPr>
            <w:tcW w:w="4840" w:type="dxa"/>
            <w:vAlign w:val="bottom"/>
          </w:tcPr>
          <w:p>
            <w:pPr>
              <w:spacing w:after="0"/>
              <w:rPr>
                <w:sz w:val="24"/>
                <w:szCs w:val="24"/>
                <w:color w:val="auto"/>
              </w:rPr>
            </w:pPr>
          </w:p>
        </w:tc>
        <w:tc>
          <w:tcPr>
            <w:tcW w:w="6580" w:type="dxa"/>
            <w:vAlign w:val="bottom"/>
            <w:gridSpan w:val="2"/>
          </w:tcPr>
          <w:p>
            <w:pPr>
              <w:ind w:left="760"/>
              <w:spacing w:after="0"/>
              <w:rPr>
                <w:sz w:val="20"/>
                <w:szCs w:val="20"/>
                <w:color w:val="auto"/>
              </w:rPr>
            </w:pPr>
            <w:r>
              <w:rPr>
                <w:rFonts w:ascii="Arial" w:cs="Arial" w:eastAsia="Arial" w:hAnsi="Arial"/>
                <w:sz w:val="18"/>
                <w:szCs w:val="18"/>
                <w:color w:val="auto"/>
              </w:rPr>
              <w:t>F-1</w:t>
            </w:r>
          </w:p>
        </w:tc>
      </w:tr>
      <w:tr>
        <w:trPr>
          <w:trHeight w:val="228"/>
        </w:trPr>
        <w:tc>
          <w:tcPr>
            <w:tcW w:w="4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87"/>
              </w:rPr>
              <w:t>(As restated, see Note 12)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See Note 10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37"/>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55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337,467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rights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Due from related parties, net of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-2886710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-2886710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-2355215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-2355215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-2355215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-2355215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-2355215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-2355215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-2355215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-2355215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-716915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-716915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-716915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-716915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-716915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-716915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7" w:right="239" w:bottom="0" w:gutter="0" w:footer="0" w:header="0"/>
        </w:sectPr>
      </w:pPr>
    </w:p>
    <w:bookmarkStart w:id="94" w:name="page95"/>
    <w:bookmarkEnd w:id="9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24"/>
                <w:szCs w:val="24"/>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900" w:type="dxa"/>
            <w:vAlign w:val="bottom"/>
          </w:tcPr>
          <w:p>
            <w:pPr>
              <w:spacing w:after="0"/>
              <w:rPr>
                <w:sz w:val="20"/>
                <w:szCs w:val="20"/>
                <w:color w:val="auto"/>
              </w:rPr>
            </w:pPr>
            <w:r>
              <w:rPr>
                <w:rFonts w:ascii="Arial" w:cs="Arial" w:eastAsia="Arial" w:hAnsi="Arial"/>
                <w:sz w:val="18"/>
                <w:szCs w:val="18"/>
                <w:color w:val="auto"/>
              </w:rPr>
              <w:t>Members' Equity</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authorized, zero shares outstanding</w:t>
            </w: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7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 Par Value 400,000,000 shares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authorized 40,000,000 shares outstanding</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585,666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52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5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3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tcPr>
          <w:p>
            <w:pPr>
              <w:spacing w:after="0"/>
              <w:rPr>
                <w:sz w:val="24"/>
                <w:szCs w:val="24"/>
                <w:color w:val="auto"/>
              </w:rPr>
            </w:pPr>
          </w:p>
        </w:tc>
        <w:tc>
          <w:tcPr>
            <w:tcW w:w="64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Equity</w:t>
            </w: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0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-4199255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-4199255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-4199255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-4199255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-4199255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-4199255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-2741295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-2741295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-2741295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-2741295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-2741295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-2741295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-648970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-648970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-648970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-648970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-648970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-648970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-648970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-648970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-357505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-357505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-357505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-357505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-357505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-357505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left="251"/>
              <w:spacing w:after="0"/>
              <w:rPr>
                <w:sz w:val="20"/>
                <w:szCs w:val="20"/>
                <w:color w:val="auto"/>
              </w:rPr>
            </w:pPr>
            <w:r>
              <w:rPr>
                <w:rFonts w:ascii="Arial" w:cs="Arial" w:eastAsia="Arial" w:hAnsi="Arial"/>
                <w:sz w:val="18"/>
                <w:szCs w:val="18"/>
                <w:color w:val="auto"/>
                <w:w w:val="88"/>
              </w:rPr>
              <w:t>F-3</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gridSpan w:val="3"/>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6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left="129"/>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gridSpan w:val="8"/>
          </w:tcPr>
          <w:p>
            <w:pPr>
              <w:jc w:val="center"/>
              <w:ind w:left="249"/>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6"/>
              </w:rPr>
              <w:t>(As restated, see Note 12)</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20" w:type="dxa"/>
            <w:vAlign w:val="bottom"/>
          </w:tcPr>
          <w:p>
            <w:pPr>
              <w:spacing w:after="0"/>
              <w:rPr>
                <w:sz w:val="20"/>
                <w:szCs w:val="2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From Inception to</w:t>
            </w:r>
          </w:p>
        </w:tc>
        <w:tc>
          <w:tcPr>
            <w:tcW w:w="100" w:type="dxa"/>
            <w:vAlign w:val="bottom"/>
          </w:tcPr>
          <w:p>
            <w:pPr>
              <w:spacing w:after="0"/>
              <w:rPr>
                <w:sz w:val="20"/>
                <w:szCs w:val="20"/>
                <w:color w:val="auto"/>
              </w:rPr>
            </w:pPr>
          </w:p>
        </w:tc>
        <w:tc>
          <w:tcPr>
            <w:tcW w:w="3620" w:type="dxa"/>
            <w:vAlign w:val="bottom"/>
            <w:gridSpan w:val="3"/>
          </w:tcPr>
          <w:p>
            <w:pPr>
              <w:jc w:val="center"/>
              <w:ind w:right="2460"/>
              <w:spacing w:after="0"/>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2001</w:t>
            </w:r>
          </w:p>
        </w:tc>
        <w:tc>
          <w:tcPr>
            <w:tcW w:w="120" w:type="dxa"/>
            <w:vAlign w:val="bottom"/>
          </w:tcPr>
          <w:p>
            <w:pPr>
              <w:spacing w:after="0"/>
              <w:rPr>
                <w:sz w:val="15"/>
                <w:szCs w:val="15"/>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December 31, 2001</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Airplane</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726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680</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480" w:type="dxa"/>
            <w:vAlign w:val="bottom"/>
            <w:gridSpan w:val="3"/>
          </w:tcPr>
          <w:p>
            <w:pPr>
              <w:jc w:val="right"/>
              <w:ind w:right="40"/>
              <w:spacing w:after="0"/>
              <w:rPr>
                <w:sz w:val="20"/>
                <w:szCs w:val="20"/>
                <w:color w:val="auto"/>
              </w:rPr>
            </w:pPr>
            <w:r>
              <w:rPr>
                <w:rFonts w:ascii="Arial" w:cs="Arial" w:eastAsia="Arial" w:hAnsi="Arial"/>
                <w:sz w:val="14"/>
                <w:szCs w:val="14"/>
                <w:color w:val="auto"/>
              </w:rPr>
              <w:t>1,077 $</w:t>
            </w: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1,890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Art gallery</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Retail</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78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2,189</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Pre-opening costs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5,490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26,610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Depreciation and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16,807</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w w:val="91"/>
              </w:rPr>
              <w:t>Loss on sale of fixed assets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499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Selling, general &amp;</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administrative expenses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649</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Facility closure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1,579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water</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Cost of retail sales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rPr>
              <w:t>Loss from incidental</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operations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1,428</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78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10,456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12,120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47,685</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Loss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(13,403)</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(20,060)</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(12,033)</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(45,496)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-5210810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-5210810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-3796030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-3796030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-3452495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-3452495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-3452495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-3452495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-3452495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-3452495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-3452495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-3452495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-3452495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-3452495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-2338070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-2338070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-2338070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-2338070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-2338070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-2338070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-2338070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-2338070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-2338070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-2338070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-657225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-657225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-657225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-657225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-657225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-657225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-657225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-657225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-657225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-657225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-408305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-408305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-408305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-408305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-408305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-408305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-408305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-408305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-408305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-408305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 net of</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(453)</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4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w:t>
            </w:r>
          </w:p>
        </w:tc>
        <w:tc>
          <w:tcPr>
            <w:tcW w:w="52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w:t>
            </w:r>
          </w:p>
        </w:tc>
        <w:tc>
          <w:tcPr>
            <w:tcW w:w="4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amounts capitalized</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4"/>
                <w:szCs w:val="14"/>
                <w:color w:val="auto"/>
              </w:rPr>
              <w:t>Interest income</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1,550</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40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8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Minority Interest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95"/>
              </w:rPr>
              <w:t>Net loss accumulated during</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the development stage</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(12,776)</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(8,234)</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(17,726)</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(10,616)</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88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80" w:type="dxa"/>
            <w:vAlign w:val="bottom"/>
            <w:gridSpan w:val="2"/>
            <w:vMerge w:val="continue"/>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jc w:val="right"/>
              <w:ind w:right="252"/>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(61.19)</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(40.52)</w:t>
            </w: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(86.27)</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(53.08)</w:t>
            </w:r>
          </w:p>
        </w:tc>
        <w:tc>
          <w:tcPr>
            <w:tcW w:w="480" w:type="dxa"/>
            <w:vAlign w:val="bottom"/>
            <w:shd w:val="clear" w:color="auto" w:fill="CCEEFF"/>
          </w:tcPr>
          <w:p>
            <w:pPr>
              <w:jc w:val="right"/>
              <w:ind w:right="36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w w:val="99"/>
              </w:rPr>
              <w:t>Pro Forma Share Information: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88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Weighted Average Shares</w:t>
            </w:r>
          </w:p>
        </w:tc>
        <w:tc>
          <w:tcPr>
            <w:tcW w:w="40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Outstanding</w:t>
            </w:r>
          </w:p>
        </w:tc>
        <w:tc>
          <w:tcPr>
            <w:tcW w:w="400" w:type="dxa"/>
            <w:vAlign w:val="bottom"/>
            <w:shd w:val="clear" w:color="auto" w:fill="CCEEFF"/>
          </w:tcPr>
          <w:p>
            <w:pPr>
              <w:spacing w:after="0"/>
              <w:rPr>
                <w:sz w:val="13"/>
                <w:szCs w:val="13"/>
                <w:color w:val="auto"/>
              </w:rPr>
            </w:pPr>
          </w:p>
        </w:tc>
        <w:tc>
          <w:tcPr>
            <w:tcW w:w="9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tcPr>
          <w:p>
            <w:pPr>
              <w:spacing w:after="0" w:line="138" w:lineRule="exact"/>
              <w:rPr>
                <w:sz w:val="20"/>
                <w:szCs w:val="20"/>
                <w:color w:val="auto"/>
              </w:rPr>
            </w:pPr>
            <w:r>
              <w:rPr>
                <w:rFonts w:ascii="Arial" w:cs="Arial" w:eastAsia="Arial" w:hAnsi="Arial"/>
                <w:sz w:val="14"/>
                <w:szCs w:val="14"/>
                <w:color w:val="auto"/>
              </w:rPr>
              <w:t>Loss Per Share—Basic and</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8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(.32)</w:t>
            </w:r>
          </w:p>
        </w:tc>
        <w:tc>
          <w:tcPr>
            <w:tcW w:w="4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-1735455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-1735455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-1735455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-1735455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-1735455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-1735455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-1735455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-1735455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-1735455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-1735455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-1392555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1195070</wp:posOffset>
            </wp:positionH>
            <wp:positionV relativeFrom="paragraph">
              <wp:posOffset>-1392555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-1392555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-1392555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-1392555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-1392555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-1392555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-1392555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-1392555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-1392555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Kenneth R.</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4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Stephen A. Wynn</w:t>
            </w:r>
          </w:p>
        </w:tc>
        <w:tc>
          <w:tcPr>
            <w:tcW w:w="2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Aruze USA,</w:t>
            </w:r>
          </w:p>
        </w:tc>
        <w:tc>
          <w:tcPr>
            <w:tcW w:w="1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Baron Asset</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Wynn Family</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 Capital</w:t>
            </w: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Fund</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Trust</w:t>
            </w:r>
          </w:p>
        </w:tc>
        <w:tc>
          <w:tcPr>
            <w:tcW w:w="28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Inception (April 21, 2000)</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2000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development stage (As restated, see</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(8,614)</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2001 (As</w:t>
            </w: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207,692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125,227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Member contributions (unaudited)</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Net loss accumulated during the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development stage (unaudited)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2002 (unaudited)</w:t>
            </w:r>
          </w:p>
        </w:tc>
        <w:tc>
          <w:tcPr>
            <w:tcW w:w="1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right w:val="single" w:sz="8" w:color="808080"/>
            </w:tcBorders>
          </w:tcPr>
          <w:p>
            <w:pPr>
              <w:spacing w:after="0"/>
              <w:rPr>
                <w:sz w:val="5"/>
                <w:szCs w:val="5"/>
                <w:color w:val="auto"/>
              </w:rPr>
            </w:pPr>
          </w:p>
        </w:tc>
        <w:tc>
          <w:tcPr>
            <w:tcW w:w="12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-4113530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-4113530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-4113530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-4113530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-4113530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-4113530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-4113530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-4113530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-4113530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-4113530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-4113530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-4113530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-2947035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-2947035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-2947035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-2947035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-2947035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-2947035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-2947035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-2947035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-2947035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-2947035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-2947035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-2947035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-1626235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-1626235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-1626235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-1626235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-1626235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-1626235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-1626235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-1626235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-1626235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-1626235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-1626235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-1626235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-460375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-460375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-460375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-460375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-460375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-460375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-460375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-460375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-460375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-460375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-460375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840"/>
          </w:cols>
          <w:pgMar w:left="240" w:top="116" w:right="819" w:bottom="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4"/>
              </w:rPr>
              <w:t>(As restated, see Note 12)</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20"/>
                <w:szCs w:val="20"/>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Inception to</w:t>
            </w:r>
          </w:p>
        </w:tc>
        <w:tc>
          <w:tcPr>
            <w:tcW w:w="10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 2002</w:t>
            </w:r>
          </w:p>
        </w:tc>
        <w:tc>
          <w:tcPr>
            <w:tcW w:w="100" w:type="dxa"/>
            <w:vAlign w:val="bottom"/>
          </w:tcPr>
          <w:p>
            <w:pPr>
              <w:spacing w:after="0"/>
              <w:rPr>
                <w:sz w:val="15"/>
                <w:szCs w:val="15"/>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5"/>
              </w:rPr>
              <w:t>June 30, 2001</w:t>
            </w:r>
          </w:p>
        </w:tc>
        <w:tc>
          <w:tcPr>
            <w:tcW w:w="80" w:type="dxa"/>
            <w:vAlign w:val="bottom"/>
          </w:tcPr>
          <w:p>
            <w:pPr>
              <w:spacing w:after="0"/>
              <w:rPr>
                <w:sz w:val="15"/>
                <w:szCs w:val="15"/>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2001</w:t>
            </w:r>
          </w:p>
        </w:tc>
        <w:tc>
          <w:tcPr>
            <w:tcW w:w="14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December 31, 2000</w:t>
            </w:r>
          </w:p>
        </w:tc>
        <w:tc>
          <w:tcPr>
            <w:tcW w:w="100" w:type="dxa"/>
            <w:vAlign w:val="bottom"/>
          </w:tcPr>
          <w:p>
            <w:pPr>
              <w:spacing w:after="0"/>
              <w:rPr>
                <w:sz w:val="15"/>
                <w:szCs w:val="15"/>
                <w:color w:val="auto"/>
              </w:rPr>
            </w:pPr>
          </w:p>
        </w:tc>
        <w:tc>
          <w:tcPr>
            <w:tcW w:w="13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3"/>
                <w:szCs w:val="23"/>
                <w:color w:val="auto"/>
              </w:rPr>
            </w:pPr>
          </w:p>
        </w:tc>
        <w:tc>
          <w:tcPr>
            <w:tcW w:w="140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spacing w:after="0" w:line="138" w:lineRule="exact"/>
              <w:rPr>
                <w:sz w:val="20"/>
                <w:szCs w:val="20"/>
                <w:color w:val="auto"/>
              </w:rPr>
            </w:pPr>
            <w:r>
              <w:rPr>
                <w:rFonts w:ascii="Arial" w:cs="Arial" w:eastAsia="Arial" w:hAnsi="Arial"/>
                <w:sz w:val="14"/>
                <w:szCs w:val="14"/>
                <w:color w:val="auto"/>
                <w:w w:val="91"/>
              </w:rPr>
              <w:t>Net loss accumulated during the development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4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(8,234)</w:t>
            </w:r>
          </w:p>
        </w:tc>
        <w:tc>
          <w:tcPr>
            <w:tcW w:w="240" w:type="dxa"/>
            <w:vAlign w:val="bottom"/>
            <w:gridSpan w:val="2"/>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(17,726)</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Adjustments to reconcile net loss accumulated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loan origination fees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Loss on sale of fixed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Incidental operations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3,611</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w w:val="92"/>
              </w:rPr>
              <w:t>Increase (decrease) in cash from changes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Prepaid expenses and other</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Accounts payable and accrued expenses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(8,986)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Net Cash Provided by / (Used in) Operating</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(1,827)</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(4,917)</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(5,900)</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26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Acquisition of Desert Inn Resort and</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Casino, net of cash acquired</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10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20" w:type="dxa"/>
            <w:vAlign w:val="bottom"/>
          </w:tcPr>
          <w:p>
            <w:pPr>
              <w:ind w:left="200"/>
              <w:spacing w:after="0" w:line="138" w:lineRule="exact"/>
              <w:rPr>
                <w:sz w:val="20"/>
                <w:szCs w:val="20"/>
                <w:color w:val="auto"/>
              </w:rPr>
            </w:pPr>
            <w:r>
              <w:rPr>
                <w:rFonts w:ascii="Arial" w:cs="Arial" w:eastAsia="Arial" w:hAnsi="Arial"/>
                <w:sz w:val="14"/>
                <w:szCs w:val="14"/>
                <w:color w:val="auto"/>
                <w:w w:val="96"/>
              </w:rPr>
              <w:t>Capital expenditures, net of construction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tcPr>
          <w:p>
            <w:pPr>
              <w:ind w:left="200"/>
              <w:spacing w:after="0" w:line="159" w:lineRule="exact"/>
              <w:rPr>
                <w:sz w:val="20"/>
                <w:szCs w:val="20"/>
                <w:color w:val="auto"/>
              </w:rPr>
            </w:pPr>
            <w:r>
              <w:rPr>
                <w:rFonts w:ascii="Arial" w:cs="Arial" w:eastAsia="Arial" w:hAnsi="Arial"/>
                <w:sz w:val="14"/>
                <w:szCs w:val="14"/>
                <w:color w:val="auto"/>
              </w:rPr>
              <w:t>payables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(19,460)</w:t>
            </w:r>
          </w:p>
        </w:tc>
        <w:tc>
          <w:tcPr>
            <w:tcW w:w="100" w:type="dxa"/>
            <w:vAlign w:val="bottom"/>
          </w:tcPr>
          <w:p>
            <w:pPr>
              <w:spacing w:after="0"/>
              <w:rPr>
                <w:sz w:val="13"/>
                <w:szCs w:val="13"/>
                <w:color w:val="auto"/>
              </w:rPr>
            </w:pPr>
          </w:p>
        </w:tc>
        <w:tc>
          <w:tcPr>
            <w:tcW w:w="14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(29,082)</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(47,617)</w:t>
            </w:r>
          </w:p>
        </w:tc>
        <w:tc>
          <w:tcPr>
            <w:tcW w:w="100" w:type="dxa"/>
            <w:vAlign w:val="bottom"/>
          </w:tcPr>
          <w:p>
            <w:pPr>
              <w:spacing w:after="0"/>
              <w:rPr>
                <w:sz w:val="13"/>
                <w:szCs w:val="13"/>
                <w:color w:val="auto"/>
              </w:rPr>
            </w:pPr>
          </w:p>
        </w:tc>
        <w:tc>
          <w:tcPr>
            <w:tcW w:w="14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airplane</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(9,591)</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(1,707)</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from related parties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tcPr>
          <w:p>
            <w:pPr>
              <w:ind w:left="200"/>
              <w:spacing w:after="0"/>
              <w:rPr>
                <w:sz w:val="20"/>
                <w:szCs w:val="20"/>
                <w:color w:val="auto"/>
              </w:rPr>
            </w:pPr>
            <w:r>
              <w:rPr>
                <w:rFonts w:ascii="Arial" w:cs="Arial" w:eastAsia="Arial" w:hAnsi="Arial"/>
                <w:sz w:val="14"/>
                <w:szCs w:val="14"/>
                <w:color w:val="auto"/>
              </w:rPr>
              <w:t>Proceeds from sale of equipment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8,008</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(26,115)</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(30,212)</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(328,419)</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517640" cy="1885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517640" cy="18859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-5123180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-5123180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-4780280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-4780280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-4780280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-4780280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-4780280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-4780280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-4780280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-4780280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-4780280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-4780280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-2172970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-2172970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-2172970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-2172970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-2172970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-2172970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-2172970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-2172970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-2172970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-2172970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-1830070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-1830070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-1830070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-1830070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-1830070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-1830070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-1830070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-1830070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-1830070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-1830070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-586740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-586740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-586740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-586740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-586740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-586740</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-586740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-586740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-586740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-586740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-277495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-277495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-277495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-277495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-277495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-277495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-277495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-277495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-277495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-277495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w w:val="97"/>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Proceeds from issuance of related party</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loan</w:t>
            </w:r>
          </w:p>
        </w:tc>
        <w:tc>
          <w:tcPr>
            <w:tcW w:w="5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4"/>
                <w:szCs w:val="14"/>
                <w:color w:val="auto"/>
              </w:rPr>
              <w:t>Increase/(Decrease) in Cash and Cash</w:t>
            </w: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78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78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5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148,592</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5,026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(15,161)</w:t>
            </w:r>
          </w:p>
        </w:tc>
        <w:tc>
          <w:tcPr>
            <w:tcW w:w="3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54,429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187,860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8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453</w:t>
            </w:r>
          </w:p>
        </w:tc>
        <w:tc>
          <w:tcPr>
            <w:tcW w:w="200" w:type="dxa"/>
            <w:vAlign w:val="bottom"/>
          </w:tcPr>
          <w:p>
            <w:pPr>
              <w:spacing w:after="0"/>
              <w:rPr>
                <w:sz w:val="14"/>
                <w:szCs w:val="14"/>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4"/>
                <w:szCs w:val="1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500" w:type="dxa"/>
            <w:vAlign w:val="bottom"/>
          </w:tcPr>
          <w:p>
            <w:pPr>
              <w:jc w:val="right"/>
              <w:ind w:right="35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-1420495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-1420495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-1420495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-1420495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-1420495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-1420495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-1420495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-1420495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-1420495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-1420495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-1077595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-1077595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-1077595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-1077595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-1077595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-1077595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-1077595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-1077595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-1077595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-1077595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-640080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-640080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-640080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-640080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-640080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-640080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-640080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-640080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-640080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-640080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10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 a.).</w:t>
      </w:r>
    </w:p>
    <w:p>
      <w:pPr>
        <w:sectPr>
          <w:pgSz w:w="11900" w:h="16838" w:orient="portrait"/>
          <w:cols w:equalWidth="0" w:num="1">
            <w:col w:w="11260"/>
          </w:cols>
          <w:pgMar w:left="240" w:top="127" w:right="399" w:bottom="0" w:gutter="0" w:footer="0" w:header="0"/>
        </w:sectPr>
      </w:pPr>
    </w:p>
    <w:bookmarkStart w:id="97" w:name="page98"/>
    <w:bookmarkEnd w:id="97"/>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52"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540" w:right="100" w:firstLine="348"/>
        <w:spacing w:after="0" w:line="256" w:lineRule="auto"/>
        <w:rPr>
          <w:sz w:val="20"/>
          <w:szCs w:val="20"/>
          <w:color w:val="auto"/>
        </w:rPr>
      </w:pPr>
      <w:r>
        <w:rPr>
          <w:rFonts w:ascii="Arial" w:cs="Arial" w:eastAsia="Arial" w:hAnsi="Arial"/>
          <w:sz w:val="18"/>
          <w:szCs w:val="18"/>
          <w:color w:val="auto"/>
        </w:rPr>
        <w:t>Valvino Lamore, LLC was formed on April 21, 2000 as a Nevada limited-liability company. At formation, the Company's sole member was Stephen A. Wynn. As of December 31, 2001, subsidiaries of Valvino Lamore, LLC include Wynn Design and Development, LLC, Rambas Marketing Company, LLC, Palo, LLC, Toasty, LLC, Wynn Resorts Holdings, LLC, WorldWide Wynn, LLC, Kevyn, LLC and Desert Inn Water Company, LLC and are collectively, with Valvino Lamore, LLC, herein referred to as the "Company."</w:t>
      </w:r>
    </w:p>
    <w:p>
      <w:pPr>
        <w:spacing w:after="0" w:line="197"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38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Accordingly,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140" w:firstLine="341"/>
        <w:spacing w:after="0" w:line="298" w:lineRule="auto"/>
        <w:rPr>
          <w:sz w:val="20"/>
          <w:szCs w:val="20"/>
          <w:color w:val="auto"/>
        </w:rPr>
      </w:pPr>
      <w:r>
        <w:rPr>
          <w:rFonts w:ascii="Arial" w:cs="Arial" w:eastAsia="Arial" w:hAnsi="Arial"/>
          <w:sz w:val="16"/>
          <w:szCs w:val="16"/>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left="540"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left="540"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540"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Restricted Cash</w:t>
      </w:r>
    </w:p>
    <w:p>
      <w:pPr>
        <w:sectPr>
          <w:pgSz w:w="11900" w:h="16839" w:orient="portrait"/>
          <w:cols w:equalWidth="0" w:num="1">
            <w:col w:w="11420"/>
          </w:cols>
          <w:pgMar w:left="240" w:top="129" w:right="239" w:bottom="0" w:gutter="0" w:footer="0" w:header="0"/>
        </w:sectPr>
      </w:pPr>
    </w:p>
    <w:bookmarkStart w:id="98" w:name="page99"/>
    <w:bookmarkEnd w:id="98"/>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 to 3 years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Parking garage</w:t>
            </w:r>
          </w:p>
        </w:tc>
        <w:tc>
          <w:tcPr>
            <w:tcW w:w="3400" w:type="dxa"/>
            <w:vAlign w:val="bottom"/>
          </w:tcPr>
          <w:p>
            <w:pPr>
              <w:ind w:left="1860"/>
              <w:spacing w:after="0"/>
              <w:rPr>
                <w:sz w:val="20"/>
                <w:szCs w:val="20"/>
                <w:color w:val="auto"/>
              </w:rPr>
            </w:pPr>
            <w:r>
              <w:rPr>
                <w:rFonts w:ascii="Arial" w:cs="Arial" w:eastAsia="Arial" w:hAnsi="Arial"/>
                <w:sz w:val="18"/>
                <w:szCs w:val="18"/>
                <w:color w:val="auto"/>
              </w:rPr>
              <w:t>15 years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4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7 years</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400" w:type="dxa"/>
            <w:vAlign w:val="bottom"/>
          </w:tcPr>
          <w:p>
            <w:pPr>
              <w:ind w:left="186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provides that each share is entitled to one vote on all matters requiring the vote of the members. The Agreement</w:t>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72"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w:t>
      </w:r>
    </w:p>
    <w:p>
      <w:pPr>
        <w:sectPr>
          <w:pgSz w:w="11900" w:h="16838" w:orient="portrait"/>
          <w:cols w:equalWidth="0" w:num="1">
            <w:col w:w="10840"/>
          </w:cols>
          <w:pgMar w:left="780" w:top="131" w:right="279" w:bottom="0" w:gutter="0" w:footer="0" w:header="0"/>
        </w:sectPr>
      </w:pPr>
    </w:p>
    <w:bookmarkStart w:id="99" w:name="page100"/>
    <w:bookmarkEnd w:id="99"/>
    <w:p>
      <w:pPr>
        <w:spacing w:after="0" w:line="12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w:t>
      </w:r>
    </w:p>
    <w:p>
      <w:pPr>
        <w:spacing w:after="0" w:line="1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beginning after June 15, 2002. The Company does not expect adoption of SFAS No. 143 will have a material impact on the Company's consolidated financial position or results of operations.</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w:t>
      </w:r>
    </w:p>
    <w:p>
      <w:pPr>
        <w:sectPr>
          <w:pgSz w:w="11900" w:h="16958" w:orient="portrait"/>
          <w:cols w:equalWidth="0" w:num="1">
            <w:col w:w="10860"/>
          </w:cols>
          <w:pgMar w:left="780" w:top="131" w:right="259" w:bottom="0" w:gutter="0" w:footer="0" w:header="0"/>
        </w:sectPr>
      </w:pPr>
    </w:p>
    <w:bookmarkStart w:id="100" w:name="page101"/>
    <w:bookmarkEnd w:id="100"/>
    <w:p>
      <w:pPr>
        <w:ind w:left="540" w:right="160"/>
        <w:spacing w:after="0" w:line="256" w:lineRule="auto"/>
        <w:rPr>
          <w:sz w:val="20"/>
          <w:szCs w:val="20"/>
          <w:color w:val="auto"/>
        </w:rPr>
      </w:pPr>
      <w:r>
        <w:rPr>
          <w:rFonts w:ascii="Arial" w:cs="Arial" w:eastAsia="Arial" w:hAnsi="Arial"/>
          <w:sz w:val="18"/>
          <w:szCs w:val="18"/>
          <w:color w:val="auto"/>
        </w:rPr>
        <w:t>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211"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616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16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8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-1163320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-1163320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-1163320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774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774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14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Hotel/Golf Course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118"/>
        </w:trPr>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-1566545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-1566545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-1317625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-1317625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-1317625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-751840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-751840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-751840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-751840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-323215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consisted of the following:</w:t>
      </w:r>
    </w:p>
    <w:p>
      <w:pPr>
        <w:spacing w:after="0" w:line="221"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1" w:lineRule="exact"/>
        <w:rPr>
          <w:sz w:val="20"/>
          <w:szCs w:val="20"/>
          <w:color w:val="auto"/>
        </w:rPr>
      </w:pPr>
    </w:p>
    <w:p>
      <w:pPr>
        <w:ind w:left="7900"/>
        <w:spacing w:after="0"/>
        <w:tabs>
          <w:tab w:leader="none" w:pos="93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154305</wp:posOffset>
            </wp:positionV>
            <wp:extent cx="5574030" cy="444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574030" cy="44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66675</wp:posOffset>
            </wp:positionV>
            <wp:extent cx="1659255"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1" w:name="page102"/>
    <w:bookmarkEnd w:id="101"/>
    <w:p>
      <w:pPr>
        <w:spacing w:after="0" w:line="47"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Airplane</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(4,040)</w:t>
            </w: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-751840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-751840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920"/>
        <w:spacing w:after="0" w:line="332" w:lineRule="auto"/>
        <w:rPr>
          <w:sz w:val="20"/>
          <w:szCs w:val="20"/>
          <w:color w:val="auto"/>
        </w:rPr>
      </w:pPr>
      <w:r>
        <w:rPr>
          <w:rFonts w:ascii="Arial" w:cs="Arial" w:eastAsia="Arial" w:hAnsi="Arial"/>
          <w:sz w:val="16"/>
          <w:szCs w:val="16"/>
          <w:color w:val="auto"/>
        </w:rPr>
        <w:t>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3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39"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significant third party operating leases exist as of December 31, 2001 or 2000.</w:t>
      </w:r>
    </w:p>
    <w:p>
      <w:pPr>
        <w:spacing w:after="0" w:line="225"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213"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53"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332"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sectPr>
          <w:pgSz w:w="11900" w:h="16885" w:orient="portrait"/>
          <w:cols w:equalWidth="0" w:num="1">
            <w:col w:w="11400"/>
          </w:cols>
          <w:pgMar w:left="240" w:top="140" w:right="259" w:bottom="0" w:gutter="0" w:footer="0" w:header="0"/>
        </w:sectPr>
      </w:pPr>
    </w:p>
    <w:bookmarkStart w:id="102" w:name="page103"/>
    <w:bookmarkEnd w:id="102"/>
    <w:p>
      <w:pPr>
        <w:ind w:left="540" w:right="520"/>
        <w:spacing w:after="0" w:line="268"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9" w:lineRule="exact"/>
        <w:rPr>
          <w:sz w:val="20"/>
          <w:szCs w:val="20"/>
          <w:color w:val="auto"/>
        </w:rPr>
      </w:pPr>
    </w:p>
    <w:p>
      <w:pPr>
        <w:ind w:left="1080" w:hanging="532"/>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2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213"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180" w:firstLine="348"/>
        <w:spacing w:after="0" w:line="268" w:lineRule="auto"/>
        <w:rPr>
          <w:sz w:val="20"/>
          <w:szCs w:val="20"/>
          <w:color w:val="auto"/>
        </w:rPr>
      </w:pPr>
      <w:r>
        <w:rPr>
          <w:rFonts w:ascii="Arial" w:cs="Arial" w:eastAsia="Arial" w:hAnsi="Arial"/>
          <w:sz w:val="18"/>
          <w:szCs w:val="18"/>
          <w:color w:val="auto"/>
        </w:rPr>
        <w:t>The Company is self-insured for medical and worker's compensation claims. The Individual Stop Loss Attachment Point for each claim is $40,000 for medical and $250,000</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worker's compensation claims with a maximum payout of $960,000 and $1,000,000, respectively.</w:t>
      </w:r>
    </w:p>
    <w:p>
      <w:pPr>
        <w:spacing w:after="0" w:line="239"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52"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6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ind w:left="540" w:right="34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In June 2002, The Kenneth R. Wynn Family Trust contributed $1.2 million in cash in exchange for a 0.146% of the outstanding membership interest in the Company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307 shares at $3,904 per share). Accordingly, at June 30, 2002 there were approximately 210,834 shares outstanding.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62"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201"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Commitments</w:t>
      </w:r>
    </w:p>
    <w:p>
      <w:pPr>
        <w:sectPr>
          <w:pgSz w:w="11900" w:h="16838" w:orient="portrait"/>
          <w:cols w:equalWidth="0" w:num="1">
            <w:col w:w="11380"/>
          </w:cols>
          <w:pgMar w:left="240" w:top="131" w:right="279" w:bottom="175" w:gutter="0" w:footer="0" w:header="0"/>
        </w:sectPr>
      </w:pPr>
    </w:p>
    <w:bookmarkStart w:id="103" w:name="page104"/>
    <w:bookmarkEnd w:id="103"/>
    <w:p>
      <w:pPr>
        <w:spacing w:after="0" w:line="1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and amended by Change Order No. 1, effective as of August 12, 2002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Management expects the revolving credit facility to mature six years from the closing date. When borrowings outstanding under the revolving credit facility equal or exceed</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$200 million, lead arrangers holding a majority of the commitments of the lead arrangers will have the right to convert $100 million to $400 million of the amounts outstanding to term loans with the same terms and conditions as those made under the delay draw term loan facility.</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government of the Macau Special Administrative Region of the People's Republic of China, permitting Wynn Resorts (Macau) S.A. to construct and operate one or more casinos in Macau. Under the concession agreement, Wynn Resorts (Macau) S.A. is obligated to invest at least 4 billion Macau patacas (approximately US $500 million) in building its Macau casino(s) by June 26, 2009.</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 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20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 Express Aircraft and guaranteed by the Company. The loan provides for 47 monthly principal payments of approximately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$158,000, commencing March 1, 2003 and the payment of approximately $21.1 million remaining principal on March 1, 2007. The loan bears interest at the prime rate plus .25% per annum unless an optional rate equal to LIBOR plus 2.50% is elected, subject to certain requirements. Interest is payable monthly commencing June 1, 2002.</w:t>
      </w:r>
    </w:p>
    <w:p>
      <w:pPr>
        <w:spacing w:after="0" w:line="19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194" w:lineRule="exact"/>
        <w:rPr>
          <w:sz w:val="20"/>
          <w:szCs w:val="20"/>
          <w:color w:val="auto"/>
        </w:rPr>
      </w:pPr>
    </w:p>
    <w:p>
      <w:pPr>
        <w:ind w:left="660" w:hanging="301"/>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right="40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ectPr>
          <w:pgSz w:w="11900" w:h="16854" w:orient="portrait"/>
          <w:cols w:equalWidth="0" w:num="1">
            <w:col w:w="10880"/>
          </w:cols>
          <w:pgMar w:left="780" w:top="131" w:right="239" w:bottom="0" w:gutter="0" w:footer="0" w:header="0"/>
        </w:sectPr>
      </w:pPr>
    </w:p>
    <w:bookmarkStart w:id="104" w:name="page105"/>
    <w:bookmarkEnd w:id="104"/>
    <w:p>
      <w:pPr>
        <w:ind w:left="540" w:hanging="532"/>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160" w:firstLine="348"/>
        <w:spacing w:after="0" w:line="287"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of second mortgage notes. The Company and certain of its subsidiaries anticipate providing guarantees in connection with the issuance of such notes. Wynn Resorts, Limited will not guarantee the second mortgage notes unless Wynn Resorts, Limited either incurs certain indebtedness in excess of $10.0 million in the aggregate or guarantees certain indebtedness.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7" w:lineRule="exact"/>
        <w:rPr>
          <w:sz w:val="20"/>
          <w:szCs w:val="20"/>
          <w:color w:val="auto"/>
        </w:rPr>
      </w:pPr>
    </w:p>
    <w:p>
      <w:pPr>
        <w:ind w:right="740" w:firstLine="348"/>
        <w:spacing w:after="0" w:line="298" w:lineRule="auto"/>
        <w:rPr>
          <w:sz w:val="20"/>
          <w:szCs w:val="20"/>
          <w:color w:val="auto"/>
        </w:rPr>
      </w:pPr>
      <w:r>
        <w:rPr>
          <w:rFonts w:ascii="Arial" w:cs="Arial" w:eastAsia="Arial" w:hAnsi="Arial"/>
          <w:sz w:val="16"/>
          <w:szCs w:val="16"/>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30,2002. However, because of the expected transfer of certain assets and interests to Wynn Resorts, Limited, the following consolidating financial statements are not indicative of the financial position of the guarantors after the expected transfer.</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Wynn Las Vegas,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LLC and Wynn Las</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Vegas Capital Corp.</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Intercompany Balances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Members'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4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Current Portion of Long-Term</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-3892550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-3892550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-3892550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-3892550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-3892550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-3892550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-3892550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-3892550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-3892550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-3892550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-3892550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-3892550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-2366010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-2366010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-2366010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-2366010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-2366010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-2366010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-2366010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-2366010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-2366010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-2366010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-2366010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-2366010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-1370965</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-1370965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-1370965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-1370965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-1370965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-1370965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-1370965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-1370965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-1370965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-1370965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-1370965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-1370965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240" w:top="145" w:right="139" w:bottom="0" w:gutter="0" w:footer="0" w:header="0"/>
        </w:sectPr>
      </w:pPr>
    </w:p>
    <w:bookmarkStart w:id="105" w:name="page106"/>
    <w:bookmarkEnd w:id="105"/>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Members' Equity</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Arial" w:cs="Arial" w:eastAsia="Arial" w:hAnsi="Arial"/>
                <w:sz w:val="18"/>
                <w:szCs w:val="18"/>
                <w:color w:val="auto"/>
              </w:rPr>
              <w:t>Deficit Accumulated from</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Inception During the</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Development Stage</w:t>
            </w: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w:t>
            </w:r>
          </w:p>
        </w:tc>
        <w:tc>
          <w:tcPr>
            <w:tcW w:w="5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260"/>
              <w:spacing w:after="0"/>
              <w:rPr>
                <w:sz w:val="20"/>
                <w:szCs w:val="20"/>
                <w:color w:val="auto"/>
              </w:rPr>
            </w:pPr>
            <w:r>
              <w:rPr>
                <w:rFonts w:ascii="Arial" w:cs="Arial" w:eastAsia="Arial" w:hAnsi="Arial"/>
                <w:sz w:val="18"/>
                <w:szCs w:val="18"/>
                <w:color w:val="auto"/>
              </w:rPr>
              <w:t>Members' Equity</w:t>
            </w: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600" w:type="dxa"/>
            <w:vAlign w:val="bottom"/>
          </w:tcPr>
          <w:p>
            <w:pPr>
              <w:jc w:val="right"/>
              <w:ind w:right="43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6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58"/>
              <w:spacing w:after="0"/>
              <w:rPr>
                <w:sz w:val="20"/>
                <w:szCs w:val="20"/>
                <w:color w:val="auto"/>
              </w:rPr>
            </w:pPr>
            <w:r>
              <w:rPr>
                <w:rFonts w:ascii="Arial" w:cs="Arial" w:eastAsia="Arial" w:hAnsi="Arial"/>
                <w:sz w:val="18"/>
                <w:szCs w:val="18"/>
                <w:color w:val="auto"/>
                <w:w w:val="91"/>
              </w:rPr>
              <w:t>F-22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-2518410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-2518410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-2518410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-2518410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-2518410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-2518410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-2518410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-2518410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-1249045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-1249045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-1249045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-1249045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-1249045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-1249045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-1249045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-1249045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-1249045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-1249045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-957580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-957580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-957580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-957580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-957580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-957580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-957580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-957580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7266940</wp:posOffset>
            </wp:positionH>
            <wp:positionV relativeFrom="paragraph">
              <wp:posOffset>-957580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-957580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3"/>
                <w:szCs w:val="13"/>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18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3"/>
                <w:szCs w:val="13"/>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Due from Related Parties,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272,071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Intercompany Balances, Net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1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(62,038)</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w w:val="99"/>
              </w:rPr>
              <w:t>Liabilities and Members'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Current Portion of Long-Term Debt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Deficit Accumulated from Inception</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2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(7,806)</w:t>
            </w:r>
          </w:p>
        </w:tc>
        <w:tc>
          <w:tcPr>
            <w:tcW w:w="24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384,230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-6137275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-6137275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-6137275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-6137275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-6137275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-6137275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-6137275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-6137275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-6137275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-6137275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-6137275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-6137275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-4747895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-4747895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-4747895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-4747895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-4747895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-4747895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-4747895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-4747895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-3479165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-3479165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-3479165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-3479165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-3479165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-3479165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-3479165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-3479165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-3479165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-3479165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-3479165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-3479165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-2021205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-2021205</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-2021205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-2021205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-2021205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-2021205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-2021205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-2021205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-2021205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-2021205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-2021205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-2021205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-751840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-751840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-751840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-751840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-751840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-751840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-751840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-751840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-460375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-460375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-460375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-460375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-460375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-460375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-460375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-460375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-460375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-460375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-460375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-460375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520"/>
          </w:cols>
          <w:pgMar w:left="240" w:top="131" w:right="139" w:bottom="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7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66,556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Intercompany Balances, Net of</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Current Portion of Long-Term Debt</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4,592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Members' Equity</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Deficit Accumulated from</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Inception During the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420"/>
              <w:spacing w:after="0"/>
              <w:rPr>
                <w:sz w:val="20"/>
                <w:szCs w:val="20"/>
                <w:color w:val="auto"/>
              </w:rPr>
            </w:pPr>
            <w:r>
              <w:rPr>
                <w:rFonts w:ascii="Arial" w:cs="Arial" w:eastAsia="Arial" w:hAnsi="Arial"/>
                <w:sz w:val="18"/>
                <w:szCs w:val="18"/>
                <w:color w:val="auto"/>
              </w:rPr>
              <w:t>Development Stage</w:t>
            </w:r>
          </w:p>
        </w:tc>
        <w:tc>
          <w:tcPr>
            <w:tcW w:w="2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(8,562)</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vMerge w:val="restart"/>
          </w:tcPr>
          <w:p>
            <w:pPr>
              <w:ind w:left="640"/>
              <w:spacing w:after="0"/>
              <w:rPr>
                <w:sz w:val="20"/>
                <w:szCs w:val="20"/>
                <w:color w:val="auto"/>
              </w:rPr>
            </w:pPr>
            <w:r>
              <w:rPr>
                <w:rFonts w:ascii="Arial" w:cs="Arial" w:eastAsia="Arial" w:hAnsi="Arial"/>
                <w:sz w:val="18"/>
                <w:szCs w:val="18"/>
                <w:color w:val="auto"/>
                <w:w w:val="98"/>
              </w:rPr>
              <w:t>Total Liabilities and Members'</w:t>
            </w: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tcPr>
          <w:p>
            <w:pPr>
              <w:ind w:left="64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388,928</w:t>
            </w:r>
          </w:p>
        </w:tc>
        <w:tc>
          <w:tcPr>
            <w:tcW w:w="2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-6892290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-6892290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-6892290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-6892290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-6892290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-6892290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-6892290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-6892290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-6892290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-6892290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-5571490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-5571490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-5571490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-5571490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-5571490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-5571490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-5571490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-5571490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-5571490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-5571490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-4422140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-4422140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-4422140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-4422140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-4422140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-4422140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-4422140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-4422140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-4422140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-4422140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-2809875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-2809875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-2809875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-2809875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-2809875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-2809875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-2809875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-2809875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-2809875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-2809875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-1386205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-1386205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-1386205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-1386205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-1386205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-1386205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-1386205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-1386205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-1386205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-1094740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-1094740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-1094740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-1094740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-1094740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-1094740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-1094740</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-1094740</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-1094740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-1094740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563" w:right="239" w:bottom="0" w:gutter="0" w:footer="0" w:header="0"/>
        </w:sectPr>
      </w:pPr>
    </w:p>
    <w:bookmarkStart w:id="107" w:name="page108"/>
    <w:bookmarkEnd w:id="107"/>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Wynn Las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Vegas, LLC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and Wynn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0"/>
              </w:rPr>
              <w:t>Las Vegas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93"/>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Capital Corp.</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6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6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center"/>
              <w:ind w:left="656"/>
              <w:spacing w:after="0"/>
              <w:rPr>
                <w:sz w:val="20"/>
                <w:szCs w:val="20"/>
                <w:color w:val="auto"/>
              </w:rPr>
            </w:pPr>
            <w:r>
              <w:rPr>
                <w:rFonts w:ascii="Arial" w:cs="Arial" w:eastAsia="Arial" w:hAnsi="Arial"/>
                <w:sz w:val="18"/>
                <w:szCs w:val="18"/>
                <w:color w:val="auto"/>
                <w:w w:val="91"/>
              </w:rPr>
              <w:t>F-25</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gridSpan w:val="3"/>
          </w:tcPr>
          <w:p>
            <w:pPr>
              <w:spacing w:after="0"/>
              <w:rPr>
                <w:sz w:val="19"/>
                <w:szCs w:val="19"/>
                <w:color w:val="auto"/>
              </w:rPr>
            </w:pPr>
          </w:p>
        </w:tc>
        <w:tc>
          <w:tcPr>
            <w:tcW w:w="180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5"/>
          </w:tcPr>
          <w:p>
            <w:pPr>
              <w:jc w:val="center"/>
              <w:ind w:right="60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20" w:type="dxa"/>
            <w:vAlign w:val="bottom"/>
            <w:gridSpan w:val="16"/>
          </w:tcPr>
          <w:p>
            <w:pPr>
              <w:jc w:val="center"/>
              <w:ind w:right="50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8"/>
              </w:rPr>
              <w:t>Six Months Ended June 30, 2001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Valvino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Lamore, LLC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1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center"/>
              <w:ind w:left="976"/>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760" w:type="dxa"/>
            <w:vAlign w:val="bottom"/>
            <w:gridSpan w:val="4"/>
          </w:tcPr>
          <w:p>
            <w:pPr>
              <w:ind w:left="134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Selling, General &amp; Administrative</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-9558655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-9558655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-9558655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-9558655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-9558655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-9558655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-9558655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-9558655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-9558655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-9558655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-9558655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-9558655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-8649970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-8649970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-8649970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-8649970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-8649970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-8649970</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-8649970</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-8649970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-8649970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-8649970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-8649970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-8649970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-6762750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-6762750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-6762750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-6762750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-6762750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-6762750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-6762750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-6762750</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-6762750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-6762750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-6762750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-6762750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-6454140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-6454140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-6454140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-6454140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-6454140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-6454140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-6454140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-6454140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-6454140</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-6454140</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-6454140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-6454140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-5442585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-5442585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-5442585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-5442585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-5442585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-5442585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-5442585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-5442585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-5442585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-5442585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-5442585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-5442585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-4053205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-4053205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-2132330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-2132330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-2132330</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-2132330</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-2132330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-2132330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-2132330</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-2132330</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-2132330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-2132330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-2132330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-2132330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-1531620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-1531620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-1531620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-1531620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-1531620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-1531620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-1531620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-1531620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-1531620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-1531620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-1531620</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-1531620</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3"/>
        </w:trPr>
        <w:tc>
          <w:tcPr>
            <w:tcW w:w="2880" w:type="dxa"/>
            <w:vAlign w:val="bottom"/>
          </w:tcPr>
          <w:p>
            <w:pPr>
              <w:ind w:left="460"/>
              <w:spacing w:after="0"/>
              <w:rPr>
                <w:sz w:val="20"/>
                <w:szCs w:val="20"/>
                <w:color w:val="auto"/>
              </w:rPr>
            </w:pPr>
            <w:r>
              <w:rPr>
                <w:rFonts w:ascii="Arial" w:cs="Arial" w:eastAsia="Arial" w:hAnsi="Arial"/>
                <w:sz w:val="18"/>
                <w:szCs w:val="18"/>
                <w:color w:val="auto"/>
              </w:rPr>
              <w:t>Total Expenses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24"/>
                <w:szCs w:val="24"/>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(7,220)</w:t>
            </w:r>
          </w:p>
        </w:tc>
        <w:tc>
          <w:tcPr>
            <w:tcW w:w="5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shd w:val="clear" w:color="auto" w:fill="CCEEFF"/>
          </w:tcPr>
          <w:p>
            <w:pPr>
              <w:spacing w:after="0"/>
              <w:rPr>
                <w:sz w:val="24"/>
                <w:szCs w:val="24"/>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431"/>
        </w:trPr>
        <w:tc>
          <w:tcPr>
            <w:tcW w:w="2880" w:type="dxa"/>
            <w:vAlign w:val="bottom"/>
          </w:tcPr>
          <w:p>
            <w:pPr>
              <w:spacing w:after="0"/>
              <w:rPr>
                <w:sz w:val="20"/>
                <w:szCs w:val="20"/>
                <w:color w:val="auto"/>
              </w:rPr>
            </w:pPr>
            <w:r>
              <w:rPr>
                <w:rFonts w:ascii="Arial" w:cs="Arial" w:eastAsia="Arial" w:hAnsi="Arial"/>
                <w:sz w:val="18"/>
                <w:szCs w:val="18"/>
                <w:color w:val="auto"/>
              </w:rPr>
              <w:t>Other Income / (Expense)</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Interest Expense, Net of Amounts</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w:t>
            </w:r>
          </w:p>
        </w:tc>
        <w:tc>
          <w:tcPr>
            <w:tcW w:w="56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8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880" w:type="dxa"/>
            <w:vAlign w:val="bottom"/>
            <w:vMerge w:val="restart"/>
          </w:tcPr>
          <w:p>
            <w:pPr>
              <w:ind w:left="460"/>
              <w:spacing w:after="0"/>
              <w:rPr>
                <w:sz w:val="20"/>
                <w:szCs w:val="20"/>
                <w:color w:val="auto"/>
              </w:rPr>
            </w:pPr>
            <w:r>
              <w:rPr>
                <w:rFonts w:ascii="Arial" w:cs="Arial" w:eastAsia="Arial" w:hAnsi="Arial"/>
                <w:sz w:val="18"/>
                <w:szCs w:val="18"/>
                <w:color w:val="auto"/>
              </w:rPr>
              <w:t>Net Loss Accumulated During</w:t>
            </w:r>
          </w:p>
        </w:tc>
        <w:tc>
          <w:tcPr>
            <w:tcW w:w="5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9"/>
        </w:trPr>
        <w:tc>
          <w:tcPr>
            <w:tcW w:w="2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80" w:type="dxa"/>
            <w:vAlign w:val="bottom"/>
          </w:tcPr>
          <w:p>
            <w:pPr>
              <w:ind w:left="460"/>
              <w:spacing w:after="0"/>
              <w:rPr>
                <w:sz w:val="20"/>
                <w:szCs w:val="20"/>
                <w:color w:val="auto"/>
              </w:rPr>
            </w:pPr>
            <w:r>
              <w:rPr>
                <w:rFonts w:ascii="Arial" w:cs="Arial" w:eastAsia="Arial" w:hAnsi="Arial"/>
                <w:sz w:val="18"/>
                <w:szCs w:val="18"/>
                <w:color w:val="auto"/>
              </w:rPr>
              <w:t>the Development Stage</w:t>
            </w:r>
          </w:p>
        </w:tc>
        <w:tc>
          <w:tcPr>
            <w:tcW w:w="560" w:type="dxa"/>
            <w:vAlign w:val="bottom"/>
          </w:tcPr>
          <w:p>
            <w:pPr>
              <w:jc w:val="right"/>
              <w:ind w:right="3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(5,684)</w:t>
            </w: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F-26</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page">
              <wp:posOffset>1981835</wp:posOffset>
            </wp:positionH>
            <wp:positionV relativeFrom="page">
              <wp:posOffset>309880</wp:posOffset>
            </wp:positionV>
            <wp:extent cx="5380990" cy="215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5380990" cy="215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-1403350</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-1403350</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-1403350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-1403350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-1403350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-1403350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-1094740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-1094740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-1094740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-1094740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-1094740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-1094740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Valvino</w:t>
            </w:r>
          </w:p>
        </w:tc>
        <w:tc>
          <w:tcPr>
            <w:tcW w:w="24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240" w:type="dxa"/>
            <w:vAlign w:val="bottom"/>
          </w:tcPr>
          <w:p>
            <w:pPr>
              <w:spacing w:after="0"/>
              <w:rPr>
                <w:sz w:val="15"/>
                <w:szCs w:val="15"/>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42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6"/>
        </w:trPr>
        <w:tc>
          <w:tcPr>
            <w:tcW w:w="2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(12,703)</w:t>
            </w:r>
          </w:p>
        </w:tc>
        <w:tc>
          <w:tcPr>
            <w:tcW w:w="24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4"/>
                <w:szCs w:val="24"/>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During the Development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3"/>
          </w:tcPr>
          <w:p>
            <w:pPr>
              <w:jc w:val="right"/>
              <w:ind w:right="23"/>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-5756910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-5756910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-5756910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-5756910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-5756910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-5756910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-5756910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-5756910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-5756910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-5756910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-5756910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-5756910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-4847590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-4847590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-4847590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-4847590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-4847590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-4847590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-4847590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-4847590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-4847590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-4847590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-4847590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-4847590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-2823845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-2823845</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-2823845</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-2823845</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-2823845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-2823845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-2823845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-2823845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-2823845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-2823845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-2823845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-2823845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-2515235</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-2515235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-2515235</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-2515235</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-2515235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-2515235</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-2515235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-2515235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-2515235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-2515235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-2515235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-2515235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-1383030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-1383030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-1383030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-1383030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-1383030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-1383030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-1383030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-1383030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-1383030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-1383030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-1383030</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-1383030</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-1074420</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-1074420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-1074420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-1074420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-1074420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-1074420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-1074420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-1074420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-1074420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-1074420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-1074420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-1074420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0" w:gutter="0" w:footer="0" w:header="0"/>
        </w:sectPr>
      </w:pPr>
    </w:p>
    <w:bookmarkStart w:id="109" w:name="page110"/>
    <w:bookmarkEnd w:id="109"/>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772"/>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Eliminating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3"/>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w w:val="89"/>
              </w:rPr>
              <w:t>Depreciation and Amortization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42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(9,979)</w:t>
            </w: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42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Interest Expense, Net of Amounts</w:t>
            </w: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140" w:type="dxa"/>
            <w:vAlign w:val="bottom"/>
            <w:gridSpan w:val="5"/>
          </w:tcPr>
          <w:p>
            <w:pPr>
              <w:ind w:left="440"/>
              <w:spacing w:after="0"/>
              <w:rPr>
                <w:sz w:val="20"/>
                <w:szCs w:val="20"/>
                <w:color w:val="auto"/>
              </w:rPr>
            </w:pPr>
            <w:r>
              <w:rPr>
                <w:rFonts w:ascii="Arial" w:cs="Arial" w:eastAsia="Arial" w:hAnsi="Arial"/>
                <w:sz w:val="18"/>
                <w:szCs w:val="18"/>
                <w:color w:val="auto"/>
              </w:rPr>
              <w:t>Net Loss Accumulated During the</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300" w:type="dxa"/>
            <w:vAlign w:val="bottom"/>
          </w:tcPr>
          <w:p>
            <w:pPr>
              <w:spacing w:after="0"/>
              <w:rPr>
                <w:sz w:val="19"/>
                <w:szCs w:val="19"/>
                <w:color w:val="auto"/>
              </w:rPr>
            </w:pPr>
          </w:p>
        </w:tc>
        <w:tc>
          <w:tcPr>
            <w:tcW w:w="1320" w:type="dxa"/>
            <w:vAlign w:val="bottom"/>
            <w:gridSpan w:val="2"/>
          </w:tcPr>
          <w:p>
            <w:pPr>
              <w:jc w:val="right"/>
              <w:ind w:right="5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F-28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gridSpan w:val="6"/>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gridSpan w:val="2"/>
          </w:tcPr>
          <w:p>
            <w:pPr>
              <w:spacing w:after="0"/>
              <w:rPr>
                <w:sz w:val="19"/>
                <w:szCs w:val="19"/>
                <w:color w:val="auto"/>
              </w:rPr>
            </w:pPr>
          </w:p>
        </w:tc>
        <w:tc>
          <w:tcPr>
            <w:tcW w:w="1820" w:type="dxa"/>
            <w:vAlign w:val="bottom"/>
            <w:tcBorders>
              <w:bottom w:val="single" w:sz="8" w:color="808080"/>
            </w:tcBorders>
            <w:gridSpan w:val="3"/>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40" w:type="dxa"/>
            <w:vAlign w:val="bottom"/>
            <w:gridSpan w:val="17"/>
          </w:tcPr>
          <w:p>
            <w:pPr>
              <w:jc w:val="center"/>
              <w:ind w:right="65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gridSpan w:val="18"/>
          </w:tcPr>
          <w:p>
            <w:pPr>
              <w:jc w:val="center"/>
              <w:ind w:right="32"/>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11"/>
          </w:tcPr>
          <w:p>
            <w:pPr>
              <w:jc w:val="center"/>
              <w:ind w:left="196"/>
              <w:spacing w:after="0"/>
              <w:rPr>
                <w:sz w:val="20"/>
                <w:szCs w:val="20"/>
                <w:color w:val="auto"/>
              </w:rPr>
            </w:pPr>
            <w:r>
              <w:rPr>
                <w:rFonts w:ascii="Arial" w:cs="Arial" w:eastAsia="Arial" w:hAnsi="Arial"/>
                <w:sz w:val="18"/>
                <w:szCs w:val="18"/>
                <w:b w:val="1"/>
                <w:bCs w:val="1"/>
                <w:color w:val="auto"/>
                <w:w w:val="88"/>
              </w:rPr>
              <w:t>From Inception to June 30, 2002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5"/>
              </w:rPr>
              <w:t>Wynn Las Vegas,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Valvino</w:t>
            </w:r>
          </w:p>
        </w:tc>
        <w:tc>
          <w:tcPr>
            <w:tcW w:w="12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3"/>
              </w:rPr>
              <w:t>LLC and Wynn Las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Vegas Capital Corp.</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16"/>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4,205</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152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124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4,481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(2,403)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10,779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5"/>
          </w:tcPr>
          <w:p>
            <w:pPr>
              <w:jc w:val="right"/>
              <w:ind w:right="80"/>
              <w:spacing w:after="0"/>
              <w:rPr>
                <w:sz w:val="20"/>
                <w:szCs w:val="20"/>
                <w:color w:val="auto"/>
              </w:rPr>
            </w:pPr>
            <w:r>
              <w:rPr>
                <w:rFonts w:ascii="Arial" w:cs="Arial" w:eastAsia="Arial" w:hAnsi="Arial"/>
                <w:sz w:val="18"/>
                <w:szCs w:val="18"/>
                <w:color w:val="auto"/>
              </w:rPr>
              <w:t>14,732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(2,169)</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13,682</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Loss / (Gain) on Sale of</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387</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375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1,579</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Loss / (Gain) from Incidental</w:t>
            </w:r>
          </w:p>
        </w:tc>
        <w:tc>
          <w:tcPr>
            <w:tcW w:w="3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-9018270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-9018270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-9018270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-9018270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-9018270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-9018270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-9018270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-9018270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-9018270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-9018270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-7698105</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-7698105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-7698105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-7698105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-7698105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-7698105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-7698105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-7698105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-7698105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-7698105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-7388860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-7388860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-7388860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-7388860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-7388860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-7388860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-7388860</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-7388860</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-7388860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-7388860</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-6257290</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-6257290</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-6257290</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-6257290</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-6257290</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-6257290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-6257290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-6257290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-6257290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-6257290</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-5948680</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-5948680</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-5948680</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-5948680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-5948680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-5948680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-5948680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-5948680</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-5948680</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-5948680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-5005070</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-5005070</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-2989580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-2989580</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-2989580</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-2989580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-2989580</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-2989580</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-2989580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-2989580</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-2989580</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-2989580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-2989580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-2989580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-2080895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-2080895</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-2080895</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-2080895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-2080895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-2080895</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-2080895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-2080895</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-2080895</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-2080895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-2080895</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-2080895</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341" w:right="239" w:bottom="0" w:gutter="0" w:footer="0" w:header="0"/>
        </w:sectPr>
      </w:pPr>
    </w:p>
    <w:bookmarkStart w:id="110" w:name="page111"/>
    <w:bookmarkEnd w:id="11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1690370</wp:posOffset>
            </wp:positionH>
            <wp:positionV relativeFrom="page">
              <wp:posOffset>88900</wp:posOffset>
            </wp:positionV>
            <wp:extent cx="5672455" cy="1905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67245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Income /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w w:val="99"/>
              </w:rPr>
              <w:t>During the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ind w:left="440"/>
              <w:spacing w:after="0"/>
              <w:rPr>
                <w:sz w:val="20"/>
                <w:szCs w:val="20"/>
                <w:color w:val="auto"/>
              </w:rPr>
            </w:pPr>
            <w:r>
              <w:rPr>
                <w:rFonts w:ascii="Arial" w:cs="Arial" w:eastAsia="Arial" w:hAnsi="Arial"/>
                <w:sz w:val="18"/>
                <w:szCs w:val="18"/>
                <w:color w:val="auto"/>
              </w:rPr>
              <w:t>Stage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9"/>
                <w:szCs w:val="19"/>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(25,875) $</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(1,721) $</w:t>
            </w:r>
          </w:p>
        </w:tc>
        <w:tc>
          <w:tcPr>
            <w:tcW w:w="30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(12,229) $</w:t>
            </w:r>
          </w:p>
        </w:tc>
        <w:tc>
          <w:tcPr>
            <w:tcW w:w="26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(4,108) $</w:t>
            </w:r>
          </w:p>
        </w:tc>
        <w:tc>
          <w:tcPr>
            <w:tcW w:w="18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2,815 $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F-29</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3"/>
          </w:tcPr>
          <w:p>
            <w:pPr>
              <w:spacing w:after="0"/>
              <w:rPr>
                <w:sz w:val="19"/>
                <w:szCs w:val="19"/>
                <w:color w:val="auto"/>
              </w:rPr>
            </w:pPr>
          </w:p>
        </w:tc>
        <w:tc>
          <w:tcPr>
            <w:tcW w:w="1920" w:type="dxa"/>
            <w:vAlign w:val="bottom"/>
            <w:tcBorders>
              <w:bottom w:val="single" w:sz="8" w:color="808080"/>
            </w:tcBorders>
            <w:gridSpan w:val="4"/>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gridSpan w:val="16"/>
          </w:tcPr>
          <w:p>
            <w:pPr>
              <w:jc w:val="center"/>
              <w:ind w:right="38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Six Months Ended June 30, 2002</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(Unaudited)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Wynn Las Vegas,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16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2"/>
                <w:szCs w:val="12"/>
                <w:color w:val="auto"/>
              </w:rPr>
            </w:pPr>
          </w:p>
        </w:tc>
        <w:tc>
          <w:tcPr>
            <w:tcW w:w="1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1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9"/>
              </w:rPr>
              <w:t>Vegas Capital Corp.</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Guarantors</w:t>
            </w:r>
          </w:p>
        </w:tc>
        <w:tc>
          <w:tcPr>
            <w:tcW w:w="260" w:type="dxa"/>
            <w:vAlign w:val="bottom"/>
          </w:tcPr>
          <w:p>
            <w:pPr>
              <w:spacing w:after="0"/>
              <w:rPr>
                <w:sz w:val="15"/>
                <w:szCs w:val="15"/>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Operating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Development Stage</w:t>
            </w:r>
          </w:p>
        </w:tc>
        <w:tc>
          <w:tcPr>
            <w:tcW w:w="3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(6,944)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4"/>
          </w:tcPr>
          <w:p>
            <w:pPr>
              <w:jc w:val="right"/>
              <w:ind w:right="220"/>
              <w:spacing w:after="0" w:line="159" w:lineRule="exact"/>
              <w:rPr>
                <w:sz w:val="20"/>
                <w:szCs w:val="20"/>
                <w:color w:val="auto"/>
              </w:rPr>
            </w:pPr>
            <w:r>
              <w:rPr>
                <w:rFonts w:ascii="Arial" w:cs="Arial" w:eastAsia="Arial" w:hAnsi="Arial"/>
                <w:sz w:val="14"/>
                <w:szCs w:val="14"/>
                <w:color w:val="auto"/>
              </w:rPr>
              <w:t>(843) $</w:t>
            </w: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(4,424)</w:t>
            </w:r>
          </w:p>
        </w:tc>
        <w:tc>
          <w:tcPr>
            <w:tcW w:w="26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76"/>
              </w:rPr>
              <w:t>$</w:t>
            </w:r>
          </w:p>
        </w:tc>
        <w:tc>
          <w:tcPr>
            <w:tcW w:w="16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(3,380)</w:t>
            </w:r>
          </w:p>
        </w:tc>
        <w:tc>
          <w:tcPr>
            <w:tcW w:w="180" w:type="dxa"/>
            <w:vAlign w:val="bottom"/>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2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During the Development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Stage to Net Cash Provided by/(Used in)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96"/>
              </w:rPr>
              <w:t>Gain/(Loss) on Sale of Fixed Assets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8"/>
              </w:rPr>
              <w:t>Increase (Decrease) in Cash from Changes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(158)</w:t>
            </w: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2,650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8"/>
              </w:rPr>
              <w:t>Net Cash Provided by / (Used in) Operating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3,656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(2,662)</w:t>
            </w:r>
          </w:p>
        </w:tc>
        <w:tc>
          <w:tcPr>
            <w:tcW w:w="30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(2,574)</w:t>
            </w:r>
          </w:p>
        </w:tc>
        <w:tc>
          <w:tcPr>
            <w:tcW w:w="26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Cash Flows From Investing Activities</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4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6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Acquisition of Airplane</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(9,591)</w:t>
            </w:r>
          </w:p>
        </w:tc>
        <w:tc>
          <w:tcPr>
            <w:tcW w:w="260" w:type="dxa"/>
            <w:vAlign w:val="bottom"/>
          </w:tcPr>
          <w:p>
            <w:pPr>
              <w:spacing w:after="0"/>
              <w:rPr>
                <w:sz w:val="21"/>
                <w:szCs w:val="21"/>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(27,518)</w:t>
            </w: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0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(27,111)</w:t>
            </w: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color w:val="auto"/>
              </w:rPr>
              <w:t>(7,683)</w:t>
            </w:r>
          </w:p>
        </w:tc>
        <w:tc>
          <w:tcPr>
            <w:tcW w:w="18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4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(54,621)</w:t>
            </w: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Cash Flows From Financing Activities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173,494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23,804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color w:val="auto"/>
              </w:rPr>
              <w:t>(23,804)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173,494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1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220"/>
              <w:spacing w:after="0"/>
              <w:rPr>
                <w:sz w:val="20"/>
                <w:szCs w:val="20"/>
                <w:color w:val="auto"/>
              </w:rPr>
            </w:pPr>
            <w:r>
              <w:rPr>
                <w:rFonts w:ascii="Arial" w:cs="Arial" w:eastAsia="Arial" w:hAnsi="Arial"/>
                <w:sz w:val="14"/>
                <w:szCs w:val="14"/>
                <w:color w:val="auto"/>
                <w:w w:val="89"/>
              </w:rPr>
              <w:t>Principal Payments of Long-Term Debt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Net Cash Provided by Financing</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Activities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173,478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4"/>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560" w:type="dxa"/>
            <w:vAlign w:val="bottom"/>
            <w:tcBorders>
              <w:right w:val="single" w:sz="8" w:color="CCEEFF"/>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26,860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(23,804)</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176,534</w:t>
            </w:r>
          </w:p>
        </w:tc>
        <w:tc>
          <w:tcPr>
            <w:tcW w:w="0" w:type="dxa"/>
            <w:vAlign w:val="bottom"/>
          </w:tcPr>
          <w:p>
            <w:pPr>
              <w:spacing w:after="0"/>
              <w:rPr>
                <w:sz w:val="1"/>
                <w:szCs w:val="1"/>
                <w:color w:val="auto"/>
              </w:rPr>
            </w:pPr>
          </w:p>
        </w:tc>
      </w:tr>
      <w:tr>
        <w:trPr>
          <w:trHeight w:val="118"/>
        </w:trPr>
        <w:tc>
          <w:tcPr>
            <w:tcW w:w="2420" w:type="dxa"/>
            <w:vAlign w:val="bottom"/>
            <w:gridSpan w:val="2"/>
            <w:vMerge w:val="restart"/>
          </w:tcPr>
          <w:p>
            <w:pPr>
              <w:spacing w:after="0"/>
              <w:rPr>
                <w:sz w:val="20"/>
                <w:szCs w:val="20"/>
                <w:color w:val="auto"/>
              </w:rPr>
            </w:pPr>
            <w:r>
              <w:rPr>
                <w:rFonts w:ascii="Arial" w:cs="Arial" w:eastAsia="Arial" w:hAnsi="Arial"/>
                <w:sz w:val="14"/>
                <w:szCs w:val="14"/>
                <w:color w:val="auto"/>
                <w:w w:val="99"/>
              </w:rPr>
              <w:t>Increase/(Decrease) in Cash and Cash</w:t>
            </w: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Equivalents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122,513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(967)</w:t>
            </w:r>
          </w:p>
        </w:tc>
        <w:tc>
          <w:tcPr>
            <w:tcW w:w="260" w:type="dxa"/>
            <w:vAlign w:val="bottom"/>
          </w:tcPr>
          <w:p>
            <w:pPr>
              <w:spacing w:after="0"/>
              <w:rPr>
                <w:sz w:val="13"/>
                <w:szCs w:val="13"/>
                <w:color w:val="auto"/>
              </w:rPr>
            </w:pPr>
          </w:p>
        </w:tc>
        <w:tc>
          <w:tcPr>
            <w:tcW w:w="1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26,997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148,592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2550160</wp:posOffset>
            </wp:positionH>
            <wp:positionV relativeFrom="paragraph">
              <wp:posOffset>-9265285</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-9265285</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-9265285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-9265285</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-9265285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-9265285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-9265285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-9265285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-9265285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-9265285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-9265285</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-9265285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-8802370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-8802370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-8802370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-8802370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-8802370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-8802370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-8802370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-8802370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-8802370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-8802370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-8802370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-8802370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-7721600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-7721600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-5706745</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-5706745</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-5706745</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-5706745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-5706745</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-5706745</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-5706745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-5706745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-5706745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-5706745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-5706745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-5706745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-3125470</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-3125470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-3125470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-3125470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-3125470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-3125470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-3125470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-3125470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-3125470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-3125470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-3125470</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-3125470</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-2781935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-2781935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-2781935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-2781935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-2781935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-2781935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-2781935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-2781935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-2781935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-2781935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-2781935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-2781935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-1761490</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-1761490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-1761490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-1761490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-1761490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-1761490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-1761490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-1761490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-1761490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-1761490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-1761490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-1761490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-1418590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-1418590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-1418590</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-1418590</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-1418590</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-1418590</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-1418590</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-1418590</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-1418590</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-1418590</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-1418590</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-1418590</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-706755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-706755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-706755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-706755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-706755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-706755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-706755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-706755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-706755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-706755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-706755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-706755</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-363855</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-363855</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-363855</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-363855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-363855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-363855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-363855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-363855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-363855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-363855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-363855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-363855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20"/>
          </w:cols>
          <w:pgMar w:left="240" w:top="374" w:right="239" w:bottom="0" w:gutter="0" w:footer="0" w:header="0"/>
        </w:sectPr>
      </w:pPr>
    </w:p>
    <w:bookmarkStart w:id="111" w:name="page112"/>
    <w:bookmarkEnd w:id="1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1758950</wp:posOffset>
            </wp:positionH>
            <wp:positionV relativeFrom="page">
              <wp:posOffset>88900</wp:posOffset>
            </wp:positionV>
            <wp:extent cx="5612765" cy="1905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5612765"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162,103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26,997</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6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color w:val="auto"/>
                <w:w w:val="97"/>
              </w:rPr>
              <w:t>Interest Paid, Net of Amounts Capitalized</w:t>
            </w:r>
          </w:p>
        </w:tc>
        <w:tc>
          <w:tcPr>
            <w:tcW w:w="620" w:type="dxa"/>
            <w:vAlign w:val="bottom"/>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660" w:type="dxa"/>
            <w:vAlign w:val="bottom"/>
          </w:tcPr>
          <w:p>
            <w:pPr>
              <w:ind w:left="520"/>
              <w:spacing w:after="0"/>
              <w:rPr>
                <w:sz w:val="20"/>
                <w:szCs w:val="20"/>
                <w:color w:val="auto"/>
              </w:rPr>
            </w:pPr>
            <w:r>
              <w:rPr>
                <w:rFonts w:ascii="Arial" w:cs="Arial" w:eastAsia="Arial" w:hAnsi="Arial"/>
                <w:sz w:val="14"/>
                <w:szCs w:val="14"/>
                <w:color w:val="auto"/>
                <w:w w:val="85"/>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640" w:type="dxa"/>
            <w:vAlign w:val="bottom"/>
          </w:tcPr>
          <w:p>
            <w:pPr>
              <w:ind w:left="520"/>
              <w:spacing w:after="0"/>
              <w:rPr>
                <w:sz w:val="20"/>
                <w:szCs w:val="20"/>
                <w:color w:val="auto"/>
              </w:rPr>
            </w:pPr>
            <w:r>
              <w:rPr>
                <w:rFonts w:ascii="Arial" w:cs="Arial" w:eastAsia="Arial" w:hAnsi="Arial"/>
                <w:sz w:val="14"/>
                <w:szCs w:val="14"/>
                <w:color w:val="auto"/>
                <w:w w:val="71"/>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900" w:orient="portrait"/>
          <w:cols w:equalWidth="0" w:num="1">
            <w:col w:w="11420"/>
          </w:cols>
          <w:pgMar w:left="240" w:top="277"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Wynn Las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Vegas, LLC</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6"/>
              </w:rPr>
              <w:t>Net Loss Accumulated During the Development</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w w:val="94"/>
              </w:rPr>
              <w:t>Adjustments to Reconcile Net Loss Accumulated</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w w:val="98"/>
              </w:rPr>
              <w:t>Increase (Decrease) in Cash from Changes in: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w w:val="98"/>
              </w:rPr>
              <w:t>Net Cash Provided by / (Used in) Investing</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288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w w:val="89"/>
              </w:rPr>
              <w:t>Increase/(Decrease) in Cash and Cash Equivalents</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880" w:type="dxa"/>
            <w:vAlign w:val="bottom"/>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r>
        <w:trPr>
          <w:trHeight w:val="92"/>
        </w:trPr>
        <w:tc>
          <w:tcPr>
            <w:tcW w:w="2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8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8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-5427345</wp:posOffset>
            </wp:positionV>
            <wp:extent cx="7246620" cy="9461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-5144770</wp:posOffset>
            </wp:positionV>
            <wp:extent cx="7246620" cy="28321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-4707255</wp:posOffset>
            </wp:positionV>
            <wp:extent cx="7246620" cy="15430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-4398645</wp:posOffset>
            </wp:positionV>
            <wp:extent cx="7246620" cy="9461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-4149725</wp:posOffset>
            </wp:positionV>
            <wp:extent cx="7246620" cy="15430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-3841115</wp:posOffset>
            </wp:positionV>
            <wp:extent cx="7246620" cy="15430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-3188970</wp:posOffset>
            </wp:positionV>
            <wp:extent cx="7246620" cy="9461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-2940685</wp:posOffset>
            </wp:positionV>
            <wp:extent cx="7246620" cy="15430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7246620" cy="15430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-2168525</wp:posOffset>
            </wp:positionV>
            <wp:extent cx="7246620" cy="18859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15430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5430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246620" cy="9461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-5509260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-5509260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-5509260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-5509260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-3613785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-3613785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-3613785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-3613785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-3270885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-3270885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-3270885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-3270885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-2250440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-2250440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-2250440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-2250440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-1906905</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-1906905</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-1906905</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-1906905</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-1195070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-1195070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-1195070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-1195070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-886460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-886460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-886460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-886460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-543560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-543560</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-543560</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-543560</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(2,130)</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9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(383)</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(7,434)</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4"/>
                <w:szCs w:val="14"/>
                <w:color w:val="auto"/>
              </w:rPr>
              <w:t>2,315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(275)</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0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960" w:type="dxa"/>
            <w:vAlign w:val="bottom"/>
            <w:tcBorders>
              <w:righ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15"/>
        </w:trPr>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-5515610</wp:posOffset>
            </wp:positionV>
            <wp:extent cx="3425825" cy="215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-3620135</wp:posOffset>
            </wp:positionV>
            <wp:extent cx="3425825"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-3277235</wp:posOffset>
            </wp:positionV>
            <wp:extent cx="3425825" cy="215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-2256790</wp:posOffset>
            </wp:positionV>
            <wp:extent cx="342582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-1913255</wp:posOffset>
            </wp:positionV>
            <wp:extent cx="3425825" cy="215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-1201420</wp:posOffset>
            </wp:positionV>
            <wp:extent cx="3425825" cy="215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-892810</wp:posOffset>
            </wp:positionV>
            <wp:extent cx="3425825" cy="215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-549910</wp:posOffset>
            </wp:positionV>
            <wp:extent cx="3425825" cy="215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3425825" cy="2159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-300990</wp:posOffset>
            </wp:positionV>
            <wp:extent cx="793115" cy="3873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793115" cy="38735"/>
                    </a:xfrm>
                    <a:prstGeom prst="rect">
                      <a:avLst/>
                    </a:prstGeom>
                    <a:noFill/>
                  </pic:spPr>
                </pic:pic>
              </a:graphicData>
            </a:graphic>
          </wp:anchor>
        </w:drawing>
      </w:r>
    </w:p>
    <w:p>
      <w:pPr>
        <w:spacing w:after="0" w:line="195" w:lineRule="exact"/>
        <w:rPr>
          <w:sz w:val="20"/>
          <w:szCs w:val="20"/>
          <w:color w:val="auto"/>
        </w:rPr>
      </w:pPr>
    </w:p>
    <w:p>
      <w:pPr>
        <w:sectPr>
          <w:pgSz w:w="11900" w:h="16900" w:orient="portrait"/>
          <w:cols w:equalWidth="0" w:num="2">
            <w:col w:w="6040" w:space="220"/>
            <w:col w:w="5160"/>
          </w:cols>
          <w:pgMar w:left="240" w:top="277" w:right="239" w:bottom="0" w:gutter="0" w:footer="0" w:header="0"/>
          <w:type w:val="continuous"/>
        </w:sect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Valvino</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7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Lamore, LLC</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Vegas, LLC</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Guarantors</w:t>
            </w: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Non-Guarantors</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1020" w:type="dxa"/>
            <w:vAlign w:val="bottom"/>
          </w:tcPr>
          <w:p>
            <w:pPr>
              <w:ind w:lef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05"/>
        </w:trPr>
        <w:tc>
          <w:tcPr>
            <w:tcW w:w="276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28"/>
        </w:trPr>
        <w:tc>
          <w:tcPr>
            <w:tcW w:w="276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-107950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-107950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-107950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-107950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-107950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-107950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-107950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-107950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-107950</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277" w:right="239" w:bottom="0" w:gutter="0" w:footer="0" w:header="0"/>
          <w:type w:val="continuous"/>
        </w:sectPr>
      </w:pPr>
    </w:p>
    <w:bookmarkStart w:id="112" w:name="page113"/>
    <w:bookmarkEnd w:id="1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50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7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7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(45,079)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5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5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5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5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5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7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6"/>
              </w:rPr>
              <w:t>Interest Paid, Net of Amounts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Capitalized</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3"/>
          </w:tcPr>
          <w:p>
            <w:pPr>
              <w:jc w:val="right"/>
              <w:ind w:right="312"/>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-5177155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-5177155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-5177155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-5177155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-5177155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-5177155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-5177155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-5177155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-5177155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-5177155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-5177155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-5177155</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-4747895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-4747895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-4747895</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-4747895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-4747895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-4747895</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-4747895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-4747895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-4747895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-4747895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-4747895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-4747895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-3633470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-3633470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-3633470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-3633470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-3633470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-3633470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-3633470</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-3633470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-3633470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-3633470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-3204210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-3204210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-3204210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-3204210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-3204210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-3204210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-3204210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-3204210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-3204210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-3204210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-3204210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-3204210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-2226945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-2226945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-2226945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-2226945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-2226945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-2226945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-2226945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-2226945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-2226945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-2226945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-1798320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-1798320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-1798320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-1798320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-1798320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-1798320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-1798320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-1798320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-1798320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-1798320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-1798320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-1798320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-1231900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-1231900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-1231900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-1231900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-1231900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-1231900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-1231900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-1231900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-1231900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-1231900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-1231900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-1231900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Valvino</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4"/>
                <w:szCs w:val="14"/>
                <w:color w:val="auto"/>
              </w:rPr>
            </w:pPr>
          </w:p>
        </w:tc>
        <w:tc>
          <w:tcPr>
            <w:tcW w:w="15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Eliminating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Lamore, LLC</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Guarantors</w:t>
            </w:r>
          </w:p>
        </w:tc>
        <w:tc>
          <w:tcPr>
            <w:tcW w:w="240" w:type="dxa"/>
            <w:vAlign w:val="bottom"/>
          </w:tcPr>
          <w:p>
            <w:pPr>
              <w:spacing w:after="0"/>
              <w:rPr>
                <w:sz w:val="15"/>
                <w:szCs w:val="15"/>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15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Entries</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(1,998)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 Development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-768350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-768350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-768350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-768350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-768350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-768350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-768350</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-768350</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-768350</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-768350</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4" w:right="239" w:bottom="0" w:gutter="0" w:footer="0" w:header="0"/>
        </w:sectPr>
      </w:pPr>
    </w:p>
    <w:bookmarkStart w:id="113" w:name="page114"/>
    <w:bookmarkEnd w:id="113"/>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Stage to Net Cash Provided by /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Increase (Decrease) in Cash from Changes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5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(664)</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 and Accrued</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 / (Used in)</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(4,377)</w:t>
            </w: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Desert Inn Resort and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Casino, Net of Cash Acquired</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(270,718)</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(45,792)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5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(9,489)</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3,064</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7"/>
              </w:rPr>
              <w:t>Net Cash Provided by / (Used in) Investing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(319,897)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(10,307)</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Contributions</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(110,482)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Third Party Fee</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Proceeds from Issuance of Long-Term Debt</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5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(125,018)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Proceeds from Issuance of Related</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Party Loan</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8"/>
              </w:rPr>
              <w:t>Principal Payments of Related Party</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Loan</w:t>
            </w:r>
          </w:p>
        </w:tc>
        <w:tc>
          <w:tcPr>
            <w:tcW w:w="5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vMerge w:val="restart"/>
          </w:tcPr>
          <w:p>
            <w:pPr>
              <w:ind w:left="440"/>
              <w:spacing w:after="0"/>
              <w:rPr>
                <w:sz w:val="20"/>
                <w:szCs w:val="20"/>
                <w:color w:val="auto"/>
              </w:rPr>
            </w:pPr>
            <w:r>
              <w:rPr>
                <w:rFonts w:ascii="Arial" w:cs="Arial" w:eastAsia="Arial" w:hAnsi="Arial"/>
                <w:sz w:val="18"/>
                <w:szCs w:val="18"/>
                <w:color w:val="auto"/>
              </w:rPr>
              <w:t>Net Cash Provided by Financing</w:t>
            </w: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440"/>
              <w:spacing w:after="0"/>
              <w:rPr>
                <w:sz w:val="20"/>
                <w:szCs w:val="20"/>
                <w:color w:val="auto"/>
              </w:rPr>
            </w:pPr>
            <w:r>
              <w:rPr>
                <w:rFonts w:ascii="Arial" w:cs="Arial" w:eastAsia="Arial" w:hAnsi="Arial"/>
                <w:sz w:val="18"/>
                <w:szCs w:val="18"/>
                <w:color w:val="auto"/>
              </w:rPr>
              <w:t>Activities</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388,748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388,748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 in Cash and Cash</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5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3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34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Paid, Net of Amounts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Capitalized</w:t>
            </w: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-6000115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-6000115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-6000115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-6000115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-6000115</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-6000115</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-6000115</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-6000115</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-6000115</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-6000115</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-5571490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-5571490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-5571490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-5571490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-5571490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-5571490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-5571490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-5571490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-5571490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-5571490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-4319270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-4319270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-4319270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-4319270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-4319270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-4319270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-4319270</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-4319270</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-4319270</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-4319270</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-3890645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-3890645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-3890645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-3890645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-3890645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-3890645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-3890645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-3890645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-3890645</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-2226945</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-2226945</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-2226945</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-2226945</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-2226945</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-2226945</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-2226945</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-1798320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-1798320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-1798320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-1798320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-1798320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-1798320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-1798320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-1798320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-1798320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-1798320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-1231900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-1231900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-1231900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-1231900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-1231900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-1231900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-1231900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-1231900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-1231900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Wynn Las Vegas,</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LLC and Wynn Las</w:t>
            </w:r>
          </w:p>
        </w:tc>
        <w:tc>
          <w:tcPr>
            <w:tcW w:w="20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Vegas Capital Corp.</w:t>
            </w:r>
          </w:p>
        </w:tc>
        <w:tc>
          <w:tcPr>
            <w:tcW w:w="20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tcPr>
          <w:p>
            <w:pPr>
              <w:jc w:val="right"/>
              <w:ind w:right="352"/>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(25,875)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(12,229)</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2,815</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13,682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1,053</w:t>
            </w:r>
          </w:p>
        </w:tc>
        <w:tc>
          <w:tcPr>
            <w:tcW w:w="220" w:type="dxa"/>
            <w:vAlign w:val="bottom"/>
          </w:tcPr>
          <w:p>
            <w:pPr>
              <w:spacing w:after="0"/>
              <w:rPr>
                <w:sz w:val="14"/>
                <w:szCs w:val="1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2,071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-661670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-661670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-661670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-661670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-661670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-661670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-661670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-661670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-661670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-661670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-661670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4" w:orient="portrait"/>
          <w:cols w:equalWidth="0" w:num="1">
            <w:col w:w="11420"/>
          </w:cols>
          <w:pgMar w:left="240" w:top="140" w:right="239" w:bottom="0" w:gutter="0" w:footer="0" w:header="0"/>
        </w:sectPr>
      </w:pPr>
    </w:p>
    <w:bookmarkStart w:id="114" w:name="page115"/>
    <w:bookmarkEnd w:id="11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5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66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(8,100)</w:t>
            </w: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(494)</w:t>
            </w:r>
          </w:p>
        </w:tc>
        <w:tc>
          <w:tcPr>
            <w:tcW w:w="4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5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w w:val="96"/>
              </w:rPr>
              <w:t>Acquisition of Desert Inn Resort and Casino, Net of</w:t>
            </w: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2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520" w:type="dxa"/>
            <w:vAlign w:val="bottom"/>
          </w:tcPr>
          <w:p>
            <w:pPr>
              <w:spacing w:after="0"/>
              <w:rPr>
                <w:sz w:val="13"/>
                <w:szCs w:val="13"/>
                <w:color w:val="auto"/>
              </w:rPr>
            </w:pPr>
          </w:p>
        </w:tc>
        <w:tc>
          <w:tcPr>
            <w:tcW w:w="10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48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1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(55,459)</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(654)</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5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(27,653)</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(67,326)</w:t>
            </w:r>
          </w:p>
        </w:tc>
        <w:tc>
          <w:tcPr>
            <w:tcW w:w="4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(8,610)</w:t>
            </w: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w w:val="97"/>
              </w:rPr>
              <w:t>Net Cash Provided by/(Used in) Investing Activities</w:t>
            </w:r>
          </w:p>
        </w:tc>
        <w:tc>
          <w:tcPr>
            <w:tcW w:w="52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(419,597)</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(10,584)</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(10,800)</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(125,066)</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52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(1,465)</w:t>
            </w:r>
          </w:p>
        </w:tc>
        <w:tc>
          <w:tcPr>
            <w:tcW w:w="48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52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(70,000)</w:t>
            </w:r>
          </w:p>
        </w:tc>
        <w:tc>
          <w:tcPr>
            <w:tcW w:w="4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1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520" w:type="dxa"/>
            <w:vAlign w:val="bottom"/>
          </w:tcPr>
          <w:p>
            <w:pPr>
              <w:jc w:val="right"/>
              <w:ind w:right="457"/>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480" w:type="dxa"/>
            <w:vAlign w:val="bottom"/>
          </w:tcPr>
          <w:p>
            <w:pPr>
              <w:jc w:val="right"/>
              <w:ind w:right="332"/>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660" w:type="dxa"/>
            <w:vAlign w:val="bottom"/>
          </w:tcPr>
          <w:p>
            <w:pPr>
              <w:jc w:val="right"/>
              <w:ind w:right="54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-3853815</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-3853815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-3853815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-3853815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-3853815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-3853815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-3853815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-3853815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-3853815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-3853815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-3853815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-3510915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-3510915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-3510915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-3510915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-3510915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-3510915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-3510915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-3510915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-3510915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-3510915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-3510915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-2601595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-2601595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-2601595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-2601595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-2601595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-2601595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-2601595</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-2601595</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-2601595</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-2601595</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-2601595</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-2353310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-2353310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-2353310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-2353310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-2353310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-2353310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-2353310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-2353310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-2353310</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-2353310</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-2353310</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-1255395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-1255395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-1255395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-1255395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-1255395</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-1255395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-1255395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-1255395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-1255395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-1255395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-1255395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-1006475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-1006475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-1006475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-1006475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-1006475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-1006475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-1006475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-1006475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-1006475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-1006475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-1006475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-663575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-663575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-663575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-663575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-663575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-663575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-663575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-663575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-663575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-663575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-663575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83"/>
              </w:rPr>
              <w:t>2000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4"/>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76"/>
              </w:rPr>
              <w:t>as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4"/>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84"/>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jc w:val="right"/>
              <w:ind w:right="1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380,236</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379,726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337,464</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337,467</w:t>
            </w:r>
          </w:p>
        </w:tc>
        <w:tc>
          <w:tcPr>
            <w:tcW w:w="5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313,022</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322,696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40,747</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rPr>
              <w:t>41,118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26,054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9,155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Total Liabilities and Members' Equity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6" w:lineRule="exact"/>
              <w:rPr>
                <w:sz w:val="20"/>
                <w:szCs w:val="20"/>
                <w:color w:val="auto"/>
              </w:rPr>
            </w:pPr>
            <w:r>
              <w:rPr>
                <w:rFonts w:ascii="Arial" w:cs="Arial" w:eastAsia="Arial" w:hAnsi="Arial"/>
                <w:sz w:val="14"/>
                <w:szCs w:val="14"/>
                <w:color w:val="auto"/>
              </w:rPr>
              <w:t>586,407</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72"/>
              <w:spacing w:after="0" w:line="136" w:lineRule="exact"/>
              <w:rPr>
                <w:sz w:val="20"/>
                <w:szCs w:val="20"/>
                <w:color w:val="auto"/>
              </w:rPr>
            </w:pPr>
            <w:r>
              <w:rPr>
                <w:rFonts w:ascii="Arial" w:cs="Arial" w:eastAsia="Arial" w:hAnsi="Arial"/>
                <w:sz w:val="14"/>
                <w:szCs w:val="14"/>
                <w:color w:val="auto"/>
              </w:rPr>
              <w:t>586,036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390,788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spacing w:after="0" w:line="136" w:lineRule="exact"/>
              <w:rPr>
                <w:sz w:val="20"/>
                <w:szCs w:val="20"/>
                <w:color w:val="auto"/>
              </w:rPr>
            </w:pPr>
            <w:r>
              <w:rPr>
                <w:rFonts w:ascii="Arial" w:cs="Arial" w:eastAsia="Arial" w:hAnsi="Arial"/>
                <w:sz w:val="14"/>
                <w:szCs w:val="14"/>
                <w:color w:val="auto"/>
                <w:w w:val="86"/>
              </w:rPr>
              <w:t>388,543</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4"/>
                <w:szCs w:val="14"/>
                <w:color w:val="auto"/>
                <w:w w:val="98"/>
              </w:rPr>
              <w:t>388,467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spacing w:after="0" w:line="136" w:lineRule="exact"/>
              <w:rPr>
                <w:sz w:val="20"/>
                <w:szCs w:val="20"/>
                <w:color w:val="auto"/>
              </w:rPr>
            </w:pPr>
            <w:r>
              <w:rPr>
                <w:rFonts w:ascii="Arial" w:cs="Arial" w:eastAsia="Arial" w:hAnsi="Arial"/>
                <w:sz w:val="14"/>
                <w:szCs w:val="14"/>
                <w:color w:val="auto"/>
              </w:rPr>
              <w:t>387,084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76"/>
              </w:rPr>
              <w:t>as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76"/>
              </w:rPr>
              <w:t>as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Previously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00" w:type="dxa"/>
            <w:vAlign w:val="bottom"/>
            <w:gridSpan w:val="8"/>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Reported</w:t>
            </w:r>
          </w:p>
        </w:tc>
        <w:tc>
          <w:tcPr>
            <w:tcW w:w="200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10,980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11,862</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(15,915)</w:t>
            </w:r>
          </w:p>
        </w:tc>
        <w:tc>
          <w:tcPr>
            <w:tcW w:w="80" w:type="dxa"/>
            <w:vAlign w:val="bottom"/>
          </w:tcPr>
          <w:p>
            <w:pPr>
              <w:spacing w:after="0"/>
              <w:rPr>
                <w:sz w:val="12"/>
                <w:szCs w:val="12"/>
                <w:color w:val="auto"/>
              </w:rPr>
            </w:pPr>
          </w:p>
        </w:tc>
        <w:tc>
          <w:tcPr>
            <w:tcW w:w="10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(14,348)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(10,456)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(20,151)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8"/>
              </w:rPr>
              <w:t>(21,217)</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(14,693)</w:t>
            </w: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(7,935)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(8,234)</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4"/>
              </w:rPr>
              <w:t>(16,899)</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(17,726)</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jc w:val="right"/>
              <w:ind w:right="180"/>
              <w:spacing w:after="0" w:line="136" w:lineRule="exact"/>
              <w:rPr>
                <w:sz w:val="20"/>
                <w:szCs w:val="20"/>
                <w:color w:val="auto"/>
              </w:rPr>
            </w:pPr>
            <w:r>
              <w:rPr>
                <w:rFonts w:ascii="Arial" w:cs="Arial" w:eastAsia="Arial" w:hAnsi="Arial"/>
                <w:sz w:val="14"/>
                <w:szCs w:val="14"/>
                <w:color w:val="auto"/>
              </w:rPr>
              <w:t>(70.37)</w:t>
            </w:r>
          </w:p>
        </w:tc>
        <w:tc>
          <w:tcPr>
            <w:tcW w:w="80" w:type="dxa"/>
            <w:vAlign w:val="bottom"/>
          </w:tcPr>
          <w:p>
            <w:pPr>
              <w:spacing w:after="0"/>
              <w:rPr>
                <w:sz w:val="11"/>
                <w:szCs w:val="11"/>
                <w:color w:val="auto"/>
              </w:rPr>
            </w:pPr>
          </w:p>
        </w:tc>
        <w:tc>
          <w:tcPr>
            <w:tcW w:w="1000" w:type="dxa"/>
            <w:vAlign w:val="bottom"/>
            <w:gridSpan w:val="3"/>
          </w:tcPr>
          <w:p>
            <w:pPr>
              <w:jc w:val="right"/>
              <w:ind w:right="40"/>
              <w:spacing w:after="0" w:line="136" w:lineRule="exact"/>
              <w:rPr>
                <w:sz w:val="20"/>
                <w:szCs w:val="20"/>
                <w:color w:val="auto"/>
              </w:rPr>
            </w:pPr>
            <w:r>
              <w:rPr>
                <w:rFonts w:ascii="Arial" w:cs="Arial" w:eastAsia="Arial" w:hAnsi="Arial"/>
                <w:sz w:val="14"/>
                <w:szCs w:val="14"/>
                <w:color w:val="auto"/>
              </w:rPr>
              <w:t>(61.19)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jc w:val="right"/>
              <w:ind w:right="100"/>
              <w:spacing w:after="0" w:line="136" w:lineRule="exact"/>
              <w:rPr>
                <w:sz w:val="20"/>
                <w:szCs w:val="20"/>
                <w:color w:val="auto"/>
              </w:rPr>
            </w:pPr>
            <w:r>
              <w:rPr>
                <w:rFonts w:ascii="Arial" w:cs="Arial" w:eastAsia="Arial" w:hAnsi="Arial"/>
                <w:sz w:val="14"/>
                <w:szCs w:val="14"/>
                <w:color w:val="auto"/>
              </w:rPr>
              <w:t>(39.04)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20"/>
              <w:spacing w:after="0" w:line="136" w:lineRule="exact"/>
              <w:rPr>
                <w:sz w:val="20"/>
                <w:szCs w:val="20"/>
                <w:color w:val="auto"/>
              </w:rPr>
            </w:pPr>
            <w:r>
              <w:rPr>
                <w:rFonts w:ascii="Arial" w:cs="Arial" w:eastAsia="Arial" w:hAnsi="Arial"/>
                <w:sz w:val="14"/>
                <w:szCs w:val="14"/>
                <w:color w:val="auto"/>
              </w:rPr>
              <w:t>(40.52)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right"/>
              <w:ind w:right="180"/>
              <w:spacing w:after="0" w:line="136" w:lineRule="exact"/>
              <w:rPr>
                <w:sz w:val="20"/>
                <w:szCs w:val="20"/>
                <w:color w:val="auto"/>
              </w:rPr>
            </w:pPr>
            <w:r>
              <w:rPr>
                <w:rFonts w:ascii="Arial" w:cs="Arial" w:eastAsia="Arial" w:hAnsi="Arial"/>
                <w:sz w:val="14"/>
                <w:szCs w:val="14"/>
                <w:color w:val="auto"/>
                <w:w w:val="99"/>
              </w:rPr>
              <w:t>(82.24)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Inception to</w:t>
            </w:r>
          </w:p>
        </w:tc>
        <w:tc>
          <w:tcPr>
            <w:tcW w:w="1040" w:type="dxa"/>
            <w:vAlign w:val="bottom"/>
            <w:gridSpan w:val="7"/>
          </w:tcPr>
          <w:p>
            <w:pPr>
              <w:jc w:val="center"/>
              <w:ind w:left="272"/>
              <w:spacing w:after="0"/>
              <w:rPr>
                <w:sz w:val="20"/>
                <w:szCs w:val="20"/>
                <w:color w:val="auto"/>
              </w:rPr>
            </w:pPr>
            <w:r>
              <w:rPr>
                <w:rFonts w:ascii="Arial" w:cs="Arial" w:eastAsia="Arial" w:hAnsi="Arial"/>
                <w:sz w:val="14"/>
                <w:szCs w:val="14"/>
                <w:b w:val="1"/>
                <w:bCs w:val="1"/>
                <w:color w:val="auto"/>
                <w:w w:val="88"/>
              </w:rPr>
              <w:t>Inception to</w:t>
            </w:r>
          </w:p>
        </w:tc>
        <w:tc>
          <w:tcPr>
            <w:tcW w:w="16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Inception to June 30,</w:t>
            </w:r>
          </w:p>
        </w:tc>
        <w:tc>
          <w:tcPr>
            <w:tcW w:w="12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Inception to</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-2035810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-2035810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-2035810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-2035810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-2035810</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-2035810</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-2035810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-2035810</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-2035810</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-2035810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-2035810</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-2035810</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-843915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-843915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-843915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-843915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-843915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-843915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-843915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-843915</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-843915</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-843915</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-843915</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-843915</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7" w:orient="portrait"/>
          <w:cols w:equalWidth="0" w:num="1">
            <w:col w:w="11420"/>
          </w:cols>
          <w:pgMar w:left="240" w:top="383" w:right="239"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 2000</w:t>
            </w:r>
          </w:p>
        </w:tc>
        <w:tc>
          <w:tcPr>
            <w:tcW w:w="80" w:type="dxa"/>
            <w:vAlign w:val="bottom"/>
          </w:tcPr>
          <w:p>
            <w:pPr>
              <w:spacing w:after="0"/>
              <w:rPr>
                <w:sz w:val="14"/>
                <w:szCs w:val="1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 2000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6"/>
              </w:rPr>
              <w:t>as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Restated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84"/>
              </w:rPr>
              <w:t>Previously</w:t>
            </w:r>
          </w:p>
        </w:tc>
        <w:tc>
          <w:tcPr>
            <w:tcW w:w="1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24,695</w:t>
            </w:r>
          </w:p>
        </w:tc>
        <w:tc>
          <w:tcPr>
            <w:tcW w:w="10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15,626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60" w:type="dxa"/>
            <w:vAlign w:val="bottom"/>
          </w:tcPr>
          <w:p>
            <w:pPr>
              <w:spacing w:after="0"/>
              <w:rPr>
                <w:sz w:val="12"/>
                <w:szCs w:val="12"/>
                <w:color w:val="auto"/>
              </w:rPr>
            </w:pPr>
          </w:p>
        </w:tc>
        <w:tc>
          <w:tcPr>
            <w:tcW w:w="1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(10,572)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(45,432)</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(40,747)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(45.78)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(53.08)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(199.27)</w:t>
            </w:r>
          </w:p>
        </w:tc>
        <w:tc>
          <w:tcPr>
            <w:tcW w:w="10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-661670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-661670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-850900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-850900</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-661670</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-661670</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-850900</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-850900</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Concession Agreement with the Government of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Certain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4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Considerations for</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Non-U.S. 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Underwriting</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Experts</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-3923030</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-3923030</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Until ,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Resorts, Limited</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23,685,000 Shares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JPMorgan</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Jefferies &amp; Company, Inc.</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Lazard</w:t>
      </w:r>
    </w:p>
    <w:p>
      <w:pPr>
        <w:sectPr>
          <w:pgSz w:w="11900" w:h="16838" w:orient="portrait"/>
          <w:cols w:equalWidth="0" w:num="1">
            <w:col w:w="11280"/>
          </w:cols>
          <w:pgMar w:left="240" w:top="114" w:right="379" w:bottom="0" w:gutter="0" w:footer="0" w:header="0"/>
        </w:sectPr>
      </w:pPr>
    </w:p>
    <w:bookmarkStart w:id="116" w:name="page117"/>
    <w:bookmarkEnd w:id="116"/>
    <w:p>
      <w:pPr>
        <w:jc w:val="center"/>
        <w:spacing w:after="0"/>
        <w:rPr>
          <w:sz w:val="20"/>
          <w:szCs w:val="20"/>
          <w:color w:val="auto"/>
        </w:rPr>
      </w:pPr>
      <w:r>
        <w:rPr>
          <w:rFonts w:ascii="Arial" w:cs="Arial" w:eastAsia="Arial" w:hAnsi="Arial"/>
          <w:sz w:val="24"/>
          <w:szCs w:val="24"/>
          <w:b w:val="1"/>
          <w:bCs w:val="1"/>
          <w:color w:val="auto"/>
        </w:rPr>
        <w:t>SG Cowen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Thomas Weisel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common stock being registered. All amounts shown are estimates except for the Securities and Exchange Commission registration fee, the National Securities Dealers, Inc. filing fee and The Nasdaq National Market quotation fee.</w:t>
      </w:r>
    </w:p>
    <w:p>
      <w:pPr>
        <w:spacing w:after="0" w:line="190" w:lineRule="exact"/>
        <w:rPr>
          <w:sz w:val="20"/>
          <w:szCs w:val="20"/>
          <w:color w:val="auto"/>
        </w:rPr>
      </w:pPr>
    </w:p>
    <w:tbl>
      <w:tblPr>
        <w:tblLayout w:type="fixed"/>
        <w:tblInd w:w="20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fee—Securities and Exchange Commission</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Filing fee—National Association of Securities Dealers, Inc.</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Quotation fee—The Nasdaq National Market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3,775,112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-1574800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-1574800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433070" cy="215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33"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27"/>
          <w:szCs w:val="27"/>
          <w:color w:val="auto"/>
          <w:vertAlign w:val="subscript"/>
        </w:rPr>
      </w:pPr>
      <w:r>
        <w:rPr>
          <w:rFonts w:ascii="Arial" w:cs="Arial" w:eastAsia="Arial" w:hAnsi="Arial"/>
          <w:sz w:val="14"/>
          <w:szCs w:val="14"/>
          <w:color w:val="auto"/>
        </w:rPr>
        <w:t>To be filed by amendment.</w:t>
      </w:r>
    </w:p>
    <w:p>
      <w:pPr>
        <w:spacing w:after="0" w:line="18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Wynn Resorts' bylaws provide that it will indemnify its directors and officers to the maximum extent permitted by Nevada law, including in circumstances in which indemnification is otherwise discretionary under Nevada law. In addition, Wynn Resorts intends to enter into separate indemnification agreements, attached as Exhibit 10.14 hereto, with its directors and officers which would require Wynn Resorts, among other things, to indemnify them against certain liabilities which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 during the past three years involving sales of the Registrant's securities that were not registered under the Securities Act:</w:t>
      </w:r>
    </w:p>
    <w:p>
      <w:pPr>
        <w:sectPr>
          <w:pgSz w:w="11900" w:h="16838" w:orient="portrait"/>
          <w:cols w:equalWidth="0" w:num="1">
            <w:col w:w="11420"/>
          </w:cols>
          <w:pgMar w:left="240" w:top="111" w:right="239" w:bottom="176" w:gutter="0" w:footer="0" w:header="0"/>
        </w:sectPr>
      </w:pPr>
    </w:p>
    <w:bookmarkStart w:id="117" w:name="page118"/>
    <w:bookmarkEnd w:id="117"/>
    <w:p>
      <w:pPr>
        <w:spacing w:after="0" w:line="34" w:lineRule="exact"/>
        <w:rPr>
          <w:sz w:val="20"/>
          <w:szCs w:val="20"/>
          <w:color w:val="auto"/>
        </w:rPr>
      </w:pPr>
    </w:p>
    <w:p>
      <w:pPr>
        <w:ind w:left="540" w:right="180" w:firstLine="359"/>
        <w:spacing w:after="0" w:line="259" w:lineRule="auto"/>
        <w:tabs>
          <w:tab w:leader="none" w:pos="11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20" w:firstLine="359"/>
        <w:spacing w:after="0" w:line="256" w:lineRule="auto"/>
        <w:tabs>
          <w:tab w:leader="none" w:pos="11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rFonts w:ascii="Arial" w:cs="Arial" w:eastAsia="Arial" w:hAnsi="Arial"/>
          <w:sz w:val="18"/>
          <w:szCs w:val="18"/>
          <w:color w:val="auto"/>
        </w:rPr>
      </w:pPr>
    </w:p>
    <w:p>
      <w:pPr>
        <w:ind w:left="540" w:right="60" w:firstLine="359"/>
        <w:spacing w:after="0" w:line="332" w:lineRule="auto"/>
        <w:tabs>
          <w:tab w:leader="none" w:pos="117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60" w:firstLine="359"/>
        <w:spacing w:after="0" w:line="254" w:lineRule="auto"/>
        <w:tabs>
          <w:tab w:leader="none" w:pos="11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capital contributions, each of Mr. Wynn and Aruze USA held a 47.5% interest in Valvino's profits and losses.</w:t>
      </w:r>
    </w:p>
    <w:p>
      <w:pPr>
        <w:spacing w:after="0" w:line="225" w:lineRule="exact"/>
        <w:rPr>
          <w:sz w:val="20"/>
          <w:szCs w:val="20"/>
          <w:color w:val="auto"/>
        </w:rPr>
      </w:pPr>
    </w:p>
    <w:p>
      <w:pPr>
        <w:ind w:left="540" w:right="380" w:firstLine="359"/>
        <w:spacing w:after="0" w:line="332" w:lineRule="auto"/>
        <w:tabs>
          <w:tab w:leader="none" w:pos="117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firstLine="359"/>
        <w:spacing w:after="0" w:line="268" w:lineRule="auto"/>
        <w:tabs>
          <w:tab w:leader="none" w:pos="124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September 2002, in exchange for the contribution of all of their respective membership interests in Valvino, the Registrant issued shares of its common stock to each of Mr. Wynn, Aruze USA, Baron Asset Fund and the Kenneth R. Wynn Family Trust.</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227" w:lineRule="exact"/>
        <w:rPr>
          <w:sz w:val="20"/>
          <w:szCs w:val="20"/>
          <w:color w:val="auto"/>
        </w:rPr>
      </w:pPr>
    </w:p>
    <w:p>
      <w:pPr>
        <w:ind w:left="80"/>
        <w:spacing w:after="0"/>
        <w:tabs>
          <w:tab w:leader="none" w:pos="46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6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0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4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281"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080" w:right="2780" w:hanging="563"/>
        <w:spacing w:after="0" w:line="254" w:lineRule="auto"/>
        <w:tabs>
          <w:tab w:leader="none" w:pos="106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ind w:left="1080" w:right="3140" w:hanging="563"/>
        <w:spacing w:after="0" w:line="250" w:lineRule="auto"/>
        <w:tabs>
          <w:tab w:leader="none" w:pos="106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Stockholders Agreement, dated as of April 11, 2002, by and among Stephen A. Wynn, Baron Asset Fund and</w:t>
      </w:r>
    </w:p>
    <w:p>
      <w:pPr>
        <w:sectPr>
          <w:pgSz w:w="11900" w:h="16873" w:orient="portrait"/>
          <w:cols w:equalWidth="0" w:num="1">
            <w:col w:w="11400"/>
          </w:cols>
          <w:pgMar w:left="240" w:top="131" w:right="259" w:bottom="0" w:gutter="0" w:footer="0" w:header="0"/>
        </w:sectPr>
      </w:pPr>
    </w:p>
    <w:bookmarkStart w:id="118" w:name="page119"/>
    <w:bookmarkEnd w:id="118"/>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Aruze USA, Inc.(1)</w:t>
      </w:r>
    </w:p>
    <w:p>
      <w:pPr>
        <w:spacing w:after="0" w:line="15"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50"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1" w:lineRule="exact"/>
        <w:rPr>
          <w:sz w:val="20"/>
          <w:szCs w:val="20"/>
          <w:color w:val="auto"/>
        </w:rPr>
      </w:pPr>
    </w:p>
    <w:p>
      <w:pPr>
        <w:jc w:val="center"/>
        <w:ind w:right="1459"/>
        <w:spacing w:after="0" w:line="281"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146050</wp:posOffset>
            </wp:positionV>
            <wp:extent cx="7250430" cy="215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1"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spacing w:after="0" w:line="1" w:lineRule="exact"/>
        <w:rPr>
          <w:sz w:val="20"/>
          <w:szCs w:val="20"/>
          <w:color w:val="auto"/>
        </w:rPr>
      </w:pP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10.44</w:t>
        <w:tab/>
        <w:t>Tax Indemnification Agreement, effective as of September 24, 2002, by and among Stephen A. Wynn, Aruze USA, Inc., Baron Asset Fund on behalf of the Baron Asset Fund Series, Baron Asset Fund on behalf of the Baron Growth Fund Series, Kenneth R. Wynn Family Trust dated February 20, 1985, Valvino Lamore, LLC and Wynn Resorts, Limited.(5)</w:t>
      </w:r>
    </w:p>
    <w:p>
      <w:pPr>
        <w:spacing w:after="0" w:line="2"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10.45</w:t>
        <w:tab/>
        <w:t>Employment Agreement, dated as of September 26, 2002, by and between Wynn Design &amp; Development, LLC and DeRuyter O. Butler.(5)</w:t>
      </w:r>
    </w:p>
    <w:p>
      <w:pPr>
        <w:spacing w:after="0" w:line="1"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10.46</w:t>
        <w:tab/>
        <w:t>Employment Agreement, dated as of October 4, 2002, by and between Wynn Resorts, Limited and Stephen A. Wynn.(5)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Letter of Intent, dated May 24, 2002, by and between Valvino Lamore, LLC and Ferrari North America, Inc.(7)</w:t>
      </w:r>
    </w:p>
    <w:p>
      <w:pPr>
        <w:spacing w:after="0" w:line="9" w:lineRule="exact"/>
        <w:rPr>
          <w:sz w:val="20"/>
          <w:szCs w:val="20"/>
          <w:color w:val="auto"/>
        </w:rPr>
      </w:pPr>
    </w:p>
    <w:p>
      <w:pPr>
        <w:ind w:left="660" w:right="1499" w:hanging="651"/>
        <w:spacing w:after="0" w:line="250" w:lineRule="auto"/>
        <w:tabs>
          <w:tab w:leader="none" w:pos="640" w:val="left"/>
        </w:tabs>
        <w:rPr>
          <w:sz w:val="20"/>
          <w:szCs w:val="20"/>
          <w:color w:val="auto"/>
        </w:rPr>
      </w:pPr>
      <w:r>
        <w:rPr>
          <w:rFonts w:ascii="Arial" w:cs="Arial" w:eastAsia="Arial" w:hAnsi="Arial"/>
          <w:sz w:val="18"/>
          <w:szCs w:val="18"/>
          <w:color w:val="auto"/>
        </w:rPr>
        <w:t>10.48</w:t>
        <w:tab/>
        <w:t>First Amendment to Letter of Intent, dated as of October 4, 2002, by and between Valvino Lamore, LLC and Ferrari North America, Inc.(7)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6"/>
          <w:szCs w:val="16"/>
          <w:color w:val="auto"/>
        </w:rPr>
        <w:t>Letter of Intent, dated May 24, 2002, by and between Valvino Lamore, LLC and Maserati North America,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w:t>
      </w:r>
    </w:p>
    <w:p>
      <w:pPr>
        <w:sectPr>
          <w:pgSz w:w="11900" w:h="16886" w:orient="portrait"/>
          <w:cols w:equalWidth="0" w:num="1">
            <w:col w:w="9799"/>
          </w:cols>
          <w:pgMar w:left="660" w:top="131" w:right="1440" w:bottom="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Maserati North America, Inc.(7)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Marc 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Schorr.(7)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10.52</w:t>
            </w:r>
          </w:p>
        </w:tc>
        <w:tc>
          <w:tcPr>
            <w:tcW w:w="3560" w:type="dxa"/>
            <w:vAlign w:val="bottom"/>
          </w:tcPr>
          <w:p>
            <w:pPr>
              <w:ind w:left="140"/>
              <w:spacing w:after="0"/>
              <w:rPr>
                <w:sz w:val="20"/>
                <w:szCs w:val="20"/>
                <w:color w:val="auto"/>
              </w:rPr>
            </w:pPr>
            <w:r>
              <w:rPr>
                <w:rFonts w:ascii="Arial" w:cs="Arial" w:eastAsia="Arial" w:hAnsi="Arial"/>
                <w:sz w:val="18"/>
                <w:szCs w:val="18"/>
                <w:color w:val="auto"/>
              </w:rPr>
              <w:t>Form of Restricted Stock Agreement.(7)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Distribution Agreement and Assignment, effective as of October 17, 2002, by and between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Limited and Valvino Lamore, LLC.(7)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10.54</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Master Disbursement Agreement by and among Wynn Las Vegas, LLC, Wynn Las Vegas Capital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Corp., Wynn Design &amp; Development, LLC, Deutsche Bank Trust Company Americas and Wells Fargo Bank,</w:t>
            </w:r>
          </w:p>
        </w:tc>
      </w:tr>
      <w:tr>
        <w:trPr>
          <w:trHeight w:val="222"/>
        </w:trPr>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National Association.(6)</w:t>
            </w:r>
          </w:p>
        </w:tc>
        <w:tc>
          <w:tcPr>
            <w:tcW w:w="692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920" w:type="dxa"/>
            <w:vAlign w:val="bottom"/>
          </w:tcPr>
          <w:p>
            <w:pPr>
              <w:ind w:left="1080"/>
              <w:spacing w:after="0"/>
              <w:rPr>
                <w:sz w:val="20"/>
                <w:szCs w:val="20"/>
                <w:color w:val="auto"/>
              </w:rPr>
            </w:pPr>
            <w:r>
              <w:rPr>
                <w:rFonts w:ascii="Arial" w:cs="Arial" w:eastAsia="Arial" w:hAnsi="Arial"/>
                <w:sz w:val="18"/>
                <w:szCs w:val="18"/>
                <w:color w:val="auto"/>
              </w:rPr>
              <w:t>II-5</w:t>
            </w:r>
          </w:p>
        </w:tc>
      </w:tr>
      <w:tr>
        <w:trPr>
          <w:trHeight w:val="228"/>
        </w:trPr>
        <w:tc>
          <w:tcPr>
            <w:tcW w:w="6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480" w:type="dxa"/>
            <w:vAlign w:val="bottom"/>
            <w:tcBorders>
              <w:bottom w:val="single" w:sz="8" w:color="808080"/>
            </w:tcBorders>
            <w:gridSpan w:val="2"/>
          </w:tcPr>
          <w:p>
            <w:pPr>
              <w:spacing w:after="0"/>
              <w:rPr>
                <w:sz w:val="19"/>
                <w:szCs w:val="19"/>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Deed of Trust, Assignment of Rents and Leases, Security Agreement and Fixture Filing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Wells Fargo Bank, National Association, as trustee under the Indenture.(6)</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Lease Agreement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10.57</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Golf Course Lease by and between Wynn Resorts Holdings,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Bank of America, N.A.(7)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3560" w:type="dxa"/>
            <w:vAlign w:val="bottom"/>
          </w:tcPr>
          <w:p>
            <w:pPr>
              <w:ind w:left="140"/>
              <w:spacing w:after="0"/>
              <w:rPr>
                <w:sz w:val="20"/>
                <w:szCs w:val="20"/>
                <w:color w:val="auto"/>
              </w:rPr>
            </w:pPr>
            <w:r>
              <w:rPr>
                <w:rFonts w:ascii="Arial" w:cs="Arial" w:eastAsia="Arial" w:hAnsi="Arial"/>
                <w:sz w:val="18"/>
                <w:szCs w:val="18"/>
                <w:color w:val="auto"/>
                <w:w w:val="94"/>
              </w:rPr>
              <w:t>Form of Management Agreement made as of</w:t>
            </w:r>
          </w:p>
        </w:tc>
        <w:tc>
          <w:tcPr>
            <w:tcW w:w="6920" w:type="dxa"/>
            <w:vAlign w:val="bottom"/>
          </w:tcPr>
          <w:p>
            <w:pPr>
              <w:ind w:left="260"/>
              <w:spacing w:after="0"/>
              <w:rPr>
                <w:sz w:val="20"/>
                <w:szCs w:val="20"/>
                <w:color w:val="auto"/>
              </w:rPr>
            </w:pPr>
            <w:r>
              <w:rPr>
                <w:rFonts w:ascii="Arial" w:cs="Arial" w:eastAsia="Arial" w:hAnsi="Arial"/>
                <w:sz w:val="18"/>
                <w:szCs w:val="18"/>
                <w:color w:val="auto"/>
              </w:rPr>
              <w:t>, 2002 by and among Wynn Las Vegas, LLC and the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56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56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Schreck Brignone (included in Exhibit 5.1).(8)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560" w:type="dxa"/>
            <w:vAlign w:val="bottom"/>
          </w:tcPr>
          <w:p>
            <w:pPr>
              <w:ind w:left="140"/>
              <w:spacing w:after="0"/>
              <w:rPr>
                <w:sz w:val="20"/>
                <w:szCs w:val="20"/>
                <w:color w:val="auto"/>
              </w:rPr>
            </w:pPr>
            <w:r>
              <w:rPr>
                <w:rFonts w:ascii="Arial" w:cs="Arial" w:eastAsia="Arial" w:hAnsi="Arial"/>
                <w:sz w:val="18"/>
                <w:szCs w:val="18"/>
                <w:color w:val="auto"/>
              </w:rPr>
              <w:t>Consent of Deloitte &amp; Touche LLP.(8)</w:t>
            </w:r>
          </w:p>
        </w:tc>
        <w:tc>
          <w:tcPr>
            <w:tcW w:w="692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56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69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-3324860</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-3324860</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5"/>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60" w:hanging="532"/>
        <w:spacing w:after="0" w:line="186" w:lineRule="auto"/>
        <w:tabs>
          <w:tab w:leader="none" w:pos="540" w:val="left"/>
        </w:tabs>
        <w:numPr>
          <w:ilvl w:val="0"/>
          <w:numId w:val="165"/>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165"/>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5"/>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66675</wp:posOffset>
            </wp:positionV>
            <wp:extent cx="278765" cy="215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278765" cy="215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Schedule II—Valuation and Qualifying Accounts</w:t>
            </w:r>
          </w:p>
        </w:tc>
        <w:tc>
          <w:tcPr>
            <w:tcW w:w="2780" w:type="dxa"/>
            <w:vAlign w:val="bottom"/>
            <w:shd w:val="clear" w:color="auto" w:fill="CCEEFF"/>
          </w:tcPr>
          <w:p>
            <w:pPr>
              <w:ind w:left="2540"/>
              <w:spacing w:after="0"/>
              <w:rPr>
                <w:sz w:val="20"/>
                <w:szCs w:val="20"/>
                <w:color w:val="auto"/>
              </w:rPr>
            </w:pPr>
            <w:r>
              <w:rPr>
                <w:rFonts w:ascii="Arial" w:cs="Arial" w:eastAsia="Arial" w:hAnsi="Arial"/>
                <w:sz w:val="18"/>
                <w:szCs w:val="18"/>
                <w:color w:val="auto"/>
                <w:w w:val="78"/>
              </w:rPr>
              <w:t>S-3</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131" w:right="239" w:bottom="0" w:gutter="0" w:footer="0" w:header="0"/>
        </w:sectPr>
      </w:pPr>
    </w:p>
    <w:bookmarkStart w:id="120" w:name="page121"/>
    <w:bookmarkEnd w:id="120"/>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6 to the Registration Statement to be signed on its behalf by the undersigned, thereunto duly authorized, in Las Vegas, Nevada, on the 21st day of October, 2002.</w:t>
      </w:r>
    </w:p>
    <w:p>
      <w:pPr>
        <w:spacing w:after="0" w:line="1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41"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By:</w:t>
            </w:r>
          </w:p>
        </w:tc>
        <w:tc>
          <w:tcPr>
            <w:tcW w:w="4560" w:type="dxa"/>
            <w:vAlign w:val="bottom"/>
          </w:tcPr>
          <w:p>
            <w:pPr>
              <w:ind w:left="900"/>
              <w:spacing w:after="0"/>
              <w:rPr>
                <w:sz w:val="20"/>
                <w:szCs w:val="20"/>
                <w:color w:val="auto"/>
              </w:rPr>
            </w:pPr>
            <w:r>
              <w:rPr>
                <w:rFonts w:ascii="Arial" w:cs="Arial" w:eastAsia="Arial" w:hAnsi="Arial"/>
                <w:sz w:val="18"/>
                <w:szCs w:val="18"/>
                <w:color w:val="auto"/>
              </w:rPr>
              <w:t>/s/ STEPHEN A. WYNN</w:t>
            </w:r>
          </w:p>
        </w:tc>
      </w:tr>
      <w:tr>
        <w:trPr>
          <w:trHeight w:val="120"/>
        </w:trPr>
        <w:tc>
          <w:tcPr>
            <w:tcW w:w="4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r>
      <w:tr>
        <w:trPr>
          <w:trHeight w:val="313"/>
        </w:trPr>
        <w:tc>
          <w:tcPr>
            <w:tcW w:w="44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ind w:left="220"/>
              <w:spacing w:after="0"/>
              <w:rPr>
                <w:sz w:val="20"/>
                <w:szCs w:val="20"/>
                <w:color w:val="auto"/>
              </w:rPr>
            </w:pPr>
            <w:r>
              <w:rPr>
                <w:rFonts w:ascii="Arial" w:cs="Arial" w:eastAsia="Arial" w:hAnsi="Arial"/>
                <w:sz w:val="18"/>
                <w:szCs w:val="18"/>
                <w:color w:val="auto"/>
              </w:rPr>
              <w:t>Stephen A. Wynn</w:t>
            </w:r>
          </w:p>
        </w:tc>
      </w:tr>
      <w:tr>
        <w:trPr>
          <w:trHeight w:val="216"/>
        </w:trPr>
        <w:tc>
          <w:tcPr>
            <w:tcW w:w="4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220"/>
              <w:spacing w:after="0"/>
              <w:rPr>
                <w:sz w:val="20"/>
                <w:szCs w:val="20"/>
                <w:color w:val="auto"/>
              </w:rPr>
            </w:pPr>
            <w:r>
              <w:rPr>
                <w:rFonts w:ascii="Arial" w:cs="Arial" w:eastAsia="Arial" w:hAnsi="Arial"/>
                <w:sz w:val="18"/>
                <w:szCs w:val="18"/>
                <w:color w:val="auto"/>
                <w:w w:val="92"/>
              </w:rPr>
              <w:t>Chairman of the Board &amp; Chief Executive Officer (Principal</w:t>
            </w:r>
          </w:p>
        </w:tc>
      </w:tr>
      <w:tr>
        <w:trPr>
          <w:trHeight w:val="222"/>
        </w:trPr>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-491490</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-491490</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STEPHEN A. WYNN</w:t>
            </w:r>
          </w:p>
        </w:tc>
        <w:tc>
          <w:tcPr>
            <w:tcW w:w="5360" w:type="dxa"/>
            <w:vAlign w:val="bottom"/>
          </w:tcPr>
          <w:p>
            <w:pPr>
              <w:ind w:left="340"/>
              <w:spacing w:after="0"/>
              <w:rPr>
                <w:sz w:val="20"/>
                <w:szCs w:val="20"/>
                <w:color w:val="auto"/>
              </w:rPr>
            </w:pPr>
            <w:r>
              <w:rPr>
                <w:rFonts w:ascii="Arial" w:cs="Arial" w:eastAsia="Arial" w:hAnsi="Arial"/>
                <w:sz w:val="18"/>
                <w:szCs w:val="18"/>
                <w:color w:val="auto"/>
              </w:rPr>
              <w:t>Chief Executive Officer (Principal Executive Officer) and</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2"/>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3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rPr>
              <w:t>/s/ KAZUO OKADA</w:t>
            </w:r>
          </w:p>
        </w:tc>
        <w:tc>
          <w:tcPr>
            <w:tcW w:w="5360" w:type="dxa"/>
            <w:vAlign w:val="bottom"/>
          </w:tcPr>
          <w:p>
            <w:pPr>
              <w:ind w:left="340"/>
              <w:spacing w:after="0"/>
              <w:rPr>
                <w:sz w:val="20"/>
                <w:szCs w:val="20"/>
                <w:color w:val="auto"/>
              </w:rPr>
            </w:pPr>
            <w:r>
              <w:rPr>
                <w:rFonts w:ascii="Arial" w:cs="Arial" w:eastAsia="Arial" w:hAnsi="Arial"/>
                <w:sz w:val="18"/>
                <w:szCs w:val="18"/>
                <w:color w:val="auto"/>
              </w:rPr>
              <w:t>Vice Chairman of the Board</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Kazuo Okada</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RONALD J. KRAMER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Ronald J. Kramer</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ROBERT J. MILLER</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J. Miller</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5"/>
              </w:rPr>
              <w:t>/s/ JOHN A. MORAN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0"/>
              </w:rPr>
              <w:t>John A. Moran</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ELAINE P. WYNN</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Elaine P. Wynn</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ind w:right="172"/>
              <w:spacing w:after="0"/>
              <w:rPr>
                <w:sz w:val="20"/>
                <w:szCs w:val="20"/>
                <w:color w:val="auto"/>
              </w:rPr>
            </w:pPr>
            <w:r>
              <w:rPr>
                <w:rFonts w:ascii="Arial" w:cs="Arial" w:eastAsia="Arial" w:hAnsi="Arial"/>
                <w:sz w:val="18"/>
                <w:szCs w:val="18"/>
                <w:color w:val="auto"/>
                <w:w w:val="96"/>
              </w:rPr>
              <w:t>/s/ STANLEY R. ZAX</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21,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Stanley R. Zax</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-5001895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-5001895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-4436110</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-4436110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-3733165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-3733165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-3029585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-3029585</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-2326640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-1623060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-920115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-216535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1000"/>
        <w:spacing w:after="0"/>
        <w:tabs>
          <w:tab w:leader="none" w:pos="4100" w:val="left"/>
          <w:tab w:leader="none" w:pos="9640" w:val="left"/>
        </w:tabs>
        <w:rPr>
          <w:sz w:val="20"/>
          <w:szCs w:val="20"/>
          <w:color w:val="auto"/>
        </w:rPr>
      </w:pPr>
      <w:r>
        <w:rPr>
          <w:rFonts w:ascii="Arial" w:cs="Arial" w:eastAsia="Arial" w:hAnsi="Arial"/>
          <w:sz w:val="18"/>
          <w:szCs w:val="18"/>
          <w:color w:val="auto"/>
        </w:rPr>
        <w:t>/s/ ALLAN ZEMAN</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October 21,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4763"/>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239268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21" w:name="page122"/>
    <w:bookmarkEnd w:id="121"/>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2396490" cy="1079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2396490" cy="10795"/>
                    </a:xfrm>
                    <a:prstGeom prst="rect">
                      <a:avLst/>
                    </a:prstGeom>
                    <a:noFill/>
                  </pic:spPr>
                </pic:pic>
              </a:graphicData>
            </a:graphic>
          </wp:anchor>
        </w:drawing>
        <w:t>Allan Zeman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have audited the consolidated financial statements of Valvino Lamore and subsidiaries (a development stage company) (the "Company") as of December 31, 2001 and 2000, and the related consolidated statements of operations, members' equity, and cash flows for the year ended December 31, 2001 and for the period from inception (April 21, 2000) to December 31, 2000, and have issued our report thereon dated June 6, 2002 (October 2, 2002 as to the effects of the restatement at Note 12); such consolidated financial statements and report are included in the Registration Statement of Wynn Resorts, Inc. on Form S-1. Our audits also included the financial statement schedule of the Company, listed in Item 16(b).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9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89"/>
              </w:rPr>
              <w:t>Valvino Lamore, LLC and Subsidiaries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(A Development Stage Company)</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90"/>
              </w:rPr>
              <w:t>Schedule II</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7"/>
              </w:rPr>
              <w:t>Valuation and Qualifying Accounts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34"/>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gridSpan w:val="3"/>
          </w:tcPr>
          <w:p>
            <w:pPr>
              <w:jc w:val="center"/>
              <w:ind w:right="25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3"/>
          </w:tcPr>
          <w:p>
            <w:pPr>
              <w:jc w:val="center"/>
              <w:ind w:right="258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4"/>
        </w:trPr>
        <w:tc>
          <w:tcPr>
            <w:tcW w:w="374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Beginning of Period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3"/>
          </w:tcPr>
          <w:p>
            <w:pPr>
              <w:jc w:val="center"/>
              <w:ind w:right="25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3480" w:type="dxa"/>
            <w:vAlign w:val="bottom"/>
            <w:gridSpan w:val="3"/>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1,295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Period ended December 31, 2000</w:t>
            </w:r>
          </w:p>
        </w:tc>
        <w:tc>
          <w:tcPr>
            <w:tcW w:w="348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94"/>
              <w:spacing w:after="0"/>
              <w:rPr>
                <w:sz w:val="20"/>
                <w:szCs w:val="20"/>
                <w:color w:val="auto"/>
              </w:rPr>
            </w:pPr>
            <w:r>
              <w:rPr>
                <w:rFonts w:ascii="Arial" w:cs="Arial" w:eastAsia="Arial" w:hAnsi="Arial"/>
                <w:sz w:val="18"/>
                <w:szCs w:val="18"/>
                <w:color w:val="auto"/>
                <w:w w:val="85"/>
              </w:rPr>
              <w:t>S-3</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gridSpan w:val="3"/>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80" w:type="dxa"/>
            <w:vAlign w:val="bottom"/>
            <w:gridSpan w:val="3"/>
          </w:tcPr>
          <w:p>
            <w:pPr>
              <w:jc w:val="center"/>
              <w:ind w:left="354"/>
              <w:spacing w:after="0"/>
              <w:rPr>
                <w:sz w:val="20"/>
                <w:szCs w:val="20"/>
                <w:color w:val="auto"/>
              </w:rPr>
            </w:pPr>
            <w:r>
              <w:rPr>
                <w:rFonts w:ascii="Arial" w:cs="Arial" w:eastAsia="Arial" w:hAnsi="Arial"/>
                <w:sz w:val="18"/>
                <w:szCs w:val="18"/>
                <w:b w:val="1"/>
                <w:bCs w:val="1"/>
                <w:color w:val="auto"/>
              </w:rPr>
              <w:t>EXHIBIT INDEX</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7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gridSpan w:val="3"/>
          </w:tcPr>
          <w:p>
            <w:pPr>
              <w:jc w:val="center"/>
              <w:ind w:right="2920"/>
              <w:spacing w:after="0"/>
              <w:rPr>
                <w:sz w:val="20"/>
                <w:szCs w:val="20"/>
                <w:color w:val="auto"/>
              </w:rPr>
            </w:pPr>
            <w:r>
              <w:rPr>
                <w:rFonts w:ascii="Arial" w:cs="Arial" w:eastAsia="Arial" w:hAnsi="Arial"/>
                <w:sz w:val="14"/>
                <w:szCs w:val="14"/>
                <w:b w:val="1"/>
                <w:bCs w:val="1"/>
                <w:color w:val="auto"/>
                <w:w w:val="88"/>
              </w:rPr>
              <w:t>No.</w:t>
            </w:r>
          </w:p>
        </w:tc>
        <w:tc>
          <w:tcPr>
            <w:tcW w:w="3480" w:type="dxa"/>
            <w:vAlign w:val="bottom"/>
            <w:gridSpan w:val="3"/>
          </w:tcPr>
          <w:p>
            <w:pPr>
              <w:ind w:left="920"/>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-3847465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-3847465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-1746885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-1746885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-1746885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-1746885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-1746885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-1746885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509270</wp:posOffset>
            </wp:positionH>
            <wp:positionV relativeFrom="paragraph">
              <wp:posOffset>-14605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680720</wp:posOffset>
            </wp:positionH>
            <wp:positionV relativeFrom="paragraph">
              <wp:posOffset>-14605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Second Amended and Restated Articles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Third Amended and Restated Bylaws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Specimen certificate for shares of Common Stock, $0.01 par value per share, of the Registrant.(5)</w:t>
      </w:r>
    </w:p>
    <w:p>
      <w:pPr>
        <w:spacing w:after="0" w:line="9"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Schreck Brignone.(8)</w:t>
      </w:r>
    </w:p>
    <w:p>
      <w:pPr>
        <w:spacing w:after="0" w:line="9" w:lineRule="exact"/>
        <w:rPr>
          <w:sz w:val="20"/>
          <w:szCs w:val="20"/>
          <w:color w:val="auto"/>
        </w:rPr>
      </w:pPr>
    </w:p>
    <w:p>
      <w:pPr>
        <w:ind w:left="1080" w:right="2680" w:hanging="563"/>
        <w:spacing w:after="0" w:line="250" w:lineRule="auto"/>
        <w:tabs>
          <w:tab w:leader="none" w:pos="1060" w:val="left"/>
        </w:tabs>
        <w:rPr>
          <w:sz w:val="20"/>
          <w:szCs w:val="20"/>
          <w:color w:val="auto"/>
        </w:rPr>
      </w:pPr>
      <w:r>
        <w:rPr>
          <w:rFonts w:ascii="Arial" w:cs="Arial" w:eastAsia="Arial" w:hAnsi="Arial"/>
          <w:sz w:val="18"/>
          <w:szCs w:val="18"/>
          <w:color w:val="auto"/>
        </w:rPr>
        <w:t>10.1</w:t>
        <w:tab/>
        <w:t>Asset and Land Purchase Agreement, dated as of April 28,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620" w:hanging="563"/>
        <w:spacing w:after="0" w:line="250" w:lineRule="auto"/>
        <w:tabs>
          <w:tab w:leader="none" w:pos="1060" w:val="left"/>
        </w:tabs>
        <w:rPr>
          <w:sz w:val="20"/>
          <w:szCs w:val="20"/>
          <w:color w:val="auto"/>
        </w:rPr>
      </w:pPr>
      <w:r>
        <w:rPr>
          <w:rFonts w:ascii="Arial" w:cs="Arial" w:eastAsia="Arial" w:hAnsi="Arial"/>
          <w:sz w:val="18"/>
          <w:szCs w:val="18"/>
          <w:color w:val="auto"/>
        </w:rPr>
        <w:t>10.2</w:t>
        <w:tab/>
        <w:t>First Amendment to Asset and Land Purchase Agreement, dated as of May 26, 2000, by and among Starwood Hotels &amp; Resorts Worldwide, Inc., Sheraton Gaming Corporation, Sheraton Desert Inn Corporation, Valvino Lamore, LLC and Stephen A. Wynn.(1)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1080" w:right="2560" w:hanging="563"/>
        <w:spacing w:after="0" w:line="300"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LLC.(1)</w:t>
      </w:r>
    </w:p>
    <w:p>
      <w:pPr>
        <w:spacing w:after="0" w:line="1" w:lineRule="exact"/>
        <w:rPr>
          <w:sz w:val="20"/>
          <w:szCs w:val="20"/>
          <w:color w:val="auto"/>
        </w:rPr>
      </w:pPr>
    </w:p>
    <w:p>
      <w:pPr>
        <w:ind w:left="1080" w:right="2580" w:hanging="563"/>
        <w:spacing w:after="0" w:line="281"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3" w:right="239" w:bottom="0" w:gutter="0" w:footer="0" w:header="0"/>
        </w:sectPr>
      </w:pPr>
    </w:p>
    <w:bookmarkStart w:id="122" w:name="page123"/>
    <w:bookmarkEnd w:id="122"/>
    <w:p>
      <w:pPr>
        <w:ind w:left="660" w:right="1379" w:hanging="563"/>
        <w:spacing w:after="0" w:line="284"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660" w:right="1599" w:hanging="563"/>
        <w:spacing w:after="0" w:line="250" w:lineRule="auto"/>
        <w:tabs>
          <w:tab w:leader="none" w:pos="640" w:val="left"/>
        </w:tabs>
        <w:rPr>
          <w:sz w:val="20"/>
          <w:szCs w:val="20"/>
          <w:color w:val="auto"/>
        </w:rPr>
      </w:pPr>
      <w:r>
        <w:rPr>
          <w:rFonts w:ascii="Arial" w:cs="Arial" w:eastAsia="Arial" w:hAnsi="Arial"/>
          <w:sz w:val="18"/>
          <w:szCs w:val="18"/>
          <w:color w:val="auto"/>
        </w:rPr>
        <w:t>10.7</w:t>
        <w:tab/>
        <w:t>Agreement, dated January 25, 2001, by and between Wynn Resorts Holdings, LLC and Calitri Services and Licensing Limited Liability Company.(4)</w:t>
      </w:r>
    </w:p>
    <w:p>
      <w:pPr>
        <w:spacing w:after="0" w:line="1" w:lineRule="exact"/>
        <w:rPr>
          <w:sz w:val="20"/>
          <w:szCs w:val="20"/>
          <w:color w:val="auto"/>
        </w:rPr>
      </w:pPr>
    </w:p>
    <w:p>
      <w:pPr>
        <w:ind w:left="660" w:right="1959" w:hanging="563"/>
        <w:spacing w:after="0" w:line="250" w:lineRule="auto"/>
        <w:tabs>
          <w:tab w:leader="none" w:pos="640" w:val="left"/>
        </w:tabs>
        <w:rPr>
          <w:sz w:val="20"/>
          <w:szCs w:val="20"/>
          <w:color w:val="auto"/>
        </w:rPr>
      </w:pPr>
      <w:r>
        <w:rPr>
          <w:rFonts w:ascii="Arial" w:cs="Arial" w:eastAsia="Arial" w:hAnsi="Arial"/>
          <w:sz w:val="18"/>
          <w:szCs w:val="18"/>
          <w:color w:val="auto"/>
        </w:rPr>
        <w:t>10.8</w:t>
        <w:tab/>
        <w:t>Lease Agreement, dated November 1, 2001, by and between Valvino Lamore, LLC and Wynn Resorts Holdings, LLC.(1)</w:t>
      </w:r>
    </w:p>
    <w:p>
      <w:pPr>
        <w:spacing w:after="0" w:line="1" w:lineRule="exact"/>
        <w:rPr>
          <w:sz w:val="20"/>
          <w:szCs w:val="20"/>
          <w:color w:val="auto"/>
        </w:rPr>
      </w:pPr>
    </w:p>
    <w:p>
      <w:pPr>
        <w:ind w:left="660" w:right="1499" w:hanging="563"/>
        <w:spacing w:after="0" w:line="250" w:lineRule="auto"/>
        <w:tabs>
          <w:tab w:leader="none" w:pos="640" w:val="left"/>
        </w:tabs>
        <w:rPr>
          <w:sz w:val="20"/>
          <w:szCs w:val="20"/>
          <w:color w:val="auto"/>
        </w:rPr>
      </w:pPr>
      <w:r>
        <w:rPr>
          <w:rFonts w:ascii="Arial" w:cs="Arial" w:eastAsia="Arial" w:hAnsi="Arial"/>
          <w:sz w:val="18"/>
          <w:szCs w:val="18"/>
          <w:color w:val="auto"/>
        </w:rPr>
        <w:t>10.9</w:t>
        <w:tab/>
        <w:t>Art Rental and Licensing Agreement, dated November 1, 2001, by and between Stephen A. Wynn and Wynn Resorts Holdings, LLC.(1)</w:t>
      </w:r>
    </w:p>
    <w:p>
      <w:pPr>
        <w:spacing w:after="0" w:line="1" w:lineRule="exact"/>
        <w:rPr>
          <w:sz w:val="20"/>
          <w:szCs w:val="20"/>
          <w:color w:val="auto"/>
        </w:rPr>
      </w:pPr>
    </w:p>
    <w:p>
      <w:pPr>
        <w:ind w:left="660" w:right="1479" w:hanging="651"/>
        <w:spacing w:after="0" w:line="250" w:lineRule="auto"/>
        <w:tabs>
          <w:tab w:leader="none" w:pos="640" w:val="left"/>
        </w:tabs>
        <w:rPr>
          <w:sz w:val="20"/>
          <w:szCs w:val="20"/>
          <w:color w:val="auto"/>
        </w:rPr>
      </w:pPr>
      <w:r>
        <w:rPr>
          <w:rFonts w:ascii="Arial" w:cs="Arial" w:eastAsia="Arial" w:hAnsi="Arial"/>
          <w:sz w:val="18"/>
          <w:szCs w:val="18"/>
          <w:color w:val="auto"/>
        </w:rPr>
        <w:t>10.10</w:t>
        <w:tab/>
        <w:t>Stockholders Agreement, dated as of April 11, 2002, by and among Stephen A. Wynn, Baron Asset Fund and Aruze USA, Inc.(1)</w:t>
      </w:r>
    </w:p>
    <w:p>
      <w:pPr>
        <w:spacing w:after="0" w:line="1" w:lineRule="exact"/>
        <w:rPr>
          <w:sz w:val="20"/>
          <w:szCs w:val="20"/>
          <w:color w:val="auto"/>
        </w:rPr>
      </w:pPr>
    </w:p>
    <w:p>
      <w:pPr>
        <w:ind w:left="660" w:right="1319" w:hanging="644"/>
        <w:spacing w:after="0" w:line="250" w:lineRule="auto"/>
        <w:tabs>
          <w:tab w:leader="none" w:pos="640" w:val="left"/>
        </w:tabs>
        <w:rPr>
          <w:sz w:val="20"/>
          <w:szCs w:val="20"/>
          <w:color w:val="auto"/>
        </w:rPr>
      </w:pPr>
      <w:r>
        <w:rPr>
          <w:rFonts w:ascii="Arial" w:cs="Arial" w:eastAsia="Arial" w:hAnsi="Arial"/>
          <w:sz w:val="18"/>
          <w:szCs w:val="18"/>
          <w:color w:val="auto"/>
        </w:rPr>
        <w:t>10.11</w:t>
        <w:tab/>
        <w:t>Agreement for Guaranteed Maximum Price Construction Services between Wynn Las Vegas, LLC and Marnell Corrao Associates, Inc. for Le Rêve.(1)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Continuing Guaranty, dated June 4, 2002, by Austi, Inc. in favor of Wynn Las Vegas, LLC.(1)</w:t>
      </w:r>
    </w:p>
    <w:p>
      <w:pPr>
        <w:spacing w:after="0" w:line="9"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10.13</w:t>
        <w:tab/>
        <w:t>Design/Build Agreement, dated June 6, 2002, by and between Wynn Las Vegas, LLC and Bomel Construction Company, Inc.(1)</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2002 Stock Incentive Plan.(4)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Indemnity Agreement.(7)</w:t>
      </w:r>
    </w:p>
    <w:p>
      <w:pPr>
        <w:spacing w:after="0" w:line="9" w:lineRule="exact"/>
        <w:rPr>
          <w:sz w:val="20"/>
          <w:szCs w:val="20"/>
          <w:color w:val="auto"/>
        </w:rPr>
      </w:pPr>
    </w:p>
    <w:p>
      <w:pPr>
        <w:ind w:left="660" w:right="1619" w:hanging="651"/>
        <w:spacing w:after="0" w:line="261" w:lineRule="auto"/>
        <w:tabs>
          <w:tab w:leader="none" w:pos="640" w:val="left"/>
        </w:tabs>
        <w:rPr>
          <w:sz w:val="20"/>
          <w:szCs w:val="20"/>
          <w:color w:val="auto"/>
        </w:rPr>
      </w:pPr>
      <w:r>
        <w:rPr>
          <w:rFonts w:ascii="Arial" w:cs="Arial" w:eastAsia="Arial" w:hAnsi="Arial"/>
          <w:sz w:val="18"/>
          <w:szCs w:val="18"/>
          <w:color w:val="auto"/>
        </w:rPr>
        <w:t>10.16</w:t>
        <w:tab/>
        <w:t>Employment Agreement, dated April 1, 2002, by and between Wynn Resorts Holdings, LLC and Ronald J. Kramer.(2)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jc w:val="center"/>
        <w:ind w:right="1459"/>
        <w:spacing w:after="0" w:line="286" w:lineRule="auto"/>
        <w:rPr>
          <w:sz w:val="20"/>
          <w:szCs w:val="20"/>
          <w:color w:val="auto"/>
        </w:rPr>
      </w:pPr>
      <w:r>
        <w:rPr>
          <w:rFonts w:ascii="Arial" w:cs="Arial" w:eastAsia="Arial" w:hAnsi="Arial"/>
          <w:sz w:val="16"/>
          <w:szCs w:val="16"/>
          <w:color w:val="auto"/>
        </w:rPr>
        <w:t>10.17   Contribution Agreement, dated as of June 11, 2002 by and among Stephen A. Wynn, Aruze USA, Inc., Baron Asset Fund, the Kenneth R. Wynn Family Trust dated February 1985 and Wynn Resorts, Limited.(2)</w:t>
      </w: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10.18</w:t>
        <w:tab/>
        <w:t>Amended and Restated Business Loan Agreement, dated as of May 30, 2002, between Bank of America, N.A. and World Travel, LLC.(7)</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Continuing Guaranty, dated May 30, 2002, by Valvino Lamore, LLC in favor of Bank of America, N.A.(2)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Agreement, dated as of June 13, 2002, by and between Stephen A. Wynn and Wynn Resorts, Limited.(2)</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Purchase Agreement, dated May 30, 2002, between Stephen A. Wynn and Valvino Lamore, LLC.(2)</w:t>
      </w:r>
    </w:p>
    <w:p>
      <w:pPr>
        <w:spacing w:after="0" w:line="9" w:lineRule="exact"/>
        <w:rPr>
          <w:sz w:val="20"/>
          <w:szCs w:val="20"/>
          <w:color w:val="auto"/>
        </w:rPr>
      </w:pPr>
    </w:p>
    <w:p>
      <w:pPr>
        <w:ind w:left="660" w:right="2079" w:hanging="651"/>
        <w:spacing w:after="0" w:line="250" w:lineRule="auto"/>
        <w:tabs>
          <w:tab w:leader="none" w:pos="640" w:val="left"/>
        </w:tabs>
        <w:rPr>
          <w:sz w:val="20"/>
          <w:szCs w:val="20"/>
          <w:color w:val="auto"/>
        </w:rPr>
      </w:pPr>
      <w:r>
        <w:rPr>
          <w:rFonts w:ascii="Arial" w:cs="Arial" w:eastAsia="Arial" w:hAnsi="Arial"/>
          <w:sz w:val="18"/>
          <w:szCs w:val="18"/>
          <w:color w:val="auto"/>
        </w:rPr>
        <w:t>10.22</w:t>
        <w:tab/>
        <w:t>Agreement, dated as of , between Wynn Design and Development, LLC and Butler/Ashworth Architects, Inc.(5)</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Employment Agreement, dated as of May 31, 2002, by and between Valvino Lamore, LLC and Matt Maddox.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660" w:right="1479" w:hanging="651"/>
        <w:spacing w:after="0" w:line="281" w:lineRule="auto"/>
        <w:tabs>
          <w:tab w:leader="none" w:pos="6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Agreement).(2)</w:t>
      </w:r>
    </w:p>
    <w:p>
      <w:pPr>
        <w:spacing w:after="0" w:line="2" w:lineRule="exact"/>
        <w:rPr>
          <w:sz w:val="20"/>
          <w:szCs w:val="20"/>
          <w:color w:val="auto"/>
        </w:rPr>
      </w:pPr>
    </w:p>
    <w:p>
      <w:pPr>
        <w:ind w:left="660" w:right="1379" w:hanging="651"/>
        <w:spacing w:after="0" w:line="250" w:lineRule="auto"/>
        <w:tabs>
          <w:tab w:leader="none" w:pos="640" w:val="left"/>
        </w:tabs>
        <w:rPr>
          <w:sz w:val="20"/>
          <w:szCs w:val="20"/>
          <w:color w:val="auto"/>
        </w:rPr>
      </w:pPr>
      <w:r>
        <w:rPr>
          <w:rFonts w:ascii="Arial" w:cs="Arial" w:eastAsia="Arial" w:hAnsi="Arial"/>
          <w:sz w:val="18"/>
          <w:szCs w:val="18"/>
          <w:color w:val="auto"/>
        </w:rPr>
        <w:t>10.25</w:t>
        <w:tab/>
        <w:t>Amended and Restated Commitment Letter Agreement, dated June 14, 2002, among Deutsche Bank Trust Company Americas, Deutsche Bank Securities Inc., Bank of America, N.A., Banc of America Securities LLC, Bear Stearns Corporate Lending, Inc., Bear Stearns &amp; Co. Inc., Wynn Resorts Holdings, LLC and Wynn Las Vegas, LLC. (2)</w:t>
      </w:r>
    </w:p>
    <w:p>
      <w:pPr>
        <w:spacing w:after="0" w:line="2" w:lineRule="exact"/>
        <w:rPr>
          <w:sz w:val="20"/>
          <w:szCs w:val="20"/>
          <w:color w:val="auto"/>
        </w:rPr>
      </w:pPr>
    </w:p>
    <w:p>
      <w:pPr>
        <w:ind w:left="660" w:right="1459" w:hanging="651"/>
        <w:spacing w:after="0" w:line="250" w:lineRule="auto"/>
        <w:tabs>
          <w:tab w:leader="none" w:pos="640" w:val="left"/>
        </w:tabs>
        <w:rPr>
          <w:sz w:val="20"/>
          <w:szCs w:val="20"/>
          <w:color w:val="auto"/>
        </w:rPr>
      </w:pPr>
      <w:r>
        <w:rPr>
          <w:rFonts w:ascii="Arial" w:cs="Arial" w:eastAsia="Arial" w:hAnsi="Arial"/>
          <w:sz w:val="18"/>
          <w:szCs w:val="18"/>
          <w:color w:val="auto"/>
        </w:rPr>
        <w:t>10.26</w:t>
        <w:tab/>
        <w:t>Agreement for Guarantee Maximum Price Construction Services Change Order, dated as of August 12, 2002, between Marnell Corrao Associates, Inc. and Wynn Las Vegas, LLC.(2)</w:t>
      </w:r>
    </w:p>
    <w:p>
      <w:pPr>
        <w:spacing w:after="0" w:line="1" w:lineRule="exact"/>
        <w:rPr>
          <w:sz w:val="20"/>
          <w:szCs w:val="20"/>
          <w:color w:val="auto"/>
        </w:rPr>
      </w:pPr>
    </w:p>
    <w:p>
      <w:pPr>
        <w:ind w:left="660" w:right="1619" w:hanging="651"/>
        <w:spacing w:after="0" w:line="281" w:lineRule="auto"/>
        <w:tabs>
          <w:tab w:leader="none" w:pos="6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Agreement).(4)</w:t>
      </w:r>
    </w:p>
    <w:p>
      <w:pPr>
        <w:spacing w:after="0" w:line="2" w:lineRule="exact"/>
        <w:rPr>
          <w:sz w:val="20"/>
          <w:szCs w:val="20"/>
          <w:color w:val="auto"/>
        </w:rPr>
      </w:pPr>
    </w:p>
    <w:p>
      <w:pPr>
        <w:ind w:left="660" w:right="1399" w:hanging="651"/>
        <w:spacing w:after="0" w:line="250" w:lineRule="auto"/>
        <w:tabs>
          <w:tab w:leader="none" w:pos="640" w:val="left"/>
        </w:tabs>
        <w:rPr>
          <w:sz w:val="20"/>
          <w:szCs w:val="20"/>
          <w:color w:val="auto"/>
        </w:rPr>
      </w:pPr>
      <w:r>
        <w:rPr>
          <w:rFonts w:ascii="Arial" w:cs="Arial" w:eastAsia="Arial" w:hAnsi="Arial"/>
          <w:sz w:val="18"/>
          <w:szCs w:val="18"/>
          <w:color w:val="auto"/>
        </w:rPr>
        <w:t>10.28</w:t>
        <w:tab/>
        <w:t>Amended and Restated Art Rental and Licensing Agreement, dated August 19, 2002, by and between Stephen A. Wynn and Wynn Resorts Holdings, LLC.(5)</w:t>
      </w:r>
    </w:p>
    <w:p>
      <w:pPr>
        <w:spacing w:after="0" w:line="1" w:lineRule="exact"/>
        <w:rPr>
          <w:sz w:val="20"/>
          <w:szCs w:val="20"/>
          <w:color w:val="auto"/>
        </w:rPr>
      </w:pPr>
    </w:p>
    <w:p>
      <w:pPr>
        <w:ind w:left="660" w:right="2339" w:hanging="651"/>
        <w:spacing w:after="0" w:line="250" w:lineRule="auto"/>
        <w:tabs>
          <w:tab w:leader="none" w:pos="640" w:val="left"/>
        </w:tabs>
        <w:rPr>
          <w:sz w:val="20"/>
          <w:szCs w:val="20"/>
          <w:color w:val="auto"/>
        </w:rPr>
      </w:pPr>
      <w:r>
        <w:rPr>
          <w:rFonts w:ascii="Arial" w:cs="Arial" w:eastAsia="Arial" w:hAnsi="Arial"/>
          <w:sz w:val="18"/>
          <w:szCs w:val="18"/>
          <w:color w:val="auto"/>
        </w:rPr>
        <w:t>10.29</w:t>
        <w:tab/>
        <w:t>Professional Design Services Agreement, effective as of October 5, 2001, between Wynn Design Development, LLC and A.A. Marnell II, Chtd.(4)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General Conditions to the Professional Design Services Agreement.(4)</w:t>
      </w:r>
    </w:p>
    <w:p>
      <w:pPr>
        <w:spacing w:after="0" w:line="9" w:lineRule="exact"/>
        <w:rPr>
          <w:sz w:val="20"/>
          <w:szCs w:val="20"/>
          <w:color w:val="auto"/>
        </w:rPr>
      </w:pPr>
    </w:p>
    <w:p>
      <w:pPr>
        <w:ind w:left="660" w:right="1659" w:hanging="651"/>
        <w:spacing w:after="0" w:line="250" w:lineRule="auto"/>
        <w:tabs>
          <w:tab w:leader="none" w:pos="640" w:val="left"/>
        </w:tabs>
        <w:rPr>
          <w:sz w:val="20"/>
          <w:szCs w:val="20"/>
          <w:color w:val="auto"/>
        </w:rPr>
      </w:pPr>
      <w:r>
        <w:rPr>
          <w:rFonts w:ascii="Arial" w:cs="Arial" w:eastAsia="Arial" w:hAnsi="Arial"/>
          <w:sz w:val="18"/>
          <w:szCs w:val="18"/>
          <w:color w:val="auto"/>
        </w:rPr>
        <w:t>10.31</w:t>
        <w:tab/>
        <w:t>Trademark/Service Mark Purchase Agreement, dated June 7, 2001, between Wynn Resorts and The STAD Trust.(4)</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Purchase Agreement, dated as of April 1, 2001, between Stephen A. Wynn and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First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Second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Third Amendment to Amended and Restated Operating Agreement of Valvino Lamore, LLC.(4)</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Fourth Amendment to Amended and Restated Operating Agreement of Valvino Lamore, LLC.(4)</w:t>
      </w:r>
    </w:p>
    <w:p>
      <w:pPr>
        <w:spacing w:after="0" w:line="9" w:lineRule="exact"/>
        <w:rPr>
          <w:sz w:val="20"/>
          <w:szCs w:val="20"/>
          <w:color w:val="auto"/>
        </w:rPr>
      </w:pPr>
    </w:p>
    <w:p>
      <w:pPr>
        <w:ind w:left="660" w:right="1579" w:hanging="651"/>
        <w:spacing w:after="0" w:line="250" w:lineRule="auto"/>
        <w:tabs>
          <w:tab w:leader="none" w:pos="640" w:val="left"/>
        </w:tabs>
        <w:rPr>
          <w:sz w:val="20"/>
          <w:szCs w:val="20"/>
          <w:color w:val="auto"/>
        </w:rPr>
      </w:pPr>
      <w:r>
        <w:rPr>
          <w:rFonts w:ascii="Arial" w:cs="Arial" w:eastAsia="Arial" w:hAnsi="Arial"/>
          <w:sz w:val="18"/>
          <w:szCs w:val="18"/>
          <w:color w:val="auto"/>
        </w:rPr>
        <w:t>10.38</w:t>
        <w:tab/>
        <w:t>Employment Agreement, dated as of July 7, 2000, by and between Wynn Design &amp; Development, LLC and William Todd Nisbet.(4)</w:t>
      </w:r>
    </w:p>
    <w:p>
      <w:pPr>
        <w:spacing w:after="0" w:line="1" w:lineRule="exact"/>
        <w:rPr>
          <w:sz w:val="20"/>
          <w:szCs w:val="20"/>
          <w:color w:val="auto"/>
        </w:rPr>
      </w:pPr>
    </w:p>
    <w:p>
      <w:pPr>
        <w:ind w:left="660" w:right="1399" w:hanging="651"/>
        <w:spacing w:after="0" w:line="261" w:lineRule="auto"/>
        <w:tabs>
          <w:tab w:leader="none" w:pos="640" w:val="left"/>
        </w:tabs>
        <w:rPr>
          <w:sz w:val="20"/>
          <w:szCs w:val="20"/>
          <w:color w:val="auto"/>
        </w:rPr>
      </w:pPr>
      <w:r>
        <w:rPr>
          <w:rFonts w:ascii="Arial" w:cs="Arial" w:eastAsia="Arial" w:hAnsi="Arial"/>
          <w:sz w:val="18"/>
          <w:szCs w:val="18"/>
          <w:color w:val="auto"/>
        </w:rPr>
        <w:t>10.39</w:t>
        <w:tab/>
        <w:t>Employment Agreement, dated as of September 6, 2002, by and between Wynn Resorts, Limited and Marc H. Rubinstein.(4)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56515</wp:posOffset>
            </wp:positionV>
            <wp:extent cx="7250430" cy="215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660" w:right="1659" w:hanging="651"/>
        <w:spacing w:after="0" w:line="254" w:lineRule="auto"/>
        <w:tabs>
          <w:tab w:leader="none" w:pos="640" w:val="left"/>
        </w:tabs>
        <w:rPr>
          <w:sz w:val="20"/>
          <w:szCs w:val="20"/>
          <w:color w:val="auto"/>
        </w:rPr>
      </w:pPr>
      <w:r>
        <w:rPr>
          <w:rFonts w:ascii="Arial" w:cs="Arial" w:eastAsia="Arial" w:hAnsi="Arial"/>
          <w:sz w:val="18"/>
          <w:szCs w:val="18"/>
          <w:color w:val="auto"/>
        </w:rPr>
        <w:t>10.40</w:t>
        <w:tab/>
        <w:t>Employment Agreement, dated as of September 9, 2002, by and between Wynn Resorts, Limited and John Strzemp.(4)</w:t>
      </w:r>
    </w:p>
    <w:p>
      <w:pPr>
        <w:ind w:left="660" w:right="1399" w:hanging="651"/>
        <w:spacing w:after="0" w:line="281" w:lineRule="auto"/>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Form of Indenture, dated , 2002, governing the % Second Mortgage Notes due 2010 by and among Wynn Las Vegas, LLC, Wynn Las Vegas Capital Corp., Desert Inn Water Company, LLC, Wynn Design &amp; Development, LLC, Wynn Resorts Holdings, LLC, Las Vegas Jet, LLC, World Travel, LLC, Palo, LLC, Valvino Lamore, LLC and Wells Fargo Bank, National Association, as trustee.(6)</w:t>
      </w:r>
    </w:p>
    <w:p>
      <w:pPr>
        <w:spacing w:after="0" w:line="3" w:lineRule="exact"/>
        <w:rPr>
          <w:sz w:val="20"/>
          <w:szCs w:val="20"/>
          <w:color w:val="auto"/>
        </w:rPr>
      </w:pPr>
    </w:p>
    <w:p>
      <w:pPr>
        <w:ind w:left="660" w:right="1839" w:hanging="651"/>
        <w:spacing w:after="0" w:line="250" w:lineRule="auto"/>
        <w:tabs>
          <w:tab w:leader="none" w:pos="640" w:val="left"/>
        </w:tabs>
        <w:rPr>
          <w:sz w:val="20"/>
          <w:szCs w:val="20"/>
          <w:color w:val="auto"/>
        </w:rPr>
      </w:pPr>
      <w:r>
        <w:rPr>
          <w:rFonts w:ascii="Arial" w:cs="Arial" w:eastAsia="Arial" w:hAnsi="Arial"/>
          <w:sz w:val="18"/>
          <w:szCs w:val="18"/>
          <w:color w:val="auto"/>
        </w:rPr>
        <w:t>10.42</w:t>
        <w:tab/>
        <w:t>Second Amended and Restated Art Rental and Licensing Agreement, dated September 18, 2002, by and between Stephen A. Wynn and Wynn Resorts Holdings, LLC.(5)</w:t>
      </w:r>
    </w:p>
    <w:p>
      <w:pPr>
        <w:spacing w:after="0" w:line="1" w:lineRule="exact"/>
        <w:rPr>
          <w:sz w:val="20"/>
          <w:szCs w:val="20"/>
          <w:color w:val="auto"/>
        </w:rPr>
      </w:pPr>
    </w:p>
    <w:p>
      <w:pPr>
        <w:ind w:left="660" w:right="1319" w:hanging="651"/>
        <w:spacing w:after="0" w:line="250" w:lineRule="auto"/>
        <w:tabs>
          <w:tab w:leader="none" w:pos="640" w:val="left"/>
        </w:tabs>
        <w:rPr>
          <w:sz w:val="20"/>
          <w:szCs w:val="20"/>
          <w:color w:val="auto"/>
        </w:rPr>
      </w:pPr>
      <w:r>
        <w:rPr>
          <w:rFonts w:ascii="Arial" w:cs="Arial" w:eastAsia="Arial" w:hAnsi="Arial"/>
          <w:sz w:val="18"/>
          <w:szCs w:val="18"/>
          <w:color w:val="auto"/>
        </w:rPr>
        <w:t>10.43</w:t>
        <w:tab/>
        <w:t>Employment Agreement, dated as of September 18, 2002, by and between Wynn Design &amp; Development, LLC and Kenneth R. Wynn.(5)</w:t>
      </w:r>
    </w:p>
    <w:p>
      <w:pPr>
        <w:spacing w:after="0" w:line="1" w:lineRule="exact"/>
        <w:rPr>
          <w:sz w:val="20"/>
          <w:szCs w:val="20"/>
          <w:color w:val="auto"/>
        </w:rPr>
      </w:pPr>
    </w:p>
    <w:p>
      <w:pPr>
        <w:ind w:left="660" w:right="1479" w:hanging="651"/>
        <w:spacing w:after="0" w:line="361" w:lineRule="auto"/>
        <w:tabs>
          <w:tab w:leader="none" w:pos="6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5"/>
          <w:szCs w:val="15"/>
          <w:color w:val="auto"/>
        </w:rPr>
        <w:t>Tax Indemnification Agreement, effective as of September 24, 2002, by and among Stephen A. Wynn, Aruze USA, Inc., Baron Asset Fund on behalf of the Baron Asset Fund Series, Baron Asset Fund on behalf of the</w:t>
      </w:r>
    </w:p>
    <w:p>
      <w:pPr>
        <w:sectPr>
          <w:pgSz w:w="11900" w:h="16838" w:orient="portrait"/>
          <w:cols w:equalWidth="0" w:num="1">
            <w:col w:w="9799"/>
          </w:cols>
          <w:pgMar w:left="660" w:top="131" w:right="1440" w:bottom="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Baron Growth Fund Series, Kenneth R. Wynn Family Trust dated February 20, 1985, Valvino Lamore,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and Wynn Resorts, Limited.(5)</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September 26, 2002, by and between Wynn Design &amp; Development, LLC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and DeRuyter O. Butler.(5)</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Wynn.(5)</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Ferrari North America, Inc.(7)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Ferrari North America, Inc.(7)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10.49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Letter of Intent, dated May 24, 2002, by and between Valvino Lamore, LLC and Maserati North America, Inc.</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First Amendment to Letter of Intent, dated as of October 4, 2002, by and between Valvino Lamore, LLC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Maserati North America, Inc.(7)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Employment Agreement, dated as of October 4, 2002, by and between Wynn Resorts, Limited and Marc 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Schorr.(7)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10.52</w:t>
            </w:r>
          </w:p>
        </w:tc>
        <w:tc>
          <w:tcPr>
            <w:tcW w:w="3560" w:type="dxa"/>
            <w:vAlign w:val="bottom"/>
          </w:tcPr>
          <w:p>
            <w:pPr>
              <w:ind w:left="140"/>
              <w:spacing w:after="0"/>
              <w:rPr>
                <w:sz w:val="20"/>
                <w:szCs w:val="20"/>
                <w:color w:val="auto"/>
              </w:rPr>
            </w:pPr>
            <w:r>
              <w:rPr>
                <w:rFonts w:ascii="Arial" w:cs="Arial" w:eastAsia="Arial" w:hAnsi="Arial"/>
                <w:sz w:val="18"/>
                <w:szCs w:val="18"/>
                <w:color w:val="auto"/>
              </w:rPr>
              <w:t>Form of Restricted Stock Agreement.(7)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Distribution Agreement and Assignment, effective as of October 17, 2002, by and between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Limited and Valvino Lamore, LLC.(7)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10.54</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Master Disbursement Agreement by and among Wynn Las Vegas, LLC, Wynn Las Vegas Capital</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Corp., Wynn Design &amp; Development, LLC, Deutsche Bank Trust Company Americas and Wells Fargo Bank,</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National Association.(6)</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10.55</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Deed of Trust, Assignment of Rents and Leases, Security Agreement and Fixture Filing in favor of</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Wells Fargo Bank, National Association, as trustee under the Indenture.(6)</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10.56</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Lease Agreement by and between Valvino Lamore,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10.57</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Golf Course Lease by and between Wynn Resorts Holdings, LLC and Wynn Las Vegas, LLC.(7)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Driving Range Lease by and between Valvino Lamore, LLC and Wynn Las Vegas, LLC.(7)</w:t>
            </w: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10.59</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Parking Facility Lease by and between Valvino Lamore, LLC and Wynn Las Vegas, LLC.(7)</w:t>
            </w: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480" w:type="dxa"/>
            <w:vAlign w:val="bottom"/>
            <w:tcBorders>
              <w:bottom w:val="single" w:sz="8" w:color="808080"/>
            </w:tcBorders>
            <w:gridSpan w:val="2"/>
          </w:tcPr>
          <w:p>
            <w:pPr>
              <w:spacing w:after="0"/>
              <w:rPr>
                <w:sz w:val="10"/>
                <w:szCs w:val="10"/>
                <w:color w:val="auto"/>
              </w:rPr>
            </w:pPr>
          </w:p>
        </w:tc>
      </w:tr>
      <w:tr>
        <w:trPr>
          <w:trHeight w:val="313"/>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Share Subscription and Shareholders' Agreement, made and entered into as of October 15, 2002, by and among</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S.H.W. &amp; Co. Limited, SKKG Limited, L'Arc de Triomphe Limited, Classic Wave Limited, Yany Kwan Yan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Chi, Li Tai Foon, Kwan Yan Ming, Wong Chi Seng, Wynn Resorts International, Ltd., and Wynn Resorts</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(Macau) Holdings, Ltd.(7)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Shareholders' Agreement, made and entered into as of October 15, 2002, by and among Wong Chi Seng, Wynn</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Resorts International, Ltd., Wynn Resorts (Macau), Limited and Wynn Resorts (Macau), S.A.(7)</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Mortgage, Security Agreement and Assignment dated as of February 28, 2002 between World Travel, LLC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Bank of America, N.A.(7)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10.63</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Form of Registration Rights Agreement dated October   , 2002 by and between Wynn Resorts, Limited and</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Arial" w:cs="Arial" w:eastAsia="Arial" w:hAnsi="Arial"/>
                <w:sz w:val="18"/>
                <w:szCs w:val="18"/>
                <w:color w:val="auto"/>
              </w:rPr>
              <w:t>Stephen A. Wynn.(8)</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3560" w:type="dxa"/>
            <w:vAlign w:val="bottom"/>
          </w:tcPr>
          <w:p>
            <w:pPr>
              <w:ind w:left="140"/>
              <w:spacing w:after="0"/>
              <w:rPr>
                <w:sz w:val="20"/>
                <w:szCs w:val="20"/>
                <w:color w:val="auto"/>
              </w:rPr>
            </w:pPr>
            <w:r>
              <w:rPr>
                <w:rFonts w:ascii="Arial" w:cs="Arial" w:eastAsia="Arial" w:hAnsi="Arial"/>
                <w:sz w:val="18"/>
                <w:szCs w:val="18"/>
                <w:color w:val="auto"/>
                <w:w w:val="94"/>
              </w:rPr>
              <w:t>Form of Management Agreement made as of</w:t>
            </w:r>
          </w:p>
        </w:tc>
        <w:tc>
          <w:tcPr>
            <w:tcW w:w="6920" w:type="dxa"/>
            <w:vAlign w:val="bottom"/>
          </w:tcPr>
          <w:p>
            <w:pPr>
              <w:ind w:left="260"/>
              <w:spacing w:after="0"/>
              <w:rPr>
                <w:sz w:val="20"/>
                <w:szCs w:val="20"/>
                <w:color w:val="auto"/>
              </w:rPr>
            </w:pPr>
            <w:r>
              <w:rPr>
                <w:rFonts w:ascii="Arial" w:cs="Arial" w:eastAsia="Arial" w:hAnsi="Arial"/>
                <w:sz w:val="18"/>
                <w:szCs w:val="18"/>
                <w:color w:val="auto"/>
              </w:rPr>
              <w:t>, 2002 by and among Wynn Las Vegas, LLC and the</w:t>
            </w:r>
          </w:p>
        </w:tc>
      </w:tr>
      <w:tr>
        <w:trPr>
          <w:trHeight w:val="216"/>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subsidiaries and affiliates listed on Exhibit A thereto and Wynn Resorts, Limited.(8)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3560" w:type="dxa"/>
            <w:vAlign w:val="bottom"/>
          </w:tcPr>
          <w:p>
            <w:pPr>
              <w:ind w:left="140"/>
              <w:spacing w:after="0"/>
              <w:rPr>
                <w:sz w:val="20"/>
                <w:szCs w:val="20"/>
                <w:color w:val="auto"/>
              </w:rPr>
            </w:pPr>
            <w:r>
              <w:rPr>
                <w:rFonts w:ascii="Arial" w:cs="Arial" w:eastAsia="Arial" w:hAnsi="Arial"/>
                <w:sz w:val="18"/>
                <w:szCs w:val="18"/>
                <w:color w:val="auto"/>
              </w:rPr>
              <w:t>Letter from Arthur Andersen, LLP.(3)</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560" w:type="dxa"/>
            <w:vAlign w:val="bottom"/>
          </w:tcPr>
          <w:p>
            <w:pPr>
              <w:ind w:left="140"/>
              <w:spacing w:after="0"/>
              <w:rPr>
                <w:sz w:val="20"/>
                <w:szCs w:val="20"/>
                <w:color w:val="auto"/>
              </w:rPr>
            </w:pPr>
            <w:r>
              <w:rPr>
                <w:rFonts w:ascii="Arial" w:cs="Arial" w:eastAsia="Arial" w:hAnsi="Arial"/>
                <w:sz w:val="18"/>
                <w:szCs w:val="18"/>
                <w:color w:val="auto"/>
              </w:rPr>
              <w:t>Subsidiaries of the Registrant.(7)</w:t>
            </w:r>
          </w:p>
        </w:tc>
        <w:tc>
          <w:tcPr>
            <w:tcW w:w="6920" w:type="dxa"/>
            <w:vAlign w:val="bottom"/>
          </w:tcPr>
          <w:p>
            <w:pPr>
              <w:spacing w:after="0"/>
              <w:rPr>
                <w:sz w:val="18"/>
                <w:szCs w:val="18"/>
                <w:color w:val="auto"/>
              </w:rPr>
            </w:pP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0480" w:type="dxa"/>
            <w:vAlign w:val="bottom"/>
            <w:gridSpan w:val="2"/>
          </w:tcPr>
          <w:p>
            <w:pPr>
              <w:ind w:left="140"/>
              <w:spacing w:after="0"/>
              <w:rPr>
                <w:sz w:val="20"/>
                <w:szCs w:val="20"/>
                <w:color w:val="auto"/>
              </w:rPr>
            </w:pPr>
            <w:r>
              <w:rPr>
                <w:rFonts w:ascii="Arial" w:cs="Arial" w:eastAsia="Arial" w:hAnsi="Arial"/>
                <w:sz w:val="18"/>
                <w:szCs w:val="18"/>
                <w:color w:val="auto"/>
              </w:rPr>
              <w:t>Consent of Schreck Brignone (included in Exhibit 5.1).(8)</w:t>
            </w:r>
          </w:p>
        </w:tc>
      </w:tr>
      <w:tr>
        <w:trPr>
          <w:trHeight w:val="216"/>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3560" w:type="dxa"/>
            <w:vAlign w:val="bottom"/>
          </w:tcPr>
          <w:p>
            <w:pPr>
              <w:ind w:left="140"/>
              <w:spacing w:after="0"/>
              <w:rPr>
                <w:sz w:val="20"/>
                <w:szCs w:val="20"/>
                <w:color w:val="auto"/>
              </w:rPr>
            </w:pPr>
            <w:r>
              <w:rPr>
                <w:rFonts w:ascii="Arial" w:cs="Arial" w:eastAsia="Arial" w:hAnsi="Arial"/>
                <w:sz w:val="18"/>
                <w:szCs w:val="18"/>
                <w:color w:val="auto"/>
              </w:rPr>
              <w:t>Consent of Deloitte &amp; Touche LLP.(8)</w:t>
            </w:r>
          </w:p>
        </w:tc>
        <w:tc>
          <w:tcPr>
            <w:tcW w:w="6920" w:type="dxa"/>
            <w:vAlign w:val="bottom"/>
          </w:tcPr>
          <w:p>
            <w:pPr>
              <w:spacing w:after="0"/>
              <w:rPr>
                <w:sz w:val="18"/>
                <w:szCs w:val="18"/>
                <w:color w:val="auto"/>
              </w:rPr>
            </w:pPr>
          </w:p>
        </w:tc>
      </w:tr>
      <w:tr>
        <w:trPr>
          <w:trHeight w:val="222"/>
        </w:trPr>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3560" w:type="dxa"/>
            <w:vAlign w:val="bottom"/>
          </w:tcPr>
          <w:p>
            <w:pPr>
              <w:ind w:left="140"/>
              <w:spacing w:after="0"/>
              <w:rPr>
                <w:sz w:val="20"/>
                <w:szCs w:val="20"/>
                <w:color w:val="auto"/>
              </w:rPr>
            </w:pPr>
            <w:r>
              <w:rPr>
                <w:rFonts w:ascii="Arial" w:cs="Arial" w:eastAsia="Arial" w:hAnsi="Arial"/>
                <w:sz w:val="18"/>
                <w:szCs w:val="18"/>
                <w:color w:val="auto"/>
              </w:rPr>
              <w:t>Power of Attorney.(1)</w:t>
            </w:r>
          </w:p>
        </w:tc>
        <w:tc>
          <w:tcPr>
            <w:tcW w:w="6920" w:type="dxa"/>
            <w:vAlign w:val="bottom"/>
          </w:tcPr>
          <w:p>
            <w:pPr>
              <w:spacing w:after="0"/>
              <w:rPr>
                <w:sz w:val="19"/>
                <w:szCs w:val="19"/>
                <w:color w:val="auto"/>
              </w:rPr>
            </w:pPr>
          </w:p>
        </w:tc>
      </w:tr>
      <w:tr>
        <w:trPr>
          <w:trHeight w:val="120"/>
        </w:trPr>
        <w:tc>
          <w:tcPr>
            <w:tcW w:w="6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9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left="460" w:hanging="101"/>
        <w:spacing w:after="0"/>
        <w:tabs>
          <w:tab w:leader="none" w:pos="460" w:val="left"/>
        </w:tabs>
        <w:numPr>
          <w:ilvl w:val="1"/>
          <w:numId w:val="16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38" w:lineRule="exact"/>
        <w:rPr>
          <w:rFonts w:ascii="Arial" w:cs="Arial" w:eastAsia="Arial" w:hAnsi="Arial"/>
          <w:sz w:val="14"/>
          <w:szCs w:val="14"/>
          <w:color w:val="auto"/>
        </w:rPr>
      </w:pPr>
    </w:p>
    <w:p>
      <w:pPr>
        <w:ind w:left="540" w:hanging="532"/>
        <w:spacing w:after="0"/>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the Form S-1 filed by the Registrant on June 17, 2002.</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1 to the Form S-1 filed by the Registrant on August 20,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 on August 26,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67"/>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 on September 18,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 on October 7, 2002.</w:t>
      </w:r>
    </w:p>
    <w:p>
      <w:pPr>
        <w:spacing w:after="0" w:line="71" w:lineRule="exact"/>
        <w:rPr>
          <w:rFonts w:ascii="Arial" w:cs="Arial" w:eastAsia="Arial" w:hAnsi="Arial"/>
          <w:sz w:val="23"/>
          <w:szCs w:val="23"/>
          <w:color w:val="auto"/>
          <w:vertAlign w:val="subscript"/>
        </w:rPr>
      </w:pPr>
    </w:p>
    <w:p>
      <w:pPr>
        <w:ind w:left="540" w:right="260" w:hanging="532"/>
        <w:spacing w:after="0" w:line="186" w:lineRule="auto"/>
        <w:tabs>
          <w:tab w:leader="none" w:pos="540" w:val="left"/>
        </w:tabs>
        <w:numPr>
          <w:ilvl w:val="0"/>
          <w:numId w:val="167"/>
        </w:numPr>
        <w:rPr>
          <w:rFonts w:ascii="Arial" w:cs="Arial" w:eastAsia="Arial" w:hAnsi="Arial"/>
          <w:sz w:val="24"/>
          <w:szCs w:val="24"/>
          <w:color w:val="auto"/>
          <w:vertAlign w:val="subscript"/>
        </w:rPr>
      </w:pPr>
      <w:r>
        <w:rPr>
          <w:rFonts w:ascii="Arial" w:cs="Arial" w:eastAsia="Arial" w:hAnsi="Arial"/>
          <w:sz w:val="12"/>
          <w:szCs w:val="12"/>
          <w:color w:val="auto"/>
        </w:rPr>
        <w:t>Previously filed with Amendment No. 4 to the Registration Statement on Form S-1 of Wynn Las Vegas, LLC, Wynn Las Vegas Capital Corp. and the Other Registrants listed therein on October 21, 2002 (Registration No. 333-98369).</w:t>
      </w:r>
    </w:p>
    <w:p>
      <w:pPr>
        <w:ind w:left="540" w:hanging="532"/>
        <w:spacing w:after="0" w:line="187" w:lineRule="auto"/>
        <w:tabs>
          <w:tab w:leader="none" w:pos="540" w:val="left"/>
        </w:tabs>
        <w:numPr>
          <w:ilvl w:val="0"/>
          <w:numId w:val="167"/>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5 to the Form S-1 filed by the Registrant on October 21, 2002.</w:t>
      </w:r>
    </w:p>
    <w:p>
      <w:pPr>
        <w:spacing w:after="0" w:line="55"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67"/>
        </w:numPr>
        <w:rPr>
          <w:rFonts w:ascii="Arial" w:cs="Arial" w:eastAsia="Arial" w:hAnsi="Arial"/>
          <w:sz w:val="23"/>
          <w:szCs w:val="23"/>
          <w:color w:val="auto"/>
          <w:vertAlign w:val="subscript"/>
        </w:rPr>
      </w:pPr>
      <w:r>
        <w:rPr>
          <w:rFonts w:ascii="Arial" w:cs="Arial" w:eastAsia="Arial" w:hAnsi="Arial"/>
          <w:sz w:val="12"/>
          <w:szCs w:val="12"/>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Company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 Rêve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Macau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Issuer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The Offering</w:t>
        </w:r>
      </w:hyperlink>
    </w:p>
    <w:p>
      <w:pPr>
        <w:sectPr>
          <w:pgSz w:w="11900" w:h="16838" w:orient="portrait"/>
          <w:cols w:equalWidth="0" w:num="1">
            <w:col w:w="11420"/>
          </w:cols>
          <w:pgMar w:left="240" w:top="131" w:right="239" w:bottom="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 FACTORS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DIVIDEND POLICY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DILUTION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PRINCIPAL STOCKHOLDERS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740"/>
        <w:spacing w:after="0" w:line="250"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Macau Annual Tourism Statistical 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CONCESSION AGREEMENT WITH THE GOVERNMENT OF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CERTAIN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SHARES ELIGIBLE FOR FUTURE SALE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U.S. FEDERAL TAX CONSIDERATIONS FOR NON-U.S. 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ind w:right="500"/>
        <w:spacing w:after="0" w:line="250" w:lineRule="auto"/>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thousands, except share data)</w:t>
        </w:r>
      </w:hyperlink>
    </w:p>
    <w:p>
      <w:pPr>
        <w:spacing w:after="0" w:line="1" w:lineRule="exact"/>
        <w:rPr>
          <w:rFonts w:ascii="Arial" w:cs="Arial" w:eastAsia="Arial" w:hAnsi="Arial"/>
          <w:sz w:val="18"/>
          <w:szCs w:val="18"/>
          <w:u w:val="single" w:color="auto"/>
          <w:color w:val="0000EE"/>
        </w:rPr>
      </w:pPr>
    </w:p>
    <w:p>
      <w:pPr>
        <w:jc w:val="both"/>
        <w:ind w:right="22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(In thousands, except share data)</w:t>
        </w:r>
      </w:hyperlink>
    </w:p>
    <w:p>
      <w:pPr>
        <w:spacing w:after="0" w:line="1" w:lineRule="exact"/>
        <w:rPr>
          <w:sz w:val="20"/>
          <w:szCs w:val="20"/>
          <w:color w:val="auto"/>
        </w:rPr>
      </w:pPr>
    </w:p>
    <w:p>
      <w:pPr>
        <w:ind w:right="460"/>
        <w:spacing w:after="0" w:line="250"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20"/>
        <w:spacing w:after="0" w:line="281" w:lineRule="auto"/>
        <w:rPr>
          <w:rFonts w:ascii="Arial" w:cs="Arial" w:eastAsia="Arial" w:hAnsi="Arial"/>
          <w:sz w:val="16"/>
          <w:szCs w:val="16"/>
          <w:u w:val="single" w:color="auto"/>
          <w:color w:val="0000EE"/>
        </w:rPr>
      </w:pPr>
      <w:hyperlink w:anchor="page9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0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06">
        <w:r>
          <w:rPr>
            <w:rFonts w:ascii="Arial" w:cs="Arial" w:eastAsia="Arial" w:hAnsi="Arial"/>
            <w:sz w:val="16"/>
            <w:szCs w:val="16"/>
            <w:u w:val="single" w:color="auto"/>
            <w:color w:val="0000EE"/>
          </w:rPr>
          <w:t>VALVINO LAMORE, LLC AND SUBSIDIARIES CONSOLIDATING BALANCE SHEET INFORMATION As of December 31, 2001 (In thousands)</w:t>
        </w:r>
      </w:hyperlink>
      <w:r>
        <w:rPr>
          <w:rFonts w:ascii="Arial" w:cs="Arial" w:eastAsia="Arial" w:hAnsi="Arial"/>
          <w:sz w:val="16"/>
          <w:szCs w:val="16"/>
          <w:u w:val="single" w:color="auto"/>
          <w:color w:val="0000EE"/>
        </w:rPr>
        <w:t xml:space="preserve"> </w:t>
      </w:r>
      <w:hyperlink w:anchor="page107">
        <w:r>
          <w:rPr>
            <w:rFonts w:ascii="Arial" w:cs="Arial" w:eastAsia="Arial" w:hAnsi="Arial"/>
            <w:sz w:val="16"/>
            <w:szCs w:val="16"/>
            <w:u w:val="single" w:color="auto"/>
            <w:color w:val="0000EE"/>
          </w:rPr>
          <w:t>VALVINO LAMORE, LLC AND SUBSIDIARIES CONSOLIDATING BALANCE SHEET INFORMATION AS OF DECEMBER 31, 2000 (In Thousands)</w:t>
        </w:r>
      </w:hyperlink>
    </w:p>
    <w:p>
      <w:pPr>
        <w:spacing w:after="0" w:line="3" w:lineRule="exact"/>
        <w:rPr>
          <w:rFonts w:ascii="Arial" w:cs="Arial" w:eastAsia="Arial" w:hAnsi="Arial"/>
          <w:sz w:val="16"/>
          <w:szCs w:val="16"/>
          <w:u w:val="single" w:color="auto"/>
          <w:color w:val="0000EE"/>
        </w:rPr>
      </w:pPr>
    </w:p>
    <w:p>
      <w:pPr>
        <w:ind w:right="60"/>
        <w:spacing w:after="0" w:line="250"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VALVINO LAMORE, LLC AND SUBSIDIARIES CONSOLIDATING STATEMENTS OF OPERATIONS INFORMATION SIX MONTHS ENDED JUNE 30,</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2002 (In Thousands) (Unaudited)</w:t>
        </w:r>
      </w:hyperlink>
    </w:p>
    <w:p>
      <w:pPr>
        <w:spacing w:after="0" w:line="1" w:lineRule="exact"/>
        <w:rPr>
          <w:sz w:val="20"/>
          <w:szCs w:val="20"/>
          <w:color w:val="auto"/>
        </w:rPr>
      </w:pPr>
    </w:p>
    <w:p>
      <w:pPr>
        <w:ind w:right="160"/>
        <w:spacing w:after="0" w:line="250" w:lineRule="auto"/>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0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14">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Valvino Lamore, LLC and Subsidiaries (A Development Stage Company) Schedule II Valuation and Qualifying Accounts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[SCHRECK BRIGNONE LETTERHEAD]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21,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9" w:lineRule="exact"/>
        <w:rPr>
          <w:sz w:val="20"/>
          <w:szCs w:val="20"/>
          <w:color w:val="auto"/>
        </w:rPr>
      </w:pPr>
    </w:p>
    <w:p>
      <w:pPr>
        <w:ind w:left="1440"/>
        <w:spacing w:after="0"/>
        <w:tabs>
          <w:tab w:leader="none" w:pos="1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S-1, File No. 333-90600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acted as special Nevada counsel to Wynn Resorts, Limited, a Nevada corporation (the "Company"), in connection with the proposed issuance and sale by the Company of shares of the Company's common stock, par value $.01 per share (the "Shares"), pursuant to the Company's Registration Statement on Form S-1, File No. 333-90600 (the "Registration Statement"), filed with the Securities and Exchange Commission (the "Commission") under the Securities Act of 1933, as amended (the "Act").</w:t>
      </w:r>
    </w:p>
    <w:p>
      <w:pPr>
        <w:spacing w:after="0" w:line="19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our capacity as counsel to the Company in connection with such registration, we are familiar with the proceedings taken by the Company in connection with the authorization, issuance and sale of the Shares. In addition, we have made such legal and factual examinations and inquiries, including an examination of originals or copies certified or otherwise identified to our satisfaction of such documents, corporate records and instruments, as we have deemed necessary or appropriate for purposes of this opinion. We have also obtained from officers and agents of the Company and from public officials, and have relied upon, such certificates, representations and assurances as we have deemed necessary and appropriate for purposes of this opinion.</w:t>
      </w:r>
    </w:p>
    <w:p>
      <w:pPr>
        <w:spacing w:after="0" w:line="170"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Without limiting the generality of the foregoing, in our examination, we have assumed without independent verification that (i) each document we reviewed has been duly executed and delivered by the parties thereto other than the Company to the extent due execution and delivery are prerequisites to the effectiveness thereof; (ii) each natural person executing a document has sufficient legal capacity to do so; (iii) all documents submitted to us as originals are authentic, the signatures on all documents that we examined are genuine and all documents submitted to us as certified, conformed, photostatic or facsimile copies conform to the original document, and (iv) all corporate records made available to us by the Company and all public records reviewed are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18,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 including any federal securities law, or any state securities or "blue sky" laws.</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Based on and subject to the foregoing, and in reliance thereon, and having regard to legal considerations and other information that we deem relevant, it is our opinion that (i) the Shares have been duly authorized and (ii) the Shares, when and to the extent issued, delivered and sold in exchange for payment therefor in the manner contemplated by the Registration Statement (as amended and supplemented through the date of issuance), will be validly issued, fully paid and non-assessable.</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consent to your filing this opinion as an exhibit to the Registration Statement and to the reference to our firm contained under the heading "Legal Matters." We further consent to the incorporation by reference of this opinion and consent in any registration statement filed pursuant to Rule 462(b) under the Act with respect to the Shares. In giving these consents, we do not thereby admit that we are within the category of persons whose consent is required under Section 7 of the Act, the rules and regulations of the Commission promulgated thereunder, or Item 509 of Regulation S-K. 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Shares.</w:t>
      </w:r>
    </w:p>
    <w:p>
      <w:pPr>
        <w:spacing w:after="0" w:line="17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SCHRECK BRIGNONE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SCHRECK BRIGNONE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420"/>
          </w:cols>
          <w:pgMar w:left="240" w:top="361" w:right="239" w:bottom="0"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Exhibit 5.1</w:t>
        </w:r>
      </w:hyperlink>
    </w:p>
    <w:p>
      <w:pPr>
        <w:sectPr>
          <w:pgSz w:w="11900" w:h="16838" w:orient="portrait"/>
          <w:cols w:equalWidth="0" w:num="1">
            <w:col w:w="11420"/>
          </w:cols>
          <w:pgMar w:left="240" w:top="361" w:right="239" w:bottom="0" w:gutter="0" w:footer="0" w:header="0"/>
          <w:type w:val="continuous"/>
        </w:sectPr>
      </w:pPr>
    </w:p>
    <w:bookmarkStart w:id="126" w:name="page127"/>
    <w:bookmarkEnd w:id="126"/>
    <w:p>
      <w:pPr>
        <w:spacing w:after="0" w:line="15" w:lineRule="exact"/>
        <w:rPr>
          <w:sz w:val="20"/>
          <w:szCs w:val="20"/>
          <w:color w:val="auto"/>
        </w:rPr>
      </w:pPr>
    </w:p>
    <w:p>
      <w:pPr>
        <w:spacing w:after="0"/>
        <w:rPr>
          <w:rFonts w:ascii="Arial" w:cs="Arial" w:eastAsia="Arial" w:hAnsi="Arial"/>
          <w:sz w:val="22"/>
          <w:szCs w:val="22"/>
          <w:color w:val="0000EE"/>
        </w:rPr>
      </w:pPr>
      <w:hyperlink w:anchor="page13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REGISTRATION RIGHTS AGREEMENT</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entered into this day of October, 2002, by and between WYNN RESORTS, LIMITED,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Stephen A. Wynn, an individual ("</w:t>
      </w:r>
      <w:r>
        <w:rPr>
          <w:rFonts w:ascii="Arial" w:cs="Arial" w:eastAsia="Arial" w:hAnsi="Arial"/>
          <w:sz w:val="16"/>
          <w:szCs w:val="16"/>
          <w:i w:val="1"/>
          <w:iCs w:val="1"/>
          <w:color w:val="auto"/>
        </w:rPr>
        <w:t>Wynn</w:t>
      </w:r>
      <w:r>
        <w:rPr>
          <w:rFonts w:ascii="Arial" w:cs="Arial" w:eastAsia="Arial" w:hAnsi="Arial"/>
          <w:sz w:val="16"/>
          <w:szCs w:val="16"/>
          <w:color w:val="auto"/>
        </w:rPr>
        <w:t>" and, collectively with the Company, the "</w:t>
      </w:r>
      <w:r>
        <w:rPr>
          <w:rFonts w:ascii="Arial" w:cs="Arial" w:eastAsia="Arial" w:hAnsi="Arial"/>
          <w:sz w:val="16"/>
          <w:szCs w:val="16"/>
          <w:i w:val="1"/>
          <w:iCs w:val="1"/>
          <w:color w:val="auto"/>
        </w:rPr>
        <w:t>Parties</w:t>
      </w:r>
      <w:r>
        <w:rPr>
          <w:rFonts w:ascii="Arial" w:cs="Arial" w:eastAsia="Arial" w:hAnsi="Arial"/>
          <w:sz w:val="16"/>
          <w:szCs w:val="16"/>
          <w:color w:val="auto"/>
        </w:rPr>
        <w:t>").</w:t>
      </w:r>
    </w:p>
    <w:p>
      <w:pPr>
        <w:spacing w:after="0" w:line="139" w:lineRule="exact"/>
        <w:rPr>
          <w:sz w:val="20"/>
          <w:szCs w:val="20"/>
          <w:color w:val="auto"/>
        </w:rPr>
      </w:pPr>
    </w:p>
    <w:p>
      <w:pPr>
        <w:ind w:right="80" w:firstLine="349"/>
        <w:spacing w:after="0" w:line="255"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Wynn, the Company, Aruze USA, Inc. (together, with any other entity owned or controlled by Aruze Corp. and/or Kazuo Okada to which any or all of the Aruze Shares (as defined below) may be transferred, collectively, "</w:t>
      </w:r>
      <w:r>
        <w:rPr>
          <w:rFonts w:ascii="Arial" w:cs="Arial" w:eastAsia="Arial" w:hAnsi="Arial"/>
          <w:sz w:val="18"/>
          <w:szCs w:val="18"/>
          <w:i w:val="1"/>
          <w:iCs w:val="1"/>
          <w:color w:val="auto"/>
        </w:rPr>
        <w:t>Aruze</w:t>
      </w:r>
      <w:r>
        <w:rPr>
          <w:rFonts w:ascii="Arial" w:cs="Arial" w:eastAsia="Arial" w:hAnsi="Arial"/>
          <w:sz w:val="18"/>
          <w:szCs w:val="18"/>
          <w:color w:val="auto"/>
        </w:rPr>
        <w:t>"), Kazuo Okada and Aruze Corp. have entered into that certain Buy-Sell Agreement dated as of June 13, 2002 (the "</w:t>
      </w:r>
      <w:r>
        <w:rPr>
          <w:rFonts w:ascii="Arial" w:cs="Arial" w:eastAsia="Arial" w:hAnsi="Arial"/>
          <w:sz w:val="18"/>
          <w:szCs w:val="18"/>
          <w:i w:val="1"/>
          <w:iCs w:val="1"/>
          <w:color w:val="auto"/>
        </w:rPr>
        <w:t>Buy-Sell Agreement</w:t>
      </w:r>
      <w:r>
        <w:rPr>
          <w:rFonts w:ascii="Arial" w:cs="Arial" w:eastAsia="Arial" w:hAnsi="Arial"/>
          <w:sz w:val="18"/>
          <w:szCs w:val="18"/>
          <w:color w:val="auto"/>
        </w:rPr>
        <w:t>") pursuant to which Wynn or his designee has the option (the "</w:t>
      </w:r>
      <w:r>
        <w:rPr>
          <w:rFonts w:ascii="Arial" w:cs="Arial" w:eastAsia="Arial" w:hAnsi="Arial"/>
          <w:sz w:val="18"/>
          <w:szCs w:val="18"/>
          <w:i w:val="1"/>
          <w:iCs w:val="1"/>
          <w:color w:val="auto"/>
        </w:rPr>
        <w:t>Purchase Option</w:t>
      </w:r>
      <w:r>
        <w:rPr>
          <w:rFonts w:ascii="Arial" w:cs="Arial" w:eastAsia="Arial" w:hAnsi="Arial"/>
          <w:sz w:val="18"/>
          <w:szCs w:val="18"/>
          <w:color w:val="auto"/>
        </w:rPr>
        <w:t>"), under certain circumstances, to purchase some or all of Aruze's capital stock of the Company (such Shares so purchased by Wynn or his designees, the "</w:t>
      </w:r>
      <w:r>
        <w:rPr>
          <w:rFonts w:ascii="Arial" w:cs="Arial" w:eastAsia="Arial" w:hAnsi="Arial"/>
          <w:sz w:val="18"/>
          <w:szCs w:val="18"/>
          <w:i w:val="1"/>
          <w:iCs w:val="1"/>
          <w:color w:val="auto"/>
        </w:rPr>
        <w:t>Aruze Shares</w:t>
      </w:r>
      <w:r>
        <w:rPr>
          <w:rFonts w:ascii="Arial" w:cs="Arial" w:eastAsia="Arial" w:hAnsi="Arial"/>
          <w:sz w:val="18"/>
          <w:szCs w:val="18"/>
          <w:color w:val="auto"/>
        </w:rPr>
        <w:t>") on the terms and conditions contained therein;</w:t>
      </w:r>
    </w:p>
    <w:p>
      <w:pPr>
        <w:spacing w:after="0" w:line="196" w:lineRule="exact"/>
        <w:rPr>
          <w:rFonts w:ascii="Arial" w:cs="Arial" w:eastAsia="Arial" w:hAnsi="Arial"/>
          <w:sz w:val="18"/>
          <w:szCs w:val="18"/>
          <w:color w:val="auto"/>
        </w:rPr>
      </w:pPr>
    </w:p>
    <w:p>
      <w:pPr>
        <w:ind w:right="600" w:firstLine="359"/>
        <w:spacing w:after="0" w:line="268"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and Wynn have entered into that certain Agreement dated as of June 13, 2002 pursuant to which the Company may, under certain circumstances, require Wynn or his designee to exercise the Purchase Option under the Buy-Sell Agreement;</w:t>
      </w:r>
    </w:p>
    <w:p>
      <w:pPr>
        <w:spacing w:after="0" w:line="185" w:lineRule="exact"/>
        <w:rPr>
          <w:rFonts w:ascii="Arial" w:cs="Arial" w:eastAsia="Arial" w:hAnsi="Arial"/>
          <w:sz w:val="18"/>
          <w:szCs w:val="18"/>
          <w:color w:val="auto"/>
        </w:rPr>
      </w:pPr>
    </w:p>
    <w:p>
      <w:pPr>
        <w:ind w:right="440" w:firstLine="359"/>
        <w:spacing w:after="0" w:line="268"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and Wynn desire to set forth the respective rights of the Company and Wynn with respect to the registration of a resale of the Aruze Shares after an exercise of the Purchase Option.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recitals and the mutual promises contained herein, the Parties agree as follows:</w:t>
      </w:r>
    </w:p>
    <w:p>
      <w:pPr>
        <w:spacing w:after="0" w:line="225" w:lineRule="exact"/>
        <w:rPr>
          <w:sz w:val="20"/>
          <w:szCs w:val="20"/>
          <w:color w:val="auto"/>
        </w:rPr>
      </w:pPr>
    </w:p>
    <w:p>
      <w:pPr>
        <w:ind w:left="660" w:hanging="301"/>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 As used in this Agreement, the following capitalized terms shall have the following meanings:</w:t>
      </w:r>
    </w:p>
    <w:p>
      <w:pPr>
        <w:spacing w:after="0" w:line="225"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Controlling Person:</w:t>
      </w:r>
      <w:r>
        <w:rPr>
          <w:sz w:val="20"/>
          <w:szCs w:val="20"/>
          <w:color w:val="auto"/>
        </w:rPr>
        <w:tab/>
      </w:r>
      <w:r>
        <w:rPr>
          <w:rFonts w:ascii="Arial" w:cs="Arial" w:eastAsia="Arial" w:hAnsi="Arial"/>
          <w:sz w:val="15"/>
          <w:szCs w:val="15"/>
          <w:color w:val="auto"/>
        </w:rPr>
        <w:t>Shall have the meaning set forth in Section 7.1 hereof.</w:t>
      </w:r>
    </w:p>
    <w:p>
      <w:pPr>
        <w:spacing w:after="0" w:line="225"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i w:val="1"/>
          <w:iCs w:val="1"/>
          <w:color w:val="auto"/>
        </w:rPr>
        <w:t>Demand Notice:</w:t>
      </w:r>
      <w:r>
        <w:rPr>
          <w:sz w:val="20"/>
          <w:szCs w:val="20"/>
          <w:color w:val="auto"/>
        </w:rPr>
        <w:tab/>
      </w:r>
      <w:r>
        <w:rPr>
          <w:rFonts w:ascii="Arial" w:cs="Arial" w:eastAsia="Arial" w:hAnsi="Arial"/>
          <w:sz w:val="15"/>
          <w:szCs w:val="15"/>
          <w:color w:val="auto"/>
        </w:rPr>
        <w:t>Shall have the meaning set forth in Section 2.1(a) hereof.</w:t>
      </w:r>
    </w:p>
    <w:p>
      <w:pPr>
        <w:spacing w:after="0" w:line="225"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i w:val="1"/>
          <w:iCs w:val="1"/>
          <w:color w:val="auto"/>
        </w:rPr>
        <w:t>Exchange Act:</w:t>
      </w:r>
      <w:r>
        <w:rPr>
          <w:sz w:val="20"/>
          <w:szCs w:val="20"/>
          <w:color w:val="auto"/>
        </w:rPr>
        <w:tab/>
      </w:r>
      <w:r>
        <w:rPr>
          <w:rFonts w:ascii="Arial" w:cs="Arial" w:eastAsia="Arial" w:hAnsi="Arial"/>
          <w:sz w:val="15"/>
          <w:szCs w:val="15"/>
          <w:color w:val="auto"/>
        </w:rPr>
        <w:t>The Securities Exchange Act of 1934, as amended from time to time (including the rules and regulations promulgated thereunder).</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 xml:space="preserve">Form S-3: </w:t>
      </w:r>
      <w:r>
        <w:rPr>
          <w:rFonts w:ascii="Arial" w:cs="Arial" w:eastAsia="Arial" w:hAnsi="Arial"/>
          <w:sz w:val="16"/>
          <w:szCs w:val="16"/>
          <w:color w:val="auto"/>
        </w:rPr>
        <w:t>Such form under the Securities Act as is in effect on the date hereof or any successor registration form under the Securities Act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by the SEC which permits inclusion or incorporation of substantial information by reference to other documents filed by the Company with the SEC.</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Holders: </w:t>
      </w:r>
      <w:r>
        <w:rPr>
          <w:rFonts w:ascii="Arial" w:cs="Arial" w:eastAsia="Arial" w:hAnsi="Arial"/>
          <w:sz w:val="18"/>
          <w:szCs w:val="18"/>
          <w:color w:val="auto"/>
        </w:rPr>
        <w:t>Wynn and any Person to which Registrable Securities are transferred and to which the registration rights set forth in this Agreement are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10 of this Agreement.</w:t>
      </w:r>
    </w:p>
    <w:p>
      <w:pPr>
        <w:spacing w:after="0" w:line="186" w:lineRule="exact"/>
        <w:rPr>
          <w:sz w:val="20"/>
          <w:szCs w:val="20"/>
          <w:color w:val="auto"/>
        </w:rPr>
      </w:pPr>
    </w:p>
    <w:p>
      <w:pPr>
        <w:ind w:left="360"/>
        <w:spacing w:after="0"/>
        <w:tabs>
          <w:tab w:leader="none" w:pos="1960" w:val="left"/>
        </w:tabs>
        <w:rPr>
          <w:sz w:val="20"/>
          <w:szCs w:val="20"/>
          <w:color w:val="auto"/>
        </w:rPr>
      </w:pPr>
      <w:r>
        <w:rPr>
          <w:rFonts w:ascii="Arial" w:cs="Arial" w:eastAsia="Arial" w:hAnsi="Arial"/>
          <w:sz w:val="18"/>
          <w:szCs w:val="18"/>
          <w:i w:val="1"/>
          <w:iCs w:val="1"/>
          <w:color w:val="auto"/>
        </w:rPr>
        <w:t>Indemnified Parties:</w:t>
      </w:r>
      <w:r>
        <w:rPr>
          <w:sz w:val="20"/>
          <w:szCs w:val="20"/>
          <w:color w:val="auto"/>
        </w:rPr>
        <w:tab/>
      </w:r>
      <w:r>
        <w:rPr>
          <w:rFonts w:ascii="Arial" w:cs="Arial" w:eastAsia="Arial" w:hAnsi="Arial"/>
          <w:sz w:val="15"/>
          <w:szCs w:val="15"/>
          <w:color w:val="auto"/>
        </w:rPr>
        <w:t>Shall have the meaning set forth in Section 7.1 hereof.</w:t>
      </w:r>
    </w:p>
    <w:p>
      <w:pPr>
        <w:spacing w:after="0" w:line="225" w:lineRule="exact"/>
        <w:rPr>
          <w:sz w:val="20"/>
          <w:szCs w:val="20"/>
          <w:color w:val="auto"/>
        </w:rPr>
      </w:pPr>
    </w:p>
    <w:p>
      <w:pPr>
        <w:ind w:left="360"/>
        <w:spacing w:after="0"/>
        <w:tabs>
          <w:tab w:leader="none" w:pos="2320" w:val="left"/>
        </w:tabs>
        <w:rPr>
          <w:sz w:val="20"/>
          <w:szCs w:val="20"/>
          <w:color w:val="auto"/>
        </w:rPr>
      </w:pPr>
      <w:r>
        <w:rPr>
          <w:rFonts w:ascii="Arial" w:cs="Arial" w:eastAsia="Arial" w:hAnsi="Arial"/>
          <w:sz w:val="18"/>
          <w:szCs w:val="18"/>
          <w:i w:val="1"/>
          <w:iCs w:val="1"/>
          <w:color w:val="auto"/>
        </w:rPr>
        <w:t>Majority Selling Holders:</w:t>
      </w:r>
      <w:r>
        <w:rPr>
          <w:sz w:val="20"/>
          <w:szCs w:val="20"/>
          <w:color w:val="auto"/>
        </w:rPr>
        <w:tab/>
      </w:r>
      <w:r>
        <w:rPr>
          <w:rFonts w:ascii="Arial" w:cs="Arial" w:eastAsia="Arial" w:hAnsi="Arial"/>
          <w:sz w:val="16"/>
          <w:szCs w:val="16"/>
          <w:color w:val="auto"/>
        </w:rPr>
        <w:t>Selling Holders who hold a majority of the Registrable Securities to be included under a Registration Statement.</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An individual; a corporation; a general, limited or limited liability partnership; a limited liability company; a trust; an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legal entity; or a government or any agency or political subdivision thereof.</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Prospectus: </w:t>
      </w:r>
      <w:r>
        <w:rPr>
          <w:rFonts w:ascii="Arial" w:cs="Arial" w:eastAsia="Arial" w:hAnsi="Arial"/>
          <w:sz w:val="16"/>
          <w:szCs w:val="16"/>
          <w:color w:val="auto"/>
        </w:rPr>
        <w:t>The definitive prospectus, included in any Registration Statement, as amended or supplemented by any prospectus supplement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Registrable Securities: </w:t>
      </w:r>
      <w:r>
        <w:rPr>
          <w:rFonts w:ascii="Arial" w:cs="Arial" w:eastAsia="Arial" w:hAnsi="Arial"/>
          <w:sz w:val="18"/>
          <w:szCs w:val="18"/>
          <w:color w:val="auto"/>
        </w:rPr>
        <w:t>The Aruze Shares owned of record or beneficially by the Holders, plus any Shares (as defined below) received with respect to or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replacement of the Aruze Shares by reason of splits, dividends and recapitalizations and other changes in the Company's capital structure;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Shares shall cease to be Registrable Securities when (i) a Registration Statement covering such Registrable Securities has been declared effective and such Registrable Securities have been disposed of pursuant to such effective Registration Statement, or (ii) such Registrable Securities are distributed to the public pursuant to Rule 144 of the Securities Act.</w:t>
      </w:r>
    </w:p>
    <w:p>
      <w:pPr>
        <w:spacing w:after="0" w:line="197"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i w:val="1"/>
          <w:iCs w:val="1"/>
          <w:color w:val="auto"/>
        </w:rPr>
        <w:t>Registration Demand:</w:t>
      </w:r>
      <w:r>
        <w:rPr>
          <w:sz w:val="20"/>
          <w:szCs w:val="20"/>
          <w:color w:val="auto"/>
        </w:rPr>
        <w:tab/>
      </w:r>
      <w:r>
        <w:rPr>
          <w:rFonts w:ascii="Arial" w:cs="Arial" w:eastAsia="Arial" w:hAnsi="Arial"/>
          <w:sz w:val="15"/>
          <w:szCs w:val="15"/>
          <w:color w:val="auto"/>
        </w:rPr>
        <w:t>Shall have the meaning set forth in Section 2.1(a) hereof.</w:t>
      </w:r>
    </w:p>
    <w:p>
      <w:pPr>
        <w:spacing w:after="0" w:line="225"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i w:val="1"/>
          <w:iCs w:val="1"/>
          <w:color w:val="auto"/>
        </w:rPr>
        <w:t>Registration Expenses:</w:t>
      </w:r>
      <w:r>
        <w:rPr>
          <w:sz w:val="20"/>
          <w:szCs w:val="20"/>
          <w:color w:val="auto"/>
        </w:rPr>
        <w:tab/>
      </w:r>
      <w:r>
        <w:rPr>
          <w:rFonts w:ascii="Arial" w:cs="Arial" w:eastAsia="Arial" w:hAnsi="Arial"/>
          <w:sz w:val="15"/>
          <w:szCs w:val="15"/>
          <w:color w:val="auto"/>
        </w:rPr>
        <w:t>Shall have the meaning set forth in Section 6.1 hereof.</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Registration Statement: </w:t>
      </w:r>
      <w:r>
        <w:rPr>
          <w:rFonts w:ascii="Arial" w:cs="Arial" w:eastAsia="Arial" w:hAnsi="Arial"/>
          <w:sz w:val="18"/>
          <w:szCs w:val="18"/>
          <w:color w:val="auto"/>
        </w:rPr>
        <w:t>Any registration statement of the Company filed under the Securities Act which covers Registrable Securities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Agreement, including the Prospectus, amendments and supplements to such Registration Statement (including all post-effective amendments, all exhibits and all material incorporated by reference in such Registration Statement).</w:t>
      </w:r>
    </w:p>
    <w:p>
      <w:pPr>
        <w:spacing w:after="0" w:line="194"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8"/>
          <w:szCs w:val="18"/>
          <w:i w:val="1"/>
          <w:iCs w:val="1"/>
          <w:color w:val="auto"/>
        </w:rPr>
        <w:t>SEC:</w:t>
      </w:r>
      <w:r>
        <w:rPr>
          <w:sz w:val="20"/>
          <w:szCs w:val="20"/>
          <w:color w:val="auto"/>
        </w:rPr>
        <w:tab/>
      </w:r>
      <w:r>
        <w:rPr>
          <w:rFonts w:ascii="Arial" w:cs="Arial" w:eastAsia="Arial" w:hAnsi="Arial"/>
          <w:sz w:val="15"/>
          <w:szCs w:val="15"/>
          <w:color w:val="auto"/>
        </w:rPr>
        <w:t>The Securities and Exchange Commission.</w:t>
      </w:r>
    </w:p>
    <w:p>
      <w:pPr>
        <w:spacing w:after="0" w:line="225" w:lineRule="exact"/>
        <w:rPr>
          <w:sz w:val="20"/>
          <w:szCs w:val="20"/>
          <w:color w:val="auto"/>
        </w:rPr>
      </w:pPr>
    </w:p>
    <w:p>
      <w:pPr>
        <w:ind w:left="360"/>
        <w:spacing w:after="0"/>
        <w:tabs>
          <w:tab w:leader="none" w:pos="1540" w:val="left"/>
        </w:tabs>
        <w:rPr>
          <w:sz w:val="20"/>
          <w:szCs w:val="20"/>
          <w:color w:val="auto"/>
        </w:rPr>
      </w:pPr>
      <w:r>
        <w:rPr>
          <w:rFonts w:ascii="Arial" w:cs="Arial" w:eastAsia="Arial" w:hAnsi="Arial"/>
          <w:sz w:val="18"/>
          <w:szCs w:val="18"/>
          <w:i w:val="1"/>
          <w:iCs w:val="1"/>
          <w:color w:val="auto"/>
        </w:rPr>
        <w:t>Securities Act:</w:t>
      </w:r>
      <w:r>
        <w:rPr>
          <w:sz w:val="20"/>
          <w:szCs w:val="20"/>
          <w:color w:val="auto"/>
        </w:rPr>
        <w:tab/>
      </w:r>
      <w:r>
        <w:rPr>
          <w:rFonts w:ascii="Arial" w:cs="Arial" w:eastAsia="Arial" w:hAnsi="Arial"/>
          <w:sz w:val="15"/>
          <w:szCs w:val="15"/>
          <w:color w:val="auto"/>
        </w:rPr>
        <w:t>The Securities Act of 1933, as amended from time to time (including the rules and regulations promulgated thereunder).</w:t>
      </w:r>
    </w:p>
    <w:p>
      <w:pPr>
        <w:spacing w:after="0" w:line="225"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i w:val="1"/>
          <w:iCs w:val="1"/>
          <w:color w:val="auto"/>
        </w:rPr>
        <w:t>Selling Holders:</w:t>
      </w:r>
      <w:r>
        <w:rPr>
          <w:sz w:val="20"/>
          <w:szCs w:val="20"/>
          <w:color w:val="auto"/>
        </w:rPr>
        <w:tab/>
      </w:r>
      <w:r>
        <w:rPr>
          <w:rFonts w:ascii="Arial" w:cs="Arial" w:eastAsia="Arial" w:hAnsi="Arial"/>
          <w:sz w:val="15"/>
          <w:szCs w:val="15"/>
          <w:color w:val="auto"/>
        </w:rPr>
        <w:t>Holders of Registrable Securities who seek to sell such securities under any Registration Statement.</w:t>
      </w:r>
    </w:p>
    <w:p>
      <w:pPr>
        <w:spacing w:after="0" w:line="225"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i w:val="1"/>
          <w:iCs w:val="1"/>
          <w:color w:val="auto"/>
        </w:rPr>
        <w:t xml:space="preserve">Shares: </w:t>
      </w:r>
      <w:r>
        <w:rPr>
          <w:rFonts w:ascii="Arial" w:cs="Arial" w:eastAsia="Arial" w:hAnsi="Arial"/>
          <w:sz w:val="15"/>
          <w:szCs w:val="15"/>
          <w:color w:val="auto"/>
        </w:rPr>
        <w:t>The shares of common stock, par value $.01 per share, of the Company or any securities of the Company or any other Person received in respect of</w:t>
      </w:r>
      <w:r>
        <w:rPr>
          <w:rFonts w:ascii="Arial" w:cs="Arial" w:eastAsia="Arial" w:hAnsi="Arial"/>
          <w:sz w:val="15"/>
          <w:szCs w:val="15"/>
          <w:i w:val="1"/>
          <w:iCs w:val="1"/>
          <w:color w:val="auto"/>
        </w:rPr>
        <w:t xml:space="preserve"> </w:t>
      </w:r>
      <w:r>
        <w:rPr>
          <w:rFonts w:ascii="Arial" w:cs="Arial" w:eastAsia="Arial" w:hAnsi="Arial"/>
          <w:sz w:val="15"/>
          <w:szCs w:val="15"/>
          <w:color w:val="auto"/>
        </w:rPr>
        <w:t>or in replacement of such shares, including by reason of splits, dividends, recapitalizations, reorganizations, mergers, exchange offers, business combinations or</w:t>
      </w:r>
    </w:p>
    <w:p>
      <w:pPr>
        <w:sectPr>
          <w:pgSz w:w="11900" w:h="16854" w:orient="portrait"/>
          <w:cols w:equalWidth="0" w:num="1">
            <w:col w:w="11420"/>
          </w:cols>
          <w:pgMar w:left="240" w:top="361" w:right="239" w:bottom="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other changes in the Company's or its successors' capital structure.</w:t>
      </w:r>
    </w:p>
    <w:p>
      <w:pPr>
        <w:spacing w:after="0" w:line="225" w:lineRule="exact"/>
        <w:rPr>
          <w:sz w:val="20"/>
          <w:szCs w:val="20"/>
          <w:color w:val="auto"/>
        </w:rPr>
      </w:pPr>
    </w:p>
    <w:p>
      <w:pPr>
        <w:ind w:left="660" w:hanging="301"/>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Registration Upon Request.</w:t>
      </w:r>
    </w:p>
    <w:p>
      <w:pPr>
        <w:spacing w:after="0" w:line="225" w:lineRule="exact"/>
        <w:rPr>
          <w:sz w:val="20"/>
          <w:szCs w:val="20"/>
          <w:color w:val="auto"/>
        </w:rPr>
      </w:pPr>
    </w:p>
    <w:p>
      <w:pPr>
        <w:ind w:left="1080" w:right="100" w:firstLine="351"/>
        <w:spacing w:after="0" w:line="276" w:lineRule="auto"/>
        <w:rPr>
          <w:sz w:val="20"/>
          <w:szCs w:val="20"/>
          <w:color w:val="auto"/>
        </w:rPr>
      </w:pPr>
      <w:r>
        <w:rPr>
          <w:rFonts w:ascii="Arial" w:cs="Arial" w:eastAsia="Arial" w:hAnsi="Arial"/>
          <w:sz w:val="16"/>
          <w:szCs w:val="16"/>
          <w:color w:val="auto"/>
        </w:rPr>
        <w:t>(a) At any time beginning on the date that is 180 days after the closing date of the Company's initial public offering, Holders holding an aggregate of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then-outstanding Registrable Securities, from time to time, shall be entitled (subject to Section 12 hereof) to make a written request (a "</w:t>
      </w:r>
      <w:r>
        <w:rPr>
          <w:rFonts w:ascii="Arial" w:cs="Arial" w:eastAsia="Arial" w:hAnsi="Arial"/>
          <w:sz w:val="16"/>
          <w:szCs w:val="16"/>
          <w:i w:val="1"/>
          <w:iCs w:val="1"/>
          <w:color w:val="auto"/>
        </w:rPr>
        <w:t>Demand Notice</w:t>
      </w:r>
      <w:r>
        <w:rPr>
          <w:rFonts w:ascii="Arial" w:cs="Arial" w:eastAsia="Arial" w:hAnsi="Arial"/>
          <w:sz w:val="16"/>
          <w:szCs w:val="16"/>
          <w:color w:val="auto"/>
        </w:rPr>
        <w:t xml:space="preserve">") to the Company requesting that the Company effect the registration under the Securities Act of a number of Registrable Securities with a market value of at least twenty million dollars ($20,000,000) on the date of such request, stating the intended method of disposition of such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a demand (a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Demand</w:t>
      </w:r>
      <w:r>
        <w:rPr>
          <w:rFonts w:ascii="Arial" w:cs="Arial" w:eastAsia="Arial" w:hAnsi="Arial"/>
          <w:sz w:val="16"/>
          <w:szCs w:val="16"/>
          <w:color w:val="auto"/>
        </w:rPr>
        <w:t>") may not be made more than four (4) times in the aggregate and may not be made more than once in any twelve-month period; and</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 the Registration Demand shall not be deemed made if (i) the Registration Statement does not become effective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Act (including without limitation if the Selling Holders withdraw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Registration Demand will be deemed made by the Selling Holders if the Registration Statement was withdrawn due to a material adverse change in general market conditions or in the Company's business of which the Holder(s) that provided the Demand Notice were aware at the time the Demand Notice was provided), (ii) a stop order, injunction or other order interferes with or prevents the contemplated method of distribution or (iii) the number of Registrable Securities requested to be included in the registration is reduced by 25% or more pursuant to Section 2.1(c), and, in each case, the Registration Expenses (other than Indirect Expenses) are paid by the Holders. Within five (5) business days after receipt of a Demand Notice, the Company shall notify all other Holders and offer to them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80"/>
        <w:spacing w:after="0" w:line="256" w:lineRule="auto"/>
        <w:rPr>
          <w:sz w:val="20"/>
          <w:szCs w:val="20"/>
          <w:color w:val="auto"/>
        </w:rPr>
      </w:pPr>
      <w:r>
        <w:rPr>
          <w:rFonts w:ascii="Arial" w:cs="Arial" w:eastAsia="Arial" w:hAnsi="Arial"/>
          <w:sz w:val="18"/>
          <w:szCs w:val="18"/>
          <w:color w:val="auto"/>
        </w:rPr>
        <w:t>opportunity to include their Registrable Securities in such registration, so long as such other Holders notify the Company in writing of the amount of Registrable Securities that they wish to register within fifteen (15) business days of the date of such notice. A Registration Demand made by any Holder is deemed to be made by all Holders for purposes of tabulating the number of Registration Demands that may be made in any twelve month period or in total.</w:t>
      </w:r>
    </w:p>
    <w:p>
      <w:pPr>
        <w:spacing w:after="0" w:line="197" w:lineRule="exact"/>
        <w:rPr>
          <w:sz w:val="20"/>
          <w:szCs w:val="20"/>
          <w:color w:val="auto"/>
        </w:rPr>
      </w:pPr>
    </w:p>
    <w:p>
      <w:pPr>
        <w:jc w:val="both"/>
        <w:ind w:left="1080" w:right="160" w:firstLine="360"/>
        <w:spacing w:after="0" w:line="298" w:lineRule="auto"/>
        <w:tabs>
          <w:tab w:leader="none" w:pos="172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Upon receipt of a Registration Demand, the Company shall, as soon as is reasonably practicable (but in any event within 60 days of the date of the Demand Notice), prepare and file a Registration Statement with the SEC on an appropriate form under the Securities Act with respect to all of the Registrable Securities that Holders of such securities have requested that the Company register, and use its reasonable best efforts to cause such Registration Statement to become effective as soon as is reasonably practicable.</w:t>
      </w:r>
    </w:p>
    <w:p>
      <w:pPr>
        <w:spacing w:after="0" w:line="166" w:lineRule="exact"/>
        <w:rPr>
          <w:rFonts w:ascii="Arial" w:cs="Arial" w:eastAsia="Arial" w:hAnsi="Arial"/>
          <w:sz w:val="16"/>
          <w:szCs w:val="16"/>
          <w:color w:val="auto"/>
        </w:rPr>
      </w:pPr>
    </w:p>
    <w:p>
      <w:pPr>
        <w:ind w:left="1080" w:right="140" w:firstLine="360"/>
        <w:spacing w:after="0" w:line="286" w:lineRule="auto"/>
        <w:tabs>
          <w:tab w:leader="none" w:pos="171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filed in response to a Demand Notice, the Company, at its option, may include a primary offering of additional shares of Common Stock and/or may include shares to be sold by other stockholders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managing underwriter of such offering determines in good faith and so advises the Company that the number of Shares otherwise to be included in the Registration Statement is such that the success of the underwritten offering may be materially and adversely affected (in terms of the offering price of the offering), then the total number of shares to be included in the Registration Statement shall be reduced to the amount recommended by such underwriter and (i) unless the Registration Statement includes all of the Registrable Securities designated for sale by all Selling Holders participating in the demand registration pursuant to Section 2.1(a), the Registration Statement shall not include any shares to be offered by the Company or sold by other stockholders (including other Holders exercising incidental registration rights pursuant to Section 2.2), and (ii) if the Registration Statement does not include all of the Registrable Securities designated for sale by such Selling Holders, the number of Registrable Securities included in the Registration Statement shall be allocated among such Selling Holders pro rata (based on the number of Registrable Securities held by each).</w:t>
      </w:r>
    </w:p>
    <w:p>
      <w:pPr>
        <w:spacing w:after="0" w:line="181" w:lineRule="exact"/>
        <w:rPr>
          <w:rFonts w:ascii="Arial" w:cs="Arial" w:eastAsia="Arial" w:hAnsi="Arial"/>
          <w:sz w:val="16"/>
          <w:szCs w:val="16"/>
          <w:color w:val="auto"/>
        </w:rPr>
      </w:pPr>
    </w:p>
    <w:p>
      <w:pPr>
        <w:ind w:left="1080" w:right="80" w:firstLine="360"/>
        <w:spacing w:after="0" w:line="286" w:lineRule="auto"/>
        <w:tabs>
          <w:tab w:leader="none" w:pos="172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Notwithstanding the foregoing, if, at the time a Demand Notice is received, the Company (i) is contemplating filing a registration statement in connection with the offering of its securities (a "</w:t>
      </w:r>
      <w:r>
        <w:rPr>
          <w:rFonts w:ascii="Arial" w:cs="Arial" w:eastAsia="Arial" w:hAnsi="Arial"/>
          <w:sz w:val="16"/>
          <w:szCs w:val="16"/>
          <w:i w:val="1"/>
          <w:iCs w:val="1"/>
          <w:color w:val="auto"/>
        </w:rPr>
        <w:t>Company Offering</w:t>
      </w:r>
      <w:r>
        <w:rPr>
          <w:rFonts w:ascii="Arial" w:cs="Arial" w:eastAsia="Arial" w:hAnsi="Arial"/>
          <w:sz w:val="16"/>
          <w:szCs w:val="16"/>
          <w:color w:val="auto"/>
        </w:rPr>
        <w:t>") within 90 days of the date of delivery of the Demand Notice; or</w:t>
      </w:r>
    </w:p>
    <w:p>
      <w:pPr>
        <w:ind w:left="1080" w:right="40" w:firstLine="8"/>
        <w:spacing w:after="0" w:line="288" w:lineRule="auto"/>
        <w:tabs>
          <w:tab w:leader="none" w:pos="133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determines in good faith that a registration pursuant to the Demand Notice might have a material adverse effect on the Company or interfere with or adversely affect the negotiations or completion of any transaction that is being contemplated by the Company at that time, the Company shall be entitled, upon delivery of written notice no later than twenty (20) days after delivery of the Demand Notice to the person(s) who delivered the Demand Notice, to postpone filing of the Registration Statement and/or withhold efforts to cause the Registration Statement to become effective for a reasonable period of time (not to exceed the shorter of 120 days or the Company's termination of consideration of a Company Offering, or completion or other resolution of the events described in clause (ii) of this Section 1.1(d);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deferral may not be utilized more than once in any twelve (12) month period.</w:t>
      </w:r>
    </w:p>
    <w:p>
      <w:pPr>
        <w:spacing w:after="0" w:line="177" w:lineRule="exact"/>
        <w:rPr>
          <w:sz w:val="20"/>
          <w:szCs w:val="20"/>
          <w:color w:val="auto"/>
        </w:rPr>
      </w:pPr>
    </w:p>
    <w:p>
      <w:pPr>
        <w:ind w:left="90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Incidental Registration.</w:t>
      </w:r>
    </w:p>
    <w:p>
      <w:pPr>
        <w:spacing w:after="0" w:line="225" w:lineRule="exact"/>
        <w:rPr>
          <w:sz w:val="20"/>
          <w:szCs w:val="20"/>
          <w:color w:val="auto"/>
        </w:rPr>
      </w:pPr>
    </w:p>
    <w:p>
      <w:pPr>
        <w:ind w:left="1080" w:right="120" w:firstLine="360"/>
        <w:spacing w:after="0" w:line="305" w:lineRule="auto"/>
        <w:tabs>
          <w:tab w:leader="none" w:pos="1714" w:val="left"/>
        </w:tabs>
        <w:numPr>
          <w:ilvl w:val="1"/>
          <w:numId w:val="173"/>
        </w:numPr>
        <w:rPr>
          <w:rFonts w:ascii="Arial" w:cs="Arial" w:eastAsia="Arial" w:hAnsi="Arial"/>
          <w:sz w:val="15"/>
          <w:szCs w:val="15"/>
          <w:color w:val="auto"/>
        </w:rPr>
      </w:pPr>
      <w:r>
        <w:rPr>
          <w:rFonts w:ascii="Arial" w:cs="Arial" w:eastAsia="Arial" w:hAnsi="Arial"/>
          <w:sz w:val="15"/>
          <w:szCs w:val="15"/>
          <w:color w:val="auto"/>
        </w:rPr>
        <w:t>If at any time after the date hereof the Company proposes to register any shares of Common Stock under the Securities Act solely for cash (except pursuant to a registration statement (i) on Form S-8, Form S-4 or comparable forms, or (ii) with respect to an employee benefit plan,</w:t>
      </w:r>
    </w:p>
    <w:p>
      <w:pPr>
        <w:ind w:left="1080" w:right="80" w:firstLine="8"/>
        <w:spacing w:after="0" w:line="261" w:lineRule="auto"/>
        <w:tabs>
          <w:tab w:leader="none" w:pos="13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solely in connection with a Rule 145 transaction under the Securities Act or (iv) which does not include substantially the same information as would be required to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line="289" w:lineRule="auto"/>
        <w:rPr>
          <w:sz w:val="20"/>
          <w:szCs w:val="20"/>
          <w:color w:val="auto"/>
        </w:rPr>
      </w:pPr>
      <w:r>
        <w:rPr>
          <w:rFonts w:ascii="Arial" w:cs="Arial" w:eastAsia="Arial" w:hAnsi="Arial"/>
          <w:sz w:val="16"/>
          <w:szCs w:val="16"/>
          <w:color w:val="auto"/>
        </w:rPr>
        <w:t>included in a Registration Statement covering the sale of Registrable Securities, or pursuant to a registration in which the only Common Stock being registered is Common Stock issuable upon conversion of debt securities which are also being registered), or if any other stockholder is being afforded an opportunity to register shares of Common Stock (including pursuant to Section 2.1(a)), the Company will at each such time give written notice to the Holders (other than Holders participating in a demand registration pursuant to Section 2.1(a)) as provided in Section 13.4 hereof of its intention to do so. Within fifteen (15) business days after receipt of such notice, such Holders may request that the Company register all or part of the Registrable Securities, stating in such request the intended method of distribution of such securities (the "</w:t>
      </w:r>
      <w:r>
        <w:rPr>
          <w:rFonts w:ascii="Arial" w:cs="Arial" w:eastAsia="Arial" w:hAnsi="Arial"/>
          <w:sz w:val="16"/>
          <w:szCs w:val="16"/>
          <w:i w:val="1"/>
          <w:iCs w:val="1"/>
          <w:color w:val="auto"/>
        </w:rPr>
        <w:t>Designated Securities</w:t>
      </w:r>
      <w:r>
        <w:rPr>
          <w:rFonts w:ascii="Arial" w:cs="Arial" w:eastAsia="Arial" w:hAnsi="Arial"/>
          <w:sz w:val="16"/>
          <w:szCs w:val="16"/>
          <w:color w:val="auto"/>
        </w:rPr>
        <w:t>"). Upon receipt of such request, the Company shall use its reasonable best efforts to effect the registration of the Designated Securities by including the Designated Securities in such Registration Statement.</w:t>
      </w:r>
    </w:p>
    <w:p>
      <w:pPr>
        <w:sectPr>
          <w:pgSz w:w="11900" w:h="16838" w:orient="portrait"/>
          <w:cols w:equalWidth="0" w:num="1">
            <w:col w:w="11420"/>
          </w:cols>
          <w:pgMar w:left="240" w:top="131" w:right="239" w:bottom="14" w:gutter="0" w:footer="0" w:header="0"/>
        </w:sectPr>
      </w:pPr>
    </w:p>
    <w:bookmarkStart w:id="128" w:name="page129"/>
    <w:bookmarkEnd w:id="128"/>
    <w:p>
      <w:pPr>
        <w:ind w:left="1060" w:right="120" w:firstLine="360"/>
        <w:spacing w:after="0" w:line="286" w:lineRule="auto"/>
        <w:tabs>
          <w:tab w:leader="none" w:pos="170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 the event that securities of the same class as the Registrable Securities are being registered by the Company in such Registration Statement and such securities as well as any of the Designated Securities are to be distributed in an underwritten offering, such Designated Securities shall be included in such underwritten offering on the same terms and conditions as the securities being issued by the Company for distribution pursuant to such underwritten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managing underwriter of such underwritten offering determines in good faith and so advises the Company that the inclusion in such underwritten offering of all the Designated Securities may materially and adversely affect the success of the underwritten offering (in terms of the offering price of the offering), then the number of Designated Securities to be included in the Registration Statement shall be reduced to the amount recommended in good faith by such managing underwriter, it being understood that the Designated Securities will be excluded entirely before any securities to be included in the Registration Statement by the Company or any stockholder exercising demand registration rights are excluded;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as to the Selling Holders exercising incidental registration rights pursuant to this Section 2.2, such reduction shall be pro rata (based on the number of Shares held by each) with respect to the Designated Securities with other Persons holding contractual incidental or "piggy-back" registration rights in such underwritten offering.</w:t>
      </w:r>
    </w:p>
    <w:p>
      <w:pPr>
        <w:spacing w:after="0" w:line="178" w:lineRule="exact"/>
        <w:rPr>
          <w:rFonts w:ascii="Arial" w:cs="Arial" w:eastAsia="Arial" w:hAnsi="Arial"/>
          <w:sz w:val="16"/>
          <w:szCs w:val="16"/>
          <w:color w:val="auto"/>
        </w:rPr>
      </w:pPr>
    </w:p>
    <w:p>
      <w:pPr>
        <w:ind w:left="1060" w:right="400" w:firstLine="360"/>
        <w:spacing w:after="0" w:line="268" w:lineRule="auto"/>
        <w:tabs>
          <w:tab w:leader="none" w:pos="169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registration effected under this Section 2.2 shall relieve the Company of its obligations to effect registrations at the request of the Holders under Section 2.1.</w:t>
      </w:r>
    </w:p>
    <w:p>
      <w:pPr>
        <w:spacing w:after="0" w:line="186" w:lineRule="exact"/>
        <w:rPr>
          <w:sz w:val="20"/>
          <w:szCs w:val="20"/>
          <w:color w:val="auto"/>
        </w:rPr>
      </w:pPr>
    </w:p>
    <w:p>
      <w:pPr>
        <w:ind w:left="520" w:right="160" w:firstLine="351"/>
        <w:spacing w:after="0" w:line="29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Marketing.</w:t>
      </w:r>
      <w:r>
        <w:rPr>
          <w:rFonts w:ascii="Arial" w:cs="Arial" w:eastAsia="Arial" w:hAnsi="Arial"/>
          <w:sz w:val="16"/>
          <w:szCs w:val="16"/>
          <w:color w:val="auto"/>
        </w:rPr>
        <w:t xml:space="preserve"> The Company shall make representative members of its officers and management available, upon reasonable notice and to the extent reasonably requested by the managing underwriter for the offering or the Selling Holders, to participate in efforts to market Registrable Securities offered in an underwritten public offering pursuant to Section 2.1 hereof (including, without limitation, participating in "roadshow" meetings with prospective investors) that would be customary for underwritten primary offerings of a comparable amount of equity securities by the Company.</w:t>
      </w:r>
    </w:p>
    <w:p>
      <w:pPr>
        <w:spacing w:after="0" w:line="167" w:lineRule="exact"/>
        <w:rPr>
          <w:sz w:val="20"/>
          <w:szCs w:val="20"/>
          <w:color w:val="auto"/>
        </w:rPr>
      </w:pPr>
    </w:p>
    <w:p>
      <w:pPr>
        <w:ind w:left="640" w:hanging="301"/>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Hold-Back Agreements.</w:t>
      </w:r>
    </w:p>
    <w:p>
      <w:pPr>
        <w:spacing w:after="0" w:line="225" w:lineRule="exact"/>
        <w:rPr>
          <w:sz w:val="20"/>
          <w:szCs w:val="20"/>
          <w:color w:val="auto"/>
        </w:rPr>
      </w:pPr>
    </w:p>
    <w:p>
      <w:pPr>
        <w:ind w:left="520" w:firstLine="35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Restrictions on Public Sale by Holders.</w:t>
      </w:r>
      <w:r>
        <w:rPr>
          <w:rFonts w:ascii="Arial" w:cs="Arial" w:eastAsia="Arial" w:hAnsi="Arial"/>
          <w:sz w:val="16"/>
          <w:szCs w:val="16"/>
          <w:color w:val="auto"/>
        </w:rPr>
        <w:t xml:space="preserve"> During the period of duration specified by the Company and an underwriter of common stock or other securities of the Company convertible into common stock, following the effective date of a registration statement of the Company filed under the Securities Act, the Holder(s) shall not, to the extent requested by the Company and/or such underwriter, directly or indirectly sell, offer to sell, contract to sell (including, without limitation, any short sale), grant any option to purchase or otherwise transfer or dispose of (other than to donees who agree to be similarly bound) any Registrable Securities held by it at any time during such period, except Registrable Securities included in such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such hold-back time period shall not exceed 90 days (180 days in connection with the Company's initial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right="20"/>
        <w:spacing w:after="0" w:line="291" w:lineRule="auto"/>
        <w:rPr>
          <w:sz w:val="20"/>
          <w:szCs w:val="20"/>
          <w:color w:val="auto"/>
        </w:rPr>
      </w:pPr>
      <w:r>
        <w:rPr>
          <w:rFonts w:ascii="Arial" w:cs="Arial" w:eastAsia="Arial" w:hAnsi="Arial"/>
          <w:sz w:val="16"/>
          <w:szCs w:val="16"/>
          <w:color w:val="auto"/>
        </w:rPr>
        <w:t xml:space="preserve">public offering of its Common Stock). The Holder(s) agree to provide to the underwriters of any public offering of the Company such further agreements as such underwriters may reasonably request in connection with the hold-back agreement provided for in this Section 3.1;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such agreements are substantially consistent with the provisions of this Section 3.1. In order to enforce the foregoing covenant, the Company may impose stop-transfer instructions with respect to the Registrable Securities until the end of such period. Notwithstanding the foregoing, the obligations described in this Section 3.1 shall not apply to a registration relating solely to employee benefit plans on Form S-1 or Form S-8 or similar forms which may be promulgated in the future, or a registration relating solely to a Rule 145 transaction.</w:t>
      </w:r>
    </w:p>
    <w:p>
      <w:pPr>
        <w:spacing w:after="0" w:line="174" w:lineRule="exact"/>
        <w:rPr>
          <w:sz w:val="20"/>
          <w:szCs w:val="20"/>
          <w:color w:val="auto"/>
        </w:rPr>
      </w:pPr>
    </w:p>
    <w:p>
      <w:pPr>
        <w:ind w:left="520" w:right="160" w:firstLine="351"/>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Restrictions on Public Sale by the Company and Others.</w:t>
      </w:r>
      <w:r>
        <w:rPr>
          <w:rFonts w:ascii="Arial" w:cs="Arial" w:eastAsia="Arial" w:hAnsi="Arial"/>
          <w:sz w:val="16"/>
          <w:szCs w:val="16"/>
          <w:color w:val="auto"/>
        </w:rPr>
        <w:t xml:space="preserve"> The Company agrees not to effect any public sale or distribution of its Common Stock, during a period, not to exceed 45 days, beginning on the closing date of an underwritten offering made pursuant to a Registration Statement filed under Section 2 hereof if the marketing of such securities would materially harm the prospects of the offering of Registrable Securities under the Registration Statement and to the extent timely notified in writing by one or more of the Selling Holders or the managing underwriters (except as part of such underwritten registration or pursuant to registrations on Forms S-4 or S-8 or any successor form to such Forms).</w:t>
      </w:r>
    </w:p>
    <w:p>
      <w:pPr>
        <w:spacing w:after="0" w:line="170" w:lineRule="exact"/>
        <w:rPr>
          <w:sz w:val="20"/>
          <w:szCs w:val="20"/>
          <w:color w:val="auto"/>
        </w:rPr>
      </w:pPr>
    </w:p>
    <w:p>
      <w:pPr>
        <w:jc w:val="both"/>
        <w:ind w:left="-20" w:right="100" w:firstLine="359"/>
        <w:spacing w:after="0" w:line="259" w:lineRule="auto"/>
        <w:tabs>
          <w:tab w:leader="none" w:pos="638"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Procedures. </w:t>
      </w:r>
      <w:r>
        <w:rPr>
          <w:rFonts w:ascii="Arial" w:cs="Arial" w:eastAsia="Arial" w:hAnsi="Arial"/>
          <w:sz w:val="18"/>
          <w:szCs w:val="18"/>
          <w:color w:val="auto"/>
        </w:rPr>
        <w:t>In connection with the Company's registration obligations pursuant to Section 2 hereof, the Company will use its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best efforts to effect such registration to permit the sale of such Registrable Securities in accordance with the intended method or methods of disposition thereof, and pursuant thereto the Company will:</w:t>
      </w:r>
    </w:p>
    <w:p>
      <w:pPr>
        <w:spacing w:after="0" w:line="194" w:lineRule="exact"/>
        <w:rPr>
          <w:sz w:val="20"/>
          <w:szCs w:val="20"/>
          <w:color w:val="auto"/>
        </w:rPr>
      </w:pPr>
    </w:p>
    <w:p>
      <w:pPr>
        <w:jc w:val="both"/>
        <w:ind w:left="520" w:right="40" w:firstLine="351"/>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Preparation of Registration Statement.</w:t>
      </w:r>
      <w:r>
        <w:rPr>
          <w:rFonts w:ascii="Arial" w:cs="Arial" w:eastAsia="Arial" w:hAnsi="Arial"/>
          <w:sz w:val="16"/>
          <w:szCs w:val="16"/>
          <w:color w:val="auto"/>
        </w:rPr>
        <w:t xml:space="preserve"> Prepare and file with the SEC, within the time periods specified in Section 2, a Registration Statement on such form as may be appropriate under the Securities Act, and use its reasonable best efforts to cause such Registration Statement to become effective.</w:t>
      </w:r>
    </w:p>
    <w:p>
      <w:pPr>
        <w:spacing w:after="0" w:line="139" w:lineRule="exact"/>
        <w:rPr>
          <w:sz w:val="20"/>
          <w:szCs w:val="20"/>
          <w:color w:val="auto"/>
        </w:rPr>
      </w:pPr>
    </w:p>
    <w:p>
      <w:pPr>
        <w:ind w:left="520" w:right="80" w:firstLine="35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Maintaining Effectiveness.</w:t>
      </w:r>
      <w:r>
        <w:rPr>
          <w:rFonts w:ascii="Arial" w:cs="Arial" w:eastAsia="Arial" w:hAnsi="Arial"/>
          <w:sz w:val="18"/>
          <w:szCs w:val="18"/>
          <w:color w:val="auto"/>
        </w:rPr>
        <w:t xml:space="preserve"> Promptly prepare and file with the SEC such amendments to the Registration Statement as may be necessary to keep such Registration Statement effective for a period of not more than 10 business days, or such shorter period that will terminate when the distribution of all Registrable Securities covered by such Registration Statement has been completed.</w:t>
      </w:r>
    </w:p>
    <w:p>
      <w:pPr>
        <w:spacing w:after="0" w:line="194" w:lineRule="exact"/>
        <w:rPr>
          <w:sz w:val="20"/>
          <w:szCs w:val="20"/>
          <w:color w:val="auto"/>
        </w:rPr>
      </w:pPr>
    </w:p>
    <w:p>
      <w:pPr>
        <w:ind w:left="520" w:right="20" w:firstLine="351"/>
        <w:spacing w:after="0" w:line="28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Notification.</w:t>
      </w:r>
      <w:r>
        <w:rPr>
          <w:rFonts w:ascii="Arial" w:cs="Arial" w:eastAsia="Arial" w:hAnsi="Arial"/>
          <w:sz w:val="16"/>
          <w:szCs w:val="16"/>
          <w:color w:val="auto"/>
        </w:rPr>
        <w:t xml:space="preserve"> Immediately notify the Selling Holders and the managing underwriters, if any, and (if requested by any such Person) confirm such notice in writing, (i) when a Prospectus or any Prospectus supplement or post-effective amendment has been filed, and, with respect to a Registration Statement or any post-effective amendment, when the same has become effective, (ii) of the issuance by the SEC of any stop order suspending the effectiveness of the Registration Statement or the initiation of any proceeding for that purpose, (iii) of the receipt by the Company of any notification with respect to the suspension of the qualification of any of the Registrable Securities for sale in any jurisdiction or the initiation or threatening of any proceeding for such purpose, and (iv) of the happening of any event which makes any statement made in the Registration Statement, the Prospectus or any document incorporated therein by reference untrue or which requires the making of any changes in the Registration Statement, the Prospectus, or any document incorporated therein by reference so that they will not contain any untrue statement of a material fact or omit to state any material fact required to be stated therein or necessary to make the statement therein not misleading.</w:t>
      </w:r>
    </w:p>
    <w:p>
      <w:pPr>
        <w:spacing w:after="0" w:line="174" w:lineRule="exact"/>
        <w:rPr>
          <w:sz w:val="20"/>
          <w:szCs w:val="20"/>
          <w:color w:val="auto"/>
        </w:rPr>
      </w:pPr>
    </w:p>
    <w:p>
      <w:pPr>
        <w:ind w:left="520" w:firstLine="351"/>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Stop Orders.</w:t>
      </w:r>
      <w:r>
        <w:rPr>
          <w:rFonts w:ascii="Arial" w:cs="Arial" w:eastAsia="Arial" w:hAnsi="Arial"/>
          <w:sz w:val="18"/>
          <w:szCs w:val="18"/>
          <w:color w:val="auto"/>
        </w:rPr>
        <w:t xml:space="preserve"> Make every reasonable best effort to obtain the withdrawal of any order suspending the effectiveness of a Registration Statement or the qualification of any Registrable Securities for sale in any jurisdiction at the earliest possible moment.</w:t>
      </w:r>
    </w:p>
    <w:p>
      <w:pPr>
        <w:sectPr>
          <w:pgSz w:w="11900" w:h="16838" w:orient="portrait"/>
          <w:cols w:equalWidth="0" w:num="1">
            <w:col w:w="11400"/>
          </w:cols>
          <w:pgMar w:left="260" w:top="131" w:right="239" w:bottom="828"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175260</wp:posOffset>
            </wp:positionV>
            <wp:extent cx="7250430" cy="215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828" w:gutter="0" w:footer="0" w:header="0"/>
          <w:type w:val="continuous"/>
        </w:sectPr>
      </w:pPr>
    </w:p>
    <w:bookmarkStart w:id="129" w:name="page130"/>
    <w:bookmarkEnd w:id="129"/>
    <w:p>
      <w:pPr>
        <w:spacing w:after="0" w:line="12"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Consultation with Holders.</w:t>
      </w:r>
      <w:r>
        <w:rPr>
          <w:rFonts w:ascii="Arial" w:cs="Arial" w:eastAsia="Arial" w:hAnsi="Arial"/>
          <w:sz w:val="18"/>
          <w:szCs w:val="18"/>
          <w:color w:val="auto"/>
        </w:rPr>
        <w:t xml:space="preserve"> Prior to the filing of any Registration Statement or amendment thereto, provide copies of such document to the Selling Holders and to the managing underwriters, if any, make the Company's representatives and the Company's counsel available for discussion of such document and make such changes in such document relating to the Selling Holders prior to the filing thereof as such Selling Holders, counsel for such Selling Holders, or underwriters may reasonably request.</w:t>
      </w:r>
    </w:p>
    <w:p>
      <w:pPr>
        <w:spacing w:after="0" w:line="197" w:lineRule="exact"/>
        <w:rPr>
          <w:sz w:val="20"/>
          <w:szCs w:val="20"/>
          <w:color w:val="auto"/>
        </w:rPr>
      </w:pPr>
    </w:p>
    <w:p>
      <w:pPr>
        <w:jc w:val="both"/>
        <w:ind w:left="540" w:right="540" w:firstLine="351"/>
        <w:spacing w:after="0" w:line="30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Copies of Registration Statements.</w:t>
      </w:r>
      <w:r>
        <w:rPr>
          <w:rFonts w:ascii="Arial" w:cs="Arial" w:eastAsia="Arial" w:hAnsi="Arial"/>
          <w:sz w:val="16"/>
          <w:szCs w:val="16"/>
          <w:color w:val="auto"/>
        </w:rPr>
        <w:t xml:space="preserve"> Furnish to each Selling Holder and each managing underwriter, if any, without charge, at least one originally executed copy of the Registration Statement and any post-effective amendment thereto, including financial statements and schedules, all materials incorporated therein by reference and all exhibits (including those incorporated by reference).</w:t>
      </w:r>
    </w:p>
    <w:p>
      <w:pPr>
        <w:spacing w:after="0" w:line="161"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Prospectuses.</w:t>
      </w:r>
      <w:r>
        <w:rPr>
          <w:rFonts w:ascii="Arial" w:cs="Arial" w:eastAsia="Arial" w:hAnsi="Arial"/>
          <w:sz w:val="18"/>
          <w:szCs w:val="18"/>
          <w:color w:val="auto"/>
        </w:rPr>
        <w:t xml:space="preserve"> Deliver to each Selling Holder and the underwriters, if any, without charge, as many copies of the Prospectus (and each preliminary prospectus) and any amendment or supplement thereto as such Persons may reasonably request so long as the Registration Statement to which such Prospectus or any amendment or supplement thereto relates is effective.</w:t>
      </w:r>
    </w:p>
    <w:p>
      <w:pPr>
        <w:spacing w:after="0" w:line="194" w:lineRule="exact"/>
        <w:rPr>
          <w:sz w:val="20"/>
          <w:szCs w:val="20"/>
          <w:color w:val="auto"/>
        </w:rPr>
      </w:pPr>
    </w:p>
    <w:p>
      <w:pPr>
        <w:ind w:left="540" w:firstLine="351"/>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Blue Sky Laws.</w:t>
      </w:r>
      <w:r>
        <w:rPr>
          <w:rFonts w:ascii="Arial" w:cs="Arial" w:eastAsia="Arial" w:hAnsi="Arial"/>
          <w:sz w:val="18"/>
          <w:szCs w:val="18"/>
          <w:color w:val="auto"/>
        </w:rPr>
        <w:t xml:space="preserve"> Prior to any public offering of Registrable Securities, use its reasonable best efforts to register or qualify or cooperate with the Selling Holders, the underwriters, if any, and their respective counsel in connection with the registration or qualification of such Registrable Securities for offer and sale under the securities or blue sky laws of such jurisdictions within the United States as any Selling Holder or underwriter reasonably requests, and do any and all other acts or things necessary or advisable to enable the disposition in such jurisdictions of the Registrable Securities covered by the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not be required to qualify generally to do business in any jurisdiction where it is not then so qualified or to take any action which would subject it to general service of process or taxation in any such jurisdiction where it is not then so subject.</w:t>
      </w:r>
    </w:p>
    <w:p>
      <w:pPr>
        <w:spacing w:after="0" w:line="201" w:lineRule="exact"/>
        <w:rPr>
          <w:sz w:val="20"/>
          <w:szCs w:val="20"/>
          <w:color w:val="auto"/>
        </w:rPr>
      </w:pPr>
    </w:p>
    <w:p>
      <w:pPr>
        <w:ind w:left="540" w:right="360" w:firstLine="351"/>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Amendments Upon Changes.</w:t>
      </w:r>
      <w:r>
        <w:rPr>
          <w:rFonts w:ascii="Arial" w:cs="Arial" w:eastAsia="Arial" w:hAnsi="Arial"/>
          <w:sz w:val="18"/>
          <w:szCs w:val="18"/>
          <w:color w:val="auto"/>
        </w:rPr>
        <w:t xml:space="preserve"> Upon the occurrence of any event contemplated by Sections 4.3(ii), (iii) or (iv) or 4.4 above, prepare, as promptly as practicable, a supplement or post-effective amendment to the Registration Statement or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spacing w:after="0" w:line="197" w:lineRule="exact"/>
        <w:rPr>
          <w:sz w:val="20"/>
          <w:szCs w:val="20"/>
          <w:color w:val="auto"/>
        </w:rPr>
      </w:pPr>
    </w:p>
    <w:p>
      <w:pPr>
        <w:ind w:left="540" w:right="100" w:firstLine="351"/>
        <w:spacing w:after="0" w:line="29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i w:val="1"/>
          <w:iCs w:val="1"/>
          <w:color w:val="auto"/>
        </w:rPr>
        <w:t>Underwriting Agreements.</w:t>
      </w:r>
      <w:r>
        <w:rPr>
          <w:rFonts w:ascii="Arial" w:cs="Arial" w:eastAsia="Arial" w:hAnsi="Arial"/>
          <w:sz w:val="16"/>
          <w:szCs w:val="16"/>
          <w:color w:val="auto"/>
        </w:rPr>
        <w:t xml:space="preserve"> In the event of an underwritten public offering effected pursuant to Section 2.1, enter into such customary agreements (including, at the request of the Selling Holders, an underwriting agreement containing customary indemnification provisions) and take all such other actions reasonably required in connection therewith in order to expedite or facilitate the disposition of such Registrable Securities, including, but not limited to, cooperating with the Selling Holders, the underwriters participating in the offering and their counsel in any due diligence investigation reasonably requested by the Selling Holders or the underwriters in connection therewith.</w:t>
      </w:r>
    </w:p>
    <w:p>
      <w:pPr>
        <w:spacing w:after="0" w:line="170" w:lineRule="exact"/>
        <w:rPr>
          <w:sz w:val="20"/>
          <w:szCs w:val="20"/>
          <w:color w:val="auto"/>
        </w:rPr>
      </w:pPr>
    </w:p>
    <w:p>
      <w:pPr>
        <w:ind w:left="540" w:firstLine="351"/>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i w:val="1"/>
          <w:iCs w:val="1"/>
          <w:color w:val="auto"/>
        </w:rPr>
        <w:t>Compliance with Laws; Section 11(a).</w:t>
      </w:r>
      <w:r>
        <w:rPr>
          <w:rFonts w:ascii="Arial" w:cs="Arial" w:eastAsia="Arial" w:hAnsi="Arial"/>
          <w:sz w:val="16"/>
          <w:szCs w:val="16"/>
          <w:color w:val="auto"/>
        </w:rPr>
        <w:t xml:space="preserve"> Otherwise use its best efforts to comply with all applicable federal and state securities laws (including without limitation the rules and regulations of the SEC), and make generally available to its security holders earning statements satisfying the provisions of Section 11(a) of the Securities Act no later than 45 days after the end of each 12-month period (or within 90 days after the end of a fiscal year).</w:t>
      </w:r>
    </w:p>
    <w:p>
      <w:pPr>
        <w:spacing w:after="0" w:line="161" w:lineRule="exact"/>
        <w:rPr>
          <w:sz w:val="20"/>
          <w:szCs w:val="20"/>
          <w:color w:val="auto"/>
        </w:rPr>
      </w:pPr>
    </w:p>
    <w:p>
      <w:pPr>
        <w:ind w:left="540" w:right="540" w:firstLine="351"/>
        <w:spacing w:after="0" w:line="26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Opinions.</w:t>
      </w:r>
      <w:r>
        <w:rPr>
          <w:rFonts w:ascii="Arial" w:cs="Arial" w:eastAsia="Arial" w:hAnsi="Arial"/>
          <w:sz w:val="18"/>
          <w:szCs w:val="18"/>
          <w:color w:val="auto"/>
        </w:rPr>
        <w:t xml:space="preserve"> At the request of any Selling Holder, use its reasonable best efforts to furnish on the date that the Registrable Securities are delivered to that Selling Holder and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60"/>
        <w:spacing w:after="0" w:line="256" w:lineRule="auto"/>
        <w:rPr>
          <w:sz w:val="20"/>
          <w:szCs w:val="20"/>
          <w:color w:val="auto"/>
        </w:rPr>
      </w:pPr>
      <w:r>
        <w:rPr>
          <w:rFonts w:ascii="Arial" w:cs="Arial" w:eastAsia="Arial" w:hAnsi="Arial"/>
          <w:sz w:val="18"/>
          <w:szCs w:val="18"/>
          <w:color w:val="auto"/>
        </w:rPr>
        <w:t>underwriter for sale in connection with a registration pursuant to this Agreement (i) an opinion of the counsel representing the Company for the purposes of such registration, and (ii) a letter from the independent certified public accountants of the Company, each dated such date and in form and substance as is customarily given by counsel and independent certified public accountants to underwriters in an underwritten public offering, addressed to any Selling Holders' underwriter and to the Selling Holders.</w:t>
      </w:r>
    </w:p>
    <w:p>
      <w:pPr>
        <w:spacing w:after="0" w:line="197"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Listing.</w:t>
      </w:r>
      <w:r>
        <w:rPr>
          <w:rFonts w:ascii="Arial" w:cs="Arial" w:eastAsia="Arial" w:hAnsi="Arial"/>
          <w:sz w:val="18"/>
          <w:szCs w:val="18"/>
          <w:color w:val="auto"/>
        </w:rPr>
        <w:t xml:space="preserve"> Cause all Registrable Securities registered hereunder to be listed on each securities exchange on which the same class of securities of the Company are then listed.</w:t>
      </w:r>
    </w:p>
    <w:p>
      <w:pPr>
        <w:spacing w:after="0" w:line="186"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Transfer Agent, Registrar and CUSIP Number.</w:t>
      </w:r>
      <w:r>
        <w:rPr>
          <w:rFonts w:ascii="Arial" w:cs="Arial" w:eastAsia="Arial" w:hAnsi="Arial"/>
          <w:sz w:val="18"/>
          <w:szCs w:val="18"/>
          <w:color w:val="auto"/>
        </w:rPr>
        <w:t xml:space="preserve"> Provide a transfer agent and registrar for Registrable Securities registered hereunder and a CUSIP number for all such Registrable Securities, in each case not later than the effective date of such registration.</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Notwithstanding anything to the contrary contained in this Agreement, the Company may at any time suspend or terminate any of its efforts with respect to a Registration Statement filed by it other than pursuant to Section 2.1 of this Agreement, including by suspending or terminating (as applicable) the preparation, filing or effectiveness of such Registration, without any liability of any kind to any Holder.</w:t>
      </w:r>
    </w:p>
    <w:p>
      <w:pPr>
        <w:spacing w:after="0" w:line="194" w:lineRule="exact"/>
        <w:rPr>
          <w:sz w:val="20"/>
          <w:szCs w:val="20"/>
          <w:color w:val="auto"/>
        </w:rPr>
      </w:pPr>
    </w:p>
    <w:p>
      <w:pPr>
        <w:ind w:left="660" w:hanging="301"/>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Selling Holders' Obligations.</w:t>
      </w:r>
    </w:p>
    <w:p>
      <w:pPr>
        <w:spacing w:after="0" w:line="225" w:lineRule="exact"/>
        <w:rPr>
          <w:sz w:val="20"/>
          <w:szCs w:val="20"/>
          <w:color w:val="auto"/>
        </w:rPr>
      </w:pPr>
    </w:p>
    <w:p>
      <w:pPr>
        <w:ind w:left="540" w:right="240" w:firstLine="351"/>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Provision of Information.</w:t>
      </w:r>
      <w:r>
        <w:rPr>
          <w:rFonts w:ascii="Arial" w:cs="Arial" w:eastAsia="Arial" w:hAnsi="Arial"/>
          <w:sz w:val="16"/>
          <w:szCs w:val="16"/>
          <w:color w:val="auto"/>
        </w:rPr>
        <w:t xml:space="preserve"> The Company may require each Selling Holder of Registrable Securities as to which any registration is being effected to furnish to the Company such information regarding the distribution of such securities by, and such other information relevant to, the Selling Holder for inclusion in such Registration Statement, as the Company may from time to time reasonably request in writing. The Company shall not be obligated to include in any Registration Statement any securities owned by a Holder that does not comply with its obligations under this Agreement. In addition, the Company shall have no obligation with respect to any registration requested pursuant to Section 2.1 if, due to the operation of this</w:t>
      </w:r>
    </w:p>
    <w:p>
      <w:pPr>
        <w:spacing w:after="0" w:line="2" w:lineRule="exact"/>
        <w:rPr>
          <w:sz w:val="20"/>
          <w:szCs w:val="20"/>
          <w:color w:val="auto"/>
        </w:rPr>
      </w:pPr>
    </w:p>
    <w:p>
      <w:pPr>
        <w:ind w:left="540" w:right="20"/>
        <w:spacing w:after="0" w:line="323" w:lineRule="auto"/>
        <w:rPr>
          <w:sz w:val="20"/>
          <w:szCs w:val="20"/>
          <w:color w:val="auto"/>
        </w:rPr>
      </w:pPr>
      <w:r>
        <w:rPr>
          <w:rFonts w:ascii="Arial" w:cs="Arial" w:eastAsia="Arial" w:hAnsi="Arial"/>
          <w:sz w:val="16"/>
          <w:szCs w:val="16"/>
          <w:color w:val="auto"/>
        </w:rPr>
        <w:t>Section 5.1, the anticipated aggregate offering price of the Registrable Securities to be included in the registration does not equal or exceed the anticipated aggregate offering price required to originally trigger the Company's obligation to initiate such registration as specified in Section 2.1.</w:t>
      </w:r>
    </w:p>
    <w:p>
      <w:pPr>
        <w:spacing w:after="0" w:line="147" w:lineRule="exact"/>
        <w:rPr>
          <w:sz w:val="20"/>
          <w:szCs w:val="20"/>
          <w:color w:val="auto"/>
        </w:rPr>
      </w:pPr>
    </w:p>
    <w:p>
      <w:pPr>
        <w:ind w:left="540" w:right="80" w:firstLine="351"/>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Discontinued Use of Prospectus.</w:t>
      </w:r>
      <w:r>
        <w:rPr>
          <w:rFonts w:ascii="Arial" w:cs="Arial" w:eastAsia="Arial" w:hAnsi="Arial"/>
          <w:sz w:val="16"/>
          <w:szCs w:val="16"/>
          <w:color w:val="auto"/>
        </w:rPr>
        <w:t xml:space="preserve"> Each Holder of Registrable Securities agrees by execution of this Agreement that, upon receipt of any written notice from the Company of the happening of any event of the kind described in clauses (ii), (iii) or (iv) of Section 4.3 or Section 4.4 hereof, such Holder will forthwith discontinue disposition of Registrable Securities until such Holder's receipt of the copies of the supplemented or amended Prospectus contemplated by Section 4.9 hereof, or until it is advised in writing (the "</w:t>
      </w:r>
      <w:r>
        <w:rPr>
          <w:rFonts w:ascii="Arial" w:cs="Arial" w:eastAsia="Arial" w:hAnsi="Arial"/>
          <w:sz w:val="16"/>
          <w:szCs w:val="16"/>
          <w:i w:val="1"/>
          <w:iCs w:val="1"/>
          <w:color w:val="auto"/>
        </w:rPr>
        <w:t>Advice</w:t>
      </w:r>
      <w:r>
        <w:rPr>
          <w:rFonts w:ascii="Arial" w:cs="Arial" w:eastAsia="Arial" w:hAnsi="Arial"/>
          <w:sz w:val="16"/>
          <w:szCs w:val="16"/>
          <w:color w:val="auto"/>
        </w:rPr>
        <w:t>") by the Company that the use of the Prospectus may be resumed, and has received copies of any additional or supplemental filings which are incorporated by reference in such Prospectus, and, if so directed by the Company, such Holder will deliver to the Company (at the Company's expense) all copies, other than permanent file copies then in such Holder's</w:t>
      </w:r>
    </w:p>
    <w:p>
      <w:pPr>
        <w:sectPr>
          <w:pgSz w:w="11900" w:h="16850" w:orient="portrait"/>
          <w:cols w:equalWidth="0" w:num="1">
            <w:col w:w="11400"/>
          </w:cols>
          <w:pgMar w:left="240" w:top="131" w:right="259" w:bottom="0" w:gutter="0" w:footer="0" w:header="0"/>
        </w:sectPr>
      </w:pPr>
    </w:p>
    <w:bookmarkStart w:id="130" w:name="page131"/>
    <w:bookmarkEnd w:id="130"/>
    <w:p>
      <w:pPr>
        <w:ind w:left="181" w:right="80"/>
        <w:spacing w:after="0" w:line="256" w:lineRule="auto"/>
        <w:rPr>
          <w:sz w:val="20"/>
          <w:szCs w:val="20"/>
          <w:color w:val="auto"/>
        </w:rPr>
      </w:pPr>
      <w:r>
        <w:rPr>
          <w:rFonts w:ascii="Arial" w:cs="Arial" w:eastAsia="Arial" w:hAnsi="Arial"/>
          <w:sz w:val="18"/>
          <w:szCs w:val="18"/>
          <w:color w:val="auto"/>
        </w:rPr>
        <w:t>possession, of the Prospectus covering such Registrable Securities current at the time of receipt of such notice. In the event the Company shall give any such notice, the time period mentioned in Section 4.2 hereof shall be extended by the number of days during the period from and including the date of the giving of such notice to and including the date when each Selling Holder shall have received the copies of the supplemental or amended Prospectus contemplated by Section 4.9 hereof or the Advice.</w:t>
      </w:r>
    </w:p>
    <w:p>
      <w:pPr>
        <w:spacing w:after="0" w:line="197" w:lineRule="exact"/>
        <w:rPr>
          <w:sz w:val="20"/>
          <w:szCs w:val="20"/>
          <w:color w:val="auto"/>
        </w:rPr>
      </w:pPr>
    </w:p>
    <w:p>
      <w:pPr>
        <w:ind w:left="181" w:right="24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Underwriting Agreement.</w:t>
      </w:r>
      <w:r>
        <w:rPr>
          <w:rFonts w:ascii="Arial" w:cs="Arial" w:eastAsia="Arial" w:hAnsi="Arial"/>
          <w:sz w:val="18"/>
          <w:szCs w:val="18"/>
          <w:color w:val="auto"/>
        </w:rPr>
        <w:t xml:space="preserve"> Each Selling Holder participating in an underwritten offering pursuant to Section 2.1 or 2.2 agrees to enter into a customary underwriting agreement on terms reasonably satisfactory to the managing underwriter.</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1" w:right="100" w:firstLine="351"/>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as the result of any controversy that might arise with respect to the interpretation or implementation of this Agreement.</w:t>
      </w:r>
    </w:p>
    <w:p>
      <w:pPr>
        <w:spacing w:after="0" w:line="186" w:lineRule="exact"/>
        <w:rPr>
          <w:sz w:val="20"/>
          <w:szCs w:val="20"/>
          <w:color w:val="auto"/>
        </w:rPr>
      </w:pPr>
    </w:p>
    <w:p>
      <w:pPr>
        <w:ind w:left="301" w:hanging="301"/>
        <w:spacing w:after="0"/>
        <w:tabs>
          <w:tab w:leader="none" w:pos="301"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Registration Expenses.</w:t>
      </w:r>
    </w:p>
    <w:p>
      <w:pPr>
        <w:spacing w:after="0" w:line="225" w:lineRule="exact"/>
        <w:rPr>
          <w:sz w:val="20"/>
          <w:szCs w:val="20"/>
          <w:color w:val="auto"/>
        </w:rPr>
      </w:pPr>
    </w:p>
    <w:p>
      <w:pPr>
        <w:ind w:left="181" w:firstLine="351"/>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Demand Registrations.</w:t>
      </w:r>
      <w:r>
        <w:rPr>
          <w:rFonts w:ascii="Arial" w:cs="Arial" w:eastAsia="Arial" w:hAnsi="Arial"/>
          <w:sz w:val="16"/>
          <w:szCs w:val="16"/>
          <w:color w:val="auto"/>
        </w:rPr>
        <w:t xml:space="preserve"> The Selling Holders shall bear all expenses incurred in connection with any Registration Statement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initiated pursuant to Section 2.1 hereof, including without limitation all registration and filing fees; all underwriting discounts,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disbursements; fees with respect to any filings required to be made with the National Association of Securities Dealers; listing fees relative to any stock exchange or national market system; fees and expenses of compliance with state securities or blue sky laws (including reasonable fees and expenses of counsel for the underwriters in connection therewith); printing expenses, fees and disbursements of counsel for the Company and for Selling Holders; fees and disbursements of accounting or financing professionals; fees and disbursements of all independent public accountants of the Company; any transfer taxes with respect to the Registrable Securities sold by the Selling Holders; and all other expenses incidental to the sale and delivery of the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Registration Expenses shall not include any portion of the compensation paid by the Company or its affiliates to the directors, officers or employees of the Company or its affiliates ("</w:t>
      </w:r>
      <w:r>
        <w:rPr>
          <w:rFonts w:ascii="Arial" w:cs="Arial" w:eastAsia="Arial" w:hAnsi="Arial"/>
          <w:sz w:val="16"/>
          <w:szCs w:val="16"/>
          <w:i w:val="1"/>
          <w:iCs w:val="1"/>
          <w:color w:val="auto"/>
        </w:rPr>
        <w:t>Indirect Expenses</w:t>
      </w:r>
      <w:r>
        <w:rPr>
          <w:rFonts w:ascii="Arial" w:cs="Arial" w:eastAsia="Arial" w:hAnsi="Arial"/>
          <w:sz w:val="16"/>
          <w:szCs w:val="16"/>
          <w:color w:val="auto"/>
        </w:rPr>
        <w:t>"). Each Selling Holder shall bear his, her or its share of the Registration Expenses pro rata based upon the number of Registrable Securities offered by such Selling Holders pursuant to such Registration Statement.</w:t>
      </w:r>
    </w:p>
    <w:p>
      <w:pPr>
        <w:spacing w:after="0" w:line="181" w:lineRule="exact"/>
        <w:rPr>
          <w:sz w:val="20"/>
          <w:szCs w:val="20"/>
          <w:color w:val="auto"/>
        </w:rPr>
      </w:pPr>
    </w:p>
    <w:p>
      <w:pPr>
        <w:ind w:left="181" w:right="80" w:firstLine="351"/>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Incidental Registrations.</w:t>
      </w:r>
      <w:r>
        <w:rPr>
          <w:rFonts w:ascii="Arial" w:cs="Arial" w:eastAsia="Arial" w:hAnsi="Arial"/>
          <w:sz w:val="16"/>
          <w:szCs w:val="16"/>
          <w:color w:val="auto"/>
        </w:rPr>
        <w:t xml:space="preserve"> The Company shall bear all Registration Expenses, including Indirect Expenses but excluding Selling Holder Expenses (as defined below), incurred in connection with any Registration Statement other than a Registration Statement initiated pursuant to Section 2.1 hereof. Each Selling Holder shall bear his, her or its share of any Selling Holder Expenses based upon the number of Registrable Securities offered by such Selling Holders pursuant to such Registration Statement. "</w:t>
      </w:r>
      <w:r>
        <w:rPr>
          <w:rFonts w:ascii="Arial" w:cs="Arial" w:eastAsia="Arial" w:hAnsi="Arial"/>
          <w:sz w:val="16"/>
          <w:szCs w:val="16"/>
          <w:i w:val="1"/>
          <w:iCs w:val="1"/>
          <w:color w:val="auto"/>
        </w:rPr>
        <w:t>Selling Holder Expenses</w:t>
      </w:r>
      <w:r>
        <w:rPr>
          <w:rFonts w:ascii="Arial" w:cs="Arial" w:eastAsia="Arial" w:hAnsi="Arial"/>
          <w:sz w:val="16"/>
          <w:szCs w:val="16"/>
          <w:color w:val="auto"/>
        </w:rPr>
        <w:t>" shall consist of and be limited to (i) the Selling Holder's legal costs, including the fees and expenses of any counsel selected by the Selling Holder to represent him, her or it, and (ii) the proportionate share of brokerage or underwriting commissions attributable to the Selling Holder's shares.</w:t>
      </w:r>
    </w:p>
    <w:p>
      <w:pPr>
        <w:spacing w:after="0" w:line="174" w:lineRule="exact"/>
        <w:rPr>
          <w:sz w:val="20"/>
          <w:szCs w:val="20"/>
          <w:color w:val="auto"/>
        </w:rPr>
      </w:pPr>
    </w:p>
    <w:p>
      <w:pPr>
        <w:ind w:left="301" w:hanging="301"/>
        <w:spacing w:after="0"/>
        <w:tabs>
          <w:tab w:leader="none" w:pos="301"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left="181" w:right="20" w:firstLine="351"/>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xml:space="preserve"> The Company agrees to indemnify and hold harmless, to the full extent permitted by law, each Holder of Registrable Securities, each Person who controls such Holder (within the meaning of the Securities Act or the Exchange Act) (a "</w:t>
      </w:r>
      <w:r>
        <w:rPr>
          <w:rFonts w:ascii="Arial" w:cs="Arial" w:eastAsia="Arial" w:hAnsi="Arial"/>
          <w:sz w:val="16"/>
          <w:szCs w:val="16"/>
          <w:i w:val="1"/>
          <w:iCs w:val="1"/>
          <w:color w:val="auto"/>
        </w:rPr>
        <w:t>Controlling Person</w:t>
      </w:r>
      <w:r>
        <w:rPr>
          <w:rFonts w:ascii="Arial" w:cs="Arial" w:eastAsia="Arial" w:hAnsi="Arial"/>
          <w:sz w:val="16"/>
          <w:szCs w:val="16"/>
          <w:color w:val="auto"/>
        </w:rPr>
        <w:t>"), and each officer, director, employee and agent of such Holder and each Controlling Person and each underwriter or selling agent (the "</w:t>
      </w:r>
      <w:r>
        <w:rPr>
          <w:rFonts w:ascii="Arial" w:cs="Arial" w:eastAsia="Arial" w:hAnsi="Arial"/>
          <w:sz w:val="16"/>
          <w:szCs w:val="16"/>
          <w:i w:val="1"/>
          <w:iCs w:val="1"/>
          <w:color w:val="auto"/>
        </w:rPr>
        <w:t>Indemnified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w:t>
      </w:r>
      <w:r>
        <w:rPr>
          <w:rFonts w:ascii="Arial" w:cs="Arial" w:eastAsia="Arial" w:hAnsi="Arial"/>
          <w:sz w:val="16"/>
          <w:szCs w:val="16"/>
          <w:color w:val="auto"/>
        </w:rPr>
        <w:t>") from and against all losses, claims, damages, liabilities and expenses caused by any untrue or alleged untrue statement of a material fact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in any Registration Statement, Prospectus or preliminary prospectus or any amendment or supplement thereto or any omission or alleged omission to state therein a material fact required to be stated therein or necessary to make the statements therein not misleading, except insofar as (i) the Company has demonstrated that the same are caused by or contained in any information furnished in writing to the Company by such Holder, expressly for use therein, or (ii) the Company has advised such Holders' Representative in writing of a Section 4.3(iv) event and the Holder has sold Registrable Securities notwithstanding receipt of such notice prior to receipt of a supplement or amended Prospectus pursuant to Section 4.9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liability or expense arises out of or is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an untrue statement or alleged untrue statement or omission or alleged omission made in any preliminary prospectus if (i) such Holder failed to send or deliver a copy of the Prospectus with or prior to the delivery of</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40"/>
        <w:spacing w:after="0" w:line="287" w:lineRule="auto"/>
        <w:rPr>
          <w:sz w:val="20"/>
          <w:szCs w:val="20"/>
          <w:color w:val="auto"/>
        </w:rPr>
      </w:pPr>
      <w:r>
        <w:rPr>
          <w:rFonts w:ascii="Arial" w:cs="Arial" w:eastAsia="Arial" w:hAnsi="Arial"/>
          <w:sz w:val="16"/>
          <w:szCs w:val="16"/>
          <w:color w:val="auto"/>
        </w:rPr>
        <w:t xml:space="preserve">written confirmation of the sale of Registrable Securities and (ii) the Prospectus would have corrected such untrue statement or omission;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Company shall not be liable in any such case to the extent that any such loss, claim, damage, liability or expense arises out of or is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an untrue statement or alleged untrue statement or omission or alleged omission in the Prospectus, if such untrue statement or alleged untrue statement, omission or alleged omission is corrected in an amendment or supplement to the Prospectus and if, having previously been furnished by or on behalf of the Company with copies of the Prospectus as so amended or supplemented, such Holder thereafter fails to deliver such Prospectus as so amended or supplemented, prior to or concurrently with the sale of Registrable Securities to the Person asserting such loss, claim, damage, liability or expense who purchased such Registrable Securities that are the subject thereof from such Holder. The indemnity provided herein shall remain in full force and effect regardless of any investigation made by or on behalf of an Indemnified Party and shall survive the transfer of Registrable Securities by the Selling Holder. The Company shall be obligated to give to, and shall be entitled to receive from, underwriters, selling brokers, dealer managers and similar securities industry professionals participating in the distribution customary indemnities.</w:t>
      </w:r>
    </w:p>
    <w:p>
      <w:pPr>
        <w:spacing w:after="0" w:line="177" w:lineRule="exact"/>
        <w:rPr>
          <w:sz w:val="20"/>
          <w:szCs w:val="20"/>
          <w:color w:val="auto"/>
        </w:rPr>
      </w:pPr>
    </w:p>
    <w:p>
      <w:pPr>
        <w:ind w:left="181" w:firstLine="351"/>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Indemnification by Holders.</w:t>
      </w:r>
      <w:r>
        <w:rPr>
          <w:rFonts w:ascii="Arial" w:cs="Arial" w:eastAsia="Arial" w:hAnsi="Arial"/>
          <w:sz w:val="16"/>
          <w:szCs w:val="16"/>
          <w:color w:val="auto"/>
        </w:rPr>
        <w:t xml:space="preserve"> In connection with the Registration Statements hereunder, each Selling Holder agrees to indemnify and hold harmless, to the full extent permitted by law, the Company, and each Person who controls the Company (within the meaning of the Securities Act or the Exchange Act) and each manager, director, officer, employee and agent of each such Person from and against any losses, claims, damages, liabilities and expenses caused by any untrue or alleged untrue statement of a material fact or any omission of a material fact required to be stated in any Registration Statement or Prospectus or preliminary prospectus or necessary to make the statements therein not misleading, to the extent, but only to the extent, that the Company has demonstrated that such untrue statement or omission is contained in any information or affidavit so furnished by such Holder to the Company specifically for inclusion in such Registration Statement or Prospectus. In no event, however, shall the liability of any Selling Holder hereunder be greater in amount than the dollar amount of the proceeds (net of underwriters' discounts and commissions) received by such Holder upon the sale of the Registrable Securities giving rise to such indemnification obligation.</w:t>
      </w:r>
    </w:p>
    <w:p>
      <w:pPr>
        <w:sectPr>
          <w:pgSz w:w="11900" w:h="16838" w:orient="portrait"/>
          <w:cols w:equalWidth="0" w:num="1">
            <w:col w:w="11061"/>
          </w:cols>
          <w:pgMar w:left="599" w:top="131" w:right="239" w:bottom="0" w:gutter="0" w:footer="0" w:header="0"/>
        </w:sectPr>
      </w:pPr>
    </w:p>
    <w:bookmarkStart w:id="131" w:name="page132"/>
    <w:bookmarkEnd w:id="131"/>
    <w:p>
      <w:pPr>
        <w:spacing w:after="0" w:line="18" w:lineRule="exact"/>
        <w:rPr>
          <w:sz w:val="20"/>
          <w:szCs w:val="20"/>
          <w:color w:val="auto"/>
        </w:rPr>
      </w:pPr>
    </w:p>
    <w:p>
      <w:pPr>
        <w:ind w:left="540" w:right="20" w:firstLine="351"/>
        <w:spacing w:after="0" w:line="28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Conduct of Indemnification Proceedings.</w:t>
      </w:r>
      <w:r>
        <w:rPr>
          <w:rFonts w:ascii="Arial" w:cs="Arial" w:eastAsia="Arial" w:hAnsi="Arial"/>
          <w:sz w:val="16"/>
          <w:szCs w:val="16"/>
          <w:color w:val="auto"/>
        </w:rPr>
        <w:t xml:space="preserve"> Any Person entitled to indemnification hereunder will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within a reasonable period of time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or such Person has separate or additional defenses, in either case such as would make the representation of such Person by the same counsel as the indemnifying party improper under applicable standards of professional conduct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 be subject to any liability for any settlement made without its consent (but such consent will not be unreasonably withheld). No indemnifying party will consent to entry of any judgment or enter into any settlement which does not include as an unconditional term thereof the giving by the claimant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or plaintiff to such Indemnified Party of a release from all liability in respect to such claim or litigation. An indemnifying party who is not entitled to, or elects not to, assume the defense of a claim will not be obligated to pay the fees and expenses of more than one principal and one local counsel for all Indemnified Parties who are indemnified by such indemnifying party with respect to such claim.</w:t>
      </w:r>
    </w:p>
    <w:p>
      <w:pPr>
        <w:spacing w:after="0" w:line="194" w:lineRule="exact"/>
        <w:rPr>
          <w:sz w:val="20"/>
          <w:szCs w:val="20"/>
          <w:color w:val="auto"/>
        </w:rPr>
      </w:pPr>
    </w:p>
    <w:p>
      <w:pPr>
        <w:ind w:left="540" w:firstLine="351"/>
        <w:spacing w:after="0" w:line="28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Contribution.</w:t>
      </w:r>
      <w:r>
        <w:rPr>
          <w:rFonts w:ascii="Arial" w:cs="Arial" w:eastAsia="Arial" w:hAnsi="Arial"/>
          <w:sz w:val="16"/>
          <w:szCs w:val="16"/>
          <w:color w:val="auto"/>
        </w:rPr>
        <w:t xml:space="preserve"> If the indemnification provided for in Sections 7.1 or 7.2 is unavailable to the Indemnified Parties in respect of any losses, claims, damages or liabilities referred to herein, then each such indemnifying party, in lieu of indemnifying such Indemnified Party, shall contribute to the amount paid or payable by such Indemnified Party as a result of such losses, claims, damages or liabilities (i) as between the Company and the Selling Holders on the one hand and the underwriters on the other hand, in such proportion as is appropriate to reflect the relative benefits received by the Company and the Selling Holders on the one hand and the underwriters on the other hand from the offering of all of the securities sold in the offering, or if such allocation is not permitted by applicable law, in such proportion as is appropriate to reflect not only the relative benefits but also the relative fault of the Company and the Selling Holders on the one hand and of the underwriters on the other hand in connection with the statements or omissions which resulted in such losses, claims, damages or liabilities, as well as any other relevant equitable considerations and (ii) as between the Company on the one hand and each Selling Holder on the other hand, in such proportion as is appropriate to reflect the relative fault of the Company and of each Selling Holder in connection with such statements or omissions, as well as any other relevant equitable considerations. The relative benefits received by the Company and the Selling Holders on the one hand and the underwriters on the other hand shall be deemed to be in the same proportion as the total proceeds from the offering (net of underwriting discounts and commissions but before deducting expenses) received by the Company and the Selling Holders bear to the total underwriting discounts and commissions received by the underwriters, in each case as set forth in the table on the cover page of the Prospectus. The relative fault of the Company and the Selling Holders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and the Selling Holders or by the underwriters. The relative fault of the Company on the one hand and of each Selling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8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Company and the Selling Holders agree that it would not be just and equitable if contribution pursuant to this Section 7.4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7.4,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Selling Holders' obligations to contribute pursuant to this Section 7.4 are several in proportion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proceeds of the offering received by each Selling Holder bears to the total proceeds of the offering received by all the Selling Holders and not joint.</w:t>
      </w:r>
    </w:p>
    <w:p>
      <w:pPr>
        <w:spacing w:after="0" w:line="248" w:lineRule="exact"/>
        <w:rPr>
          <w:sz w:val="20"/>
          <w:szCs w:val="20"/>
          <w:color w:val="auto"/>
        </w:rPr>
      </w:pPr>
    </w:p>
    <w:p>
      <w:pPr>
        <w:ind w:left="540" w:right="160" w:firstLine="351"/>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Underwriting Agreement Controls.</w:t>
      </w:r>
      <w:r>
        <w:rPr>
          <w:rFonts w:ascii="Arial" w:cs="Arial" w:eastAsia="Arial" w:hAnsi="Arial"/>
          <w:sz w:val="18"/>
          <w:szCs w:val="18"/>
          <w:color w:val="auto"/>
        </w:rPr>
        <w:t xml:space="preserve"> Notwithstanding the foregoing provisions of this Section 7, to the extent that the provisions on indemnification and contribution contained in the underwriting agreement entered into in connection with an underwritten public offering are in conflict with the foregoing provisions, the provisions in the underwriting agreement shall control.</w:t>
      </w:r>
    </w:p>
    <w:p>
      <w:pPr>
        <w:spacing w:after="0" w:line="194" w:lineRule="exact"/>
        <w:rPr>
          <w:sz w:val="20"/>
          <w:szCs w:val="20"/>
          <w:color w:val="auto"/>
        </w:rPr>
      </w:pPr>
    </w:p>
    <w:p>
      <w:pPr>
        <w:ind w:left="540" w:right="280" w:firstLine="351"/>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obligations of the Company and the Holders under this Section 7 shall survive the completion of any offering of Registrable Securities in a Registration Statement under this Agreement or otherwise.</w:t>
      </w:r>
    </w:p>
    <w:p>
      <w:pPr>
        <w:spacing w:after="0" w:line="186" w:lineRule="exact"/>
        <w:rPr>
          <w:sz w:val="20"/>
          <w:szCs w:val="20"/>
          <w:color w:val="auto"/>
        </w:rPr>
      </w:pPr>
    </w:p>
    <w:p>
      <w:pPr>
        <w:ind w:right="80" w:firstLine="359"/>
        <w:spacing w:after="0" w:line="291" w:lineRule="auto"/>
        <w:tabs>
          <w:tab w:leader="none" w:pos="658"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Selection of Underwriters. </w:t>
      </w:r>
      <w:r>
        <w:rPr>
          <w:rFonts w:ascii="Arial" w:cs="Arial" w:eastAsia="Arial" w:hAnsi="Arial"/>
          <w:sz w:val="16"/>
          <w:szCs w:val="16"/>
          <w:color w:val="auto"/>
        </w:rPr>
        <w:t>The determination of whether an offering of Registrable Securities made pursuant to Section 2.1 will be underwritten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made by the Majority Selling Holders. Such Majority Selling Holders shall have the right to select the investment bankers and managing underwriters to administer an underwritten offering of Registrable Securities made pursuant to Section 2.1,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investment bankers and managing underwriters shall be subject to approval by the Company, which approval shall not be unreasonably withheld. If requested, the Company shall enter into a customary underwriting agreement with an investment banking firm, as set forth under Section 4.10 above. For any offering of Registrable Securities pursuant to a Registration Statement, the selection of counsel for Selling Holders shall be determined by the Majority Selling Holders.</w:t>
      </w:r>
    </w:p>
    <w:p>
      <w:pPr>
        <w:spacing w:after="0" w:line="174" w:lineRule="exact"/>
        <w:rPr>
          <w:rFonts w:ascii="Arial" w:cs="Arial" w:eastAsia="Arial" w:hAnsi="Arial"/>
          <w:sz w:val="16"/>
          <w:szCs w:val="16"/>
          <w:color w:val="auto"/>
        </w:rPr>
      </w:pPr>
    </w:p>
    <w:p>
      <w:pPr>
        <w:ind w:firstLine="359"/>
        <w:spacing w:after="0" w:line="259" w:lineRule="auto"/>
        <w:tabs>
          <w:tab w:leader="none" w:pos="658"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 xml:space="preserve">Reports Under Securities Exchange Act of 1934. </w:t>
      </w:r>
      <w:r>
        <w:rPr>
          <w:rFonts w:ascii="Arial" w:cs="Arial" w:eastAsia="Arial" w:hAnsi="Arial"/>
          <w:sz w:val="18"/>
          <w:szCs w:val="18"/>
          <w:color w:val="auto"/>
        </w:rPr>
        <w:t>With a view to making available to the Holders the benefits of Rule 144 promulgated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any other rule or regulation of the SEC that may at any time permit a Holder to sell securities of the Company to the public without registration or pursuant to a registration on Form S-3, the Company agrees to:</w:t>
      </w:r>
    </w:p>
    <w:p>
      <w:pPr>
        <w:sectPr>
          <w:pgSz w:w="11900" w:h="16857" w:orient="portrait"/>
          <w:cols w:equalWidth="0" w:num="1">
            <w:col w:w="11400"/>
          </w:cols>
          <w:pgMar w:left="240" w:top="131" w:right="259" w:bottom="0" w:gutter="0" w:footer="0" w:header="0"/>
        </w:sectPr>
      </w:pPr>
    </w:p>
    <w:bookmarkStart w:id="132" w:name="page133"/>
    <w:bookmarkEnd w:id="132"/>
    <w:p>
      <w:pPr>
        <w:spacing w:after="0" w:line="69" w:lineRule="exact"/>
        <w:rPr>
          <w:sz w:val="20"/>
          <w:szCs w:val="20"/>
          <w:color w:val="auto"/>
        </w:rPr>
      </w:pPr>
    </w:p>
    <w:p>
      <w:pPr>
        <w:jc w:val="both"/>
        <w:ind w:left="540" w:right="140" w:firstLine="359"/>
        <w:spacing w:after="0" w:line="259" w:lineRule="auto"/>
        <w:tabs>
          <w:tab w:leader="none" w:pos="117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promulgated under the Securities Act, at all times after ninety (90) days after the effective date of the first registration statement filed by the Company for the offering of its securities to the general public;</w:t>
      </w:r>
    </w:p>
    <w:p>
      <w:pPr>
        <w:spacing w:after="0" w:line="194" w:lineRule="exact"/>
        <w:rPr>
          <w:rFonts w:ascii="Arial" w:cs="Arial" w:eastAsia="Arial" w:hAnsi="Arial"/>
          <w:sz w:val="18"/>
          <w:szCs w:val="18"/>
          <w:color w:val="auto"/>
        </w:rPr>
      </w:pPr>
    </w:p>
    <w:p>
      <w:pPr>
        <w:ind w:left="1200" w:hanging="301"/>
        <w:spacing w:after="0"/>
        <w:tabs>
          <w:tab w:leader="none" w:pos="12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Securities Act and the Exchange Act;</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9" w:lineRule="exact"/>
        <w:rPr>
          <w:sz w:val="20"/>
          <w:szCs w:val="20"/>
          <w:color w:val="auto"/>
        </w:rPr>
      </w:pPr>
    </w:p>
    <w:p>
      <w:pPr>
        <w:ind w:left="540" w:right="40" w:firstLine="359"/>
        <w:spacing w:after="0" w:line="290" w:lineRule="auto"/>
        <w:tabs>
          <w:tab w:leader="none" w:pos="118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Rule 144 promulgated under the Securities Act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(if the Company is subject to the reporting obligations of the Exchange Act), and (iii) such other information as may be reasonably requested in availing any Holder of any rule or regulation of the SEC which permits the selling of any such securities without registration or pursuant to such form.</w:t>
      </w:r>
    </w:p>
    <w:p>
      <w:pPr>
        <w:spacing w:after="0" w:line="172" w:lineRule="exact"/>
        <w:rPr>
          <w:rFonts w:ascii="Arial" w:cs="Arial" w:eastAsia="Arial" w:hAnsi="Arial"/>
          <w:sz w:val="16"/>
          <w:szCs w:val="16"/>
          <w:color w:val="auto"/>
        </w:rPr>
      </w:pPr>
    </w:p>
    <w:p>
      <w:pPr>
        <w:ind w:right="120" w:firstLine="359"/>
        <w:spacing w:after="0" w:line="255" w:lineRule="auto"/>
        <w:tabs>
          <w:tab w:leader="none" w:pos="746"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Transfer of Registration Rights. </w:t>
      </w:r>
      <w:r>
        <w:rPr>
          <w:rFonts w:ascii="Arial" w:cs="Arial" w:eastAsia="Arial" w:hAnsi="Arial"/>
          <w:sz w:val="18"/>
          <w:szCs w:val="18"/>
          <w:color w:val="auto"/>
        </w:rPr>
        <w:t>The right to cause the Company to register Registrable Securities pursuant to this Agreement may be assigned by a</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(i) a transferee or assignee of Registrable Securities who acquires pursuant to such transfer, not less than 25% of the aggregate number of Registrable Securities originally acquired by Wynn or his designee(s) under the Buy-Sell Agreement (as adjusted for any stock dividends, combinations, splits, recapitalizations and the like), (ii) a subsidiary, parent or other affiliate, member, shareholder, officer, general partner, limited partner or former or retired partner of a Holder, (iii) a Holder's family member, family partnership or trust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benefit of an individual Holder or any family member or (iv) by Wynn to his designee(s) under the Buy-Sell Agreement who acquires some or all of the Aruze Shares pursuant to the Purchase Option;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assignment shall be effective only if (a) the transferee agrees in writing to be bound by and subject to the terms and conditions of this Agreement, including, but not limited to, the provisions of Section 3.1 above, (b) the Company is, within a reasonable time after such transfer, furnished with written notice of the name and address of such transferee or assignee and the securities with respect to which such registration rights are being and (c) such transfer of any Registrable Securities is lawful under all applicable securities laws.</w:t>
      </w:r>
    </w:p>
    <w:p>
      <w:pPr>
        <w:spacing w:after="0" w:line="170" w:lineRule="exact"/>
        <w:rPr>
          <w:sz w:val="20"/>
          <w:szCs w:val="20"/>
          <w:color w:val="auto"/>
        </w:rPr>
      </w:pPr>
    </w:p>
    <w:p>
      <w:pPr>
        <w:jc w:val="both"/>
        <w:ind w:right="60" w:firstLine="359"/>
        <w:spacing w:after="0" w:line="259" w:lineRule="auto"/>
        <w:tabs>
          <w:tab w:leader="none" w:pos="74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Registration Rights. </w:t>
      </w:r>
      <w:r>
        <w:rPr>
          <w:rFonts w:ascii="Arial" w:cs="Arial" w:eastAsia="Arial" w:hAnsi="Arial"/>
          <w:sz w:val="18"/>
          <w:szCs w:val="18"/>
          <w:color w:val="auto"/>
        </w:rPr>
        <w:t>The right of any Holder to request registration or to include Registrable Securities in any registration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terminate one year after the payment in full of the promissory note(s) that Wynn or his designee(s) may use to pay the purchase price for the Aruze Shares pursuant to the Buy-Sell Agreement.</w:t>
      </w:r>
    </w:p>
    <w:p>
      <w:pPr>
        <w:spacing w:after="0" w:line="194" w:lineRule="exact"/>
        <w:rPr>
          <w:rFonts w:ascii="Arial" w:cs="Arial" w:eastAsia="Arial" w:hAnsi="Arial"/>
          <w:sz w:val="18"/>
          <w:szCs w:val="18"/>
          <w:color w:val="auto"/>
        </w:rPr>
      </w:pPr>
    </w:p>
    <w:p>
      <w:pPr>
        <w:jc w:val="both"/>
        <w:ind w:right="120" w:firstLine="359"/>
        <w:spacing w:after="0" w:line="259" w:lineRule="auto"/>
        <w:tabs>
          <w:tab w:leader="none" w:pos="746"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Exercise of Demand Registration Rights. </w:t>
      </w:r>
      <w:r>
        <w:rPr>
          <w:rFonts w:ascii="Arial" w:cs="Arial" w:eastAsia="Arial" w:hAnsi="Arial"/>
          <w:sz w:val="18"/>
          <w:szCs w:val="18"/>
          <w:color w:val="auto"/>
        </w:rPr>
        <w:t>Notwithstanding anything to the contrary contained in this Agreement, a Demand Notice may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2.1 hereof only by Wynn or, if he is deceased, by his spouse or by his estate, on behalf of the Holders of the requisite percentage and market value of Registrable Securities.</w:t>
      </w:r>
    </w:p>
    <w:p>
      <w:pPr>
        <w:spacing w:after="0" w:line="194" w:lineRule="exact"/>
        <w:rPr>
          <w:rFonts w:ascii="Arial" w:cs="Arial" w:eastAsia="Arial" w:hAnsi="Arial"/>
          <w:sz w:val="18"/>
          <w:szCs w:val="18"/>
          <w:color w:val="auto"/>
        </w:rPr>
      </w:pPr>
    </w:p>
    <w:p>
      <w:pPr>
        <w:ind w:left="760" w:hanging="401"/>
        <w:spacing w:after="0"/>
        <w:tabs>
          <w:tab w:leader="none" w:pos="76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540" w:right="80" w:firstLine="351"/>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In the event of a breach by the Company of its obligations under this Agreement, each Holder of Registrable Securities, in addition to being entitled to exercise all rights granted by law, including recovery of damages, will be entitled to specific performance of its rights under this Agreement, subject to Section 5.4 hereof. The Company agrees that monetary damages would not be adequate compensation for any loss incurred by reason of a breach by it of any of the provisions of this Agreement and hereby waives the defense in any action for specific performance that a remedy at law would be adequate.</w:t>
      </w:r>
    </w:p>
    <w:p>
      <w:pPr>
        <w:spacing w:after="0" w:line="197" w:lineRule="exact"/>
        <w:rPr>
          <w:sz w:val="20"/>
          <w:szCs w:val="20"/>
          <w:color w:val="auto"/>
        </w:rPr>
      </w:pPr>
    </w:p>
    <w:p>
      <w:pPr>
        <w:ind w:left="540" w:right="360" w:firstLine="351"/>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xml:space="preserve"> The Company will not on or after the date of this Agreement enter into any agreement with respect to its securities which is inconsistent with or limits or impairs the rights granted to the Holders in this Agreement or otherwise conflicts with the provisions hereof.</w:t>
      </w:r>
    </w:p>
    <w:p>
      <w:pPr>
        <w:spacing w:after="0" w:line="194" w:lineRule="exact"/>
        <w:rPr>
          <w:sz w:val="20"/>
          <w:szCs w:val="20"/>
          <w:color w:val="auto"/>
        </w:rPr>
      </w:pPr>
    </w:p>
    <w:p>
      <w:pPr>
        <w:ind w:left="540" w:right="420" w:firstLine="351"/>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Adjustments Affecting Registrable Securities.</w:t>
      </w:r>
      <w:r>
        <w:rPr>
          <w:rFonts w:ascii="Arial" w:cs="Arial" w:eastAsia="Arial" w:hAnsi="Arial"/>
          <w:sz w:val="18"/>
          <w:szCs w:val="18"/>
          <w:color w:val="auto"/>
        </w:rPr>
        <w:t xml:space="preserve"> The Company will not take any action, or permit any change to occur, with respect to the Registrable Securities which would adversely affect the ability of the Holders of Registrable Securities to include such Registrable Securities in a registration undertaken pursuant to this Agreement.</w:t>
      </w:r>
    </w:p>
    <w:p>
      <w:pPr>
        <w:spacing w:after="0" w:line="194" w:lineRule="exact"/>
        <w:rPr>
          <w:sz w:val="20"/>
          <w:szCs w:val="20"/>
          <w:color w:val="auto"/>
        </w:rPr>
      </w:pPr>
    </w:p>
    <w:p>
      <w:pPr>
        <w:jc w:val="both"/>
        <w:ind w:left="540" w:right="220" w:firstLine="351"/>
        <w:spacing w:after="0" w:line="25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or other communications hereunder shall be in writing and shall be given by (i) personal delivery, (ii) courier or other same day or overnight delivery service which obtains a receipt evidencing delivery, (iii) registered or certified mail (postage prepaid and return receipt requested), or (iv) facsimile or similar electronic device, to such address as may be designated from time to time by the relevant party, and which shall initially be:</w:t>
      </w:r>
    </w:p>
    <w:p>
      <w:pPr>
        <w:sectPr>
          <w:pgSz w:w="11900" w:h="16908" w:orient="portrait"/>
          <w:cols w:equalWidth="0" w:num="1">
            <w:col w:w="11400"/>
          </w:cols>
          <w:pgMar w:left="240" w:top="131" w:right="259" w:bottom="0" w:gutter="0" w:footer="0" w:header="0"/>
        </w:sectPr>
      </w:pPr>
    </w:p>
    <w:p>
      <w:pPr>
        <w:spacing w:after="0" w:line="197"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00" w:lineRule="exact"/>
        <w:rPr>
          <w:sz w:val="20"/>
          <w:szCs w:val="20"/>
          <w:color w:val="auto"/>
        </w:rPr>
      </w:pPr>
    </w:p>
    <w:p>
      <w:pPr>
        <w:sectPr>
          <w:pgSz w:w="11900" w:h="16908" w:orient="portrait"/>
          <w:cols w:equalWidth="0" w:num="2">
            <w:col w:w="4000" w:space="720"/>
            <w:col w:w="6680"/>
          </w:cols>
          <w:pgMar w:left="240" w:top="131" w:right="259" w:bottom="0" w:gutter="0" w:footer="0" w:header="0"/>
          <w:type w:val="continuous"/>
        </w:sectPr>
      </w:pPr>
    </w:p>
    <w:p>
      <w:pPr>
        <w:spacing w:after="0" w:line="19"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Wynn: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pacing w:after="0" w:line="200" w:lineRule="exact"/>
        <w:rPr>
          <w:sz w:val="20"/>
          <w:szCs w:val="20"/>
          <w:color w:val="auto"/>
        </w:rPr>
      </w:pPr>
    </w:p>
    <w:p>
      <w:pPr>
        <w:sectPr>
          <w:pgSz w:w="11900" w:h="16908" w:orient="portrait"/>
          <w:cols w:equalWidth="0" w:num="2">
            <w:col w:w="4000" w:space="720"/>
            <w:col w:w="6680"/>
          </w:cols>
          <w:pgMar w:left="240" w:top="131" w:right="259" w:bottom="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0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right="160" w:firstLine="341"/>
        <w:spacing w:after="0" w:line="370" w:lineRule="auto"/>
        <w:rPr>
          <w:sz w:val="20"/>
          <w:szCs w:val="20"/>
          <w:color w:val="auto"/>
        </w:rPr>
      </w:pPr>
      <w:r>
        <w:rPr>
          <w:rFonts w:ascii="Arial" w:cs="Arial" w:eastAsia="Arial" w:hAnsi="Arial"/>
          <w:sz w:val="15"/>
          <w:szCs w:val="15"/>
          <w:color w:val="auto"/>
        </w:rPr>
        <w:t>All notices and other communications shall be deemed to have been given (i) if delivered by the United States mail, three business days after mailing (five business days if delivered to an address outside of the United States), (ii) if delivered by a courier or other delivery service, one business day after dispatch (two</w:t>
      </w:r>
    </w:p>
    <w:p>
      <w:pPr>
        <w:sectPr>
          <w:pgSz w:w="11900" w:h="16908" w:orient="portrait"/>
          <w:cols w:equalWidth="0" w:num="1">
            <w:col w:w="11400"/>
          </w:cols>
          <w:pgMar w:left="240" w:top="131" w:right="259" w:bottom="0" w:gutter="0" w:footer="0" w:header="0"/>
          <w:type w:val="continuous"/>
        </w:sectPr>
      </w:pPr>
    </w:p>
    <w:bookmarkStart w:id="133" w:name="page134"/>
    <w:bookmarkEnd w:id="133"/>
    <w:p>
      <w:pPr>
        <w:ind w:right="100"/>
        <w:spacing w:after="0" w:line="256" w:lineRule="auto"/>
        <w:rPr>
          <w:sz w:val="20"/>
          <w:szCs w:val="20"/>
          <w:color w:val="auto"/>
        </w:rPr>
      </w:pPr>
      <w:r>
        <w:rPr>
          <w:rFonts w:ascii="Arial" w:cs="Arial" w:eastAsia="Arial" w:hAnsi="Arial"/>
          <w:sz w:val="18"/>
          <w:szCs w:val="18"/>
          <w:color w:val="auto"/>
        </w:rPr>
        <w:t>business days if delivered to an address outside of the United States), and (iii) if personally delivered or sent by facsimile or similar electronic device, upon receipt by the recipient or its agent or employee (which, in the case of a notice sent by facsimile or similar electronic device, shall be the time and date indicated on the transmission confirmation receipt). No objection may be made by a party to the manner of delivery of any notice actually received in writing by an authorized agent of such party.</w:t>
      </w:r>
    </w:p>
    <w:p>
      <w:pPr>
        <w:spacing w:after="0" w:line="197" w:lineRule="exact"/>
        <w:rPr>
          <w:sz w:val="20"/>
          <w:szCs w:val="20"/>
          <w:color w:val="auto"/>
        </w:rPr>
      </w:pPr>
    </w:p>
    <w:p>
      <w:pPr>
        <w:ind w:left="540" w:right="280" w:firstLine="351"/>
        <w:spacing w:after="0" w:line="298"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i w:val="1"/>
          <w:iCs w:val="1"/>
          <w:color w:val="auto"/>
        </w:rPr>
        <w:t>Complete Agreement; Modifications.</w:t>
      </w:r>
      <w:r>
        <w:rPr>
          <w:rFonts w:ascii="Arial" w:cs="Arial" w:eastAsia="Arial" w:hAnsi="Arial"/>
          <w:sz w:val="16"/>
          <w:szCs w:val="16"/>
          <w:color w:val="auto"/>
        </w:rPr>
        <w:t xml:space="preserve"> This Agreement and any documents referred to herein or executed contemporaneously herewith constitute the Parties' entire agreement with respect to the subject matter hereof and supersede all agreements, representations, warranties, statements, promises and understandings, whether oral or written, with respect to the subject matter hereof. This Agreement may be amended, altered or modified only by a writing signed by the Company and Holders of a majority of the Registrable Securities then held by all Holders.</w:t>
      </w:r>
    </w:p>
    <w:p>
      <w:pPr>
        <w:spacing w:after="0" w:line="167" w:lineRule="exact"/>
        <w:rPr>
          <w:sz w:val="20"/>
          <w:szCs w:val="20"/>
          <w:color w:val="auto"/>
        </w:rPr>
      </w:pPr>
    </w:p>
    <w:p>
      <w:pPr>
        <w:jc w:val="both"/>
        <w:ind w:left="540" w:firstLine="351"/>
        <w:spacing w:after="0" w:line="306"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i w:val="1"/>
          <w:iCs w:val="1"/>
          <w:color w:val="auto"/>
        </w:rPr>
        <w:t>Calculation of Registrable Securities.</w:t>
      </w:r>
      <w:r>
        <w:rPr>
          <w:rFonts w:ascii="Arial" w:cs="Arial" w:eastAsia="Arial" w:hAnsi="Arial"/>
          <w:sz w:val="16"/>
          <w:szCs w:val="16"/>
          <w:color w:val="auto"/>
        </w:rPr>
        <w:t xml:space="preserve"> For the purposes of this Agreement, if the Aruze Shares consist of common stock and another class of securities convertible into common stock, then the calculation of the number of Registrable Securities shall include any shares of common stock acquired or which may be acquired by the Holders upon conversion of any such convertible securities comprising Aruze Shares.</w:t>
      </w:r>
    </w:p>
    <w:p>
      <w:pPr>
        <w:spacing w:after="0" w:line="161" w:lineRule="exact"/>
        <w:rPr>
          <w:sz w:val="20"/>
          <w:szCs w:val="20"/>
          <w:color w:val="auto"/>
        </w:rPr>
      </w:pPr>
    </w:p>
    <w:p>
      <w:pPr>
        <w:ind w:left="540" w:right="360" w:firstLine="351"/>
        <w:spacing w:after="0" w:line="306"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Except as provided herein to the contrary, this Agreement shall be binding upon and inure to the benefit of the Parties, their respective successors and permitted assigns, including, without limitation and without the need for an express assignment, subsequent Holders of Registrable Securities who are assigned registration rights pursuant to Section 10 hereof.</w:t>
      </w:r>
    </w:p>
    <w:p>
      <w:pPr>
        <w:spacing w:after="0" w:line="161" w:lineRule="exact"/>
        <w:rPr>
          <w:sz w:val="20"/>
          <w:szCs w:val="20"/>
          <w:color w:val="auto"/>
        </w:rPr>
      </w:pPr>
    </w:p>
    <w:p>
      <w:pPr>
        <w:ind w:left="540" w:right="120" w:firstLine="351"/>
        <w:spacing w:after="0" w:line="26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in accordance with the laws of the State of Nevada, without regard to the choice of law provisions thereof.</w:t>
      </w:r>
    </w:p>
    <w:p>
      <w:pPr>
        <w:spacing w:after="0" w:line="186" w:lineRule="exact"/>
        <w:rPr>
          <w:sz w:val="20"/>
          <w:szCs w:val="20"/>
          <w:color w:val="auto"/>
        </w:rPr>
      </w:pPr>
    </w:p>
    <w:p>
      <w:pPr>
        <w:ind w:left="540" w:right="20" w:firstLine="351"/>
        <w:spacing w:after="0" w:line="256"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i w:val="1"/>
          <w:iCs w:val="1"/>
          <w:color w:val="auto"/>
        </w:rPr>
        <w:t>Attorneys' Fees.</w:t>
      </w:r>
      <w:r>
        <w:rPr>
          <w:rFonts w:ascii="Arial" w:cs="Arial" w:eastAsia="Arial" w:hAnsi="Arial"/>
          <w:sz w:val="18"/>
          <w:szCs w:val="18"/>
          <w:color w:val="auto"/>
        </w:rPr>
        <w:t xml:space="preserve"> Should any litigation be commenced (including any proceedings in a bankruptcy court) between the Parties or their representatives concerning any provision of this Agreement or the rights and duties of any Person or entity hereunder, the party or parties prevailing in such proceeding shall be entitled, in addition to such other relief as may be granted, to the reasonable attorneys' fees and court costs incurred by reason of such litigation.</w:t>
      </w:r>
    </w:p>
    <w:p>
      <w:pPr>
        <w:spacing w:after="0" w:line="197"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Article and Section headings in this Agreement are inserted only as a matter of convenience, and in no way define, limit, extend or interpret the scope of this Agreement or of any particular Article or Section.</w:t>
      </w:r>
    </w:p>
    <w:p>
      <w:pPr>
        <w:spacing w:after="0" w:line="186"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this Agreement is held to be illegal, invalid or unenforceable, such provision shall be fully severable, and this Agreement shall be construed and enforced as if such illegal, invalid or unenforceable provision had never comprised a part of this Agreement; furthermore, the remaining provisions of this Agreement shall remain in full force and effect, and, in place of such illegal, invalid or unenforceable provision, there automatically shall be added as a part of this Agreement a provision as similar to such illegal, invalid or unenforceable provision as may be possible and be legal, valid and enforceable.</w:t>
      </w:r>
    </w:p>
    <w:p>
      <w:pPr>
        <w:spacing w:after="0" w:line="197" w:lineRule="exact"/>
        <w:rPr>
          <w:sz w:val="20"/>
          <w:szCs w:val="20"/>
          <w:color w:val="auto"/>
        </w:rPr>
      </w:pPr>
    </w:p>
    <w:p>
      <w:pPr>
        <w:ind w:left="540" w:right="280" w:firstLine="351"/>
        <w:spacing w:after="0" w:line="268"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i w:val="1"/>
          <w:iCs w:val="1"/>
          <w:color w:val="auto"/>
        </w:rPr>
        <w:t>Gender.</w:t>
      </w:r>
      <w:r>
        <w:rPr>
          <w:rFonts w:ascii="Arial" w:cs="Arial" w:eastAsia="Arial" w:hAnsi="Arial"/>
          <w:sz w:val="18"/>
          <w:szCs w:val="18"/>
          <w:color w:val="auto"/>
        </w:rPr>
        <w:t xml:space="preserve"> Throughout this Agreement, as the context may require, the masculine gender includes the feminine and neuter; and the neuter gender includes the masculine and feminine.</w:t>
      </w:r>
    </w:p>
    <w:p>
      <w:pPr>
        <w:spacing w:after="0" w:line="186" w:lineRule="exact"/>
        <w:rPr>
          <w:sz w:val="20"/>
          <w:szCs w:val="20"/>
          <w:color w:val="auto"/>
        </w:rPr>
      </w:pPr>
    </w:p>
    <w:p>
      <w:pPr>
        <w:ind w:left="540" w:right="140" w:firstLine="351"/>
        <w:spacing w:after="0" w:line="332" w:lineRule="auto"/>
        <w:rPr>
          <w:sz w:val="20"/>
          <w:szCs w:val="20"/>
          <w:color w:val="auto"/>
        </w:rPr>
      </w:pPr>
      <w:r>
        <w:rPr>
          <w:rFonts w:ascii="Arial" w:cs="Arial" w:eastAsia="Arial" w:hAnsi="Arial"/>
          <w:sz w:val="16"/>
          <w:szCs w:val="16"/>
          <w:color w:val="auto"/>
        </w:rPr>
        <w:t xml:space="preserve">13.13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any number of counterparts and by the Parties in separate counterparts, each of which when so executed shall be deemed to be an original and all of which taken together shall constitute one and the same agreement.</w:t>
      </w:r>
    </w:p>
    <w:p>
      <w:pPr>
        <w:spacing w:after="0" w:line="13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SIGNATURE PAGE TO REGISTRATION RIGHTS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as of the date first set forth hereinabove.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Stephen A. Wynn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ectPr>
          <w:pgSz w:w="11900" w:h="16838" w:orient="portrait"/>
          <w:cols w:equalWidth="0" w:num="1">
            <w:col w:w="11360"/>
          </w:cols>
          <w:pgMar w:left="240" w:top="131" w:right="299" w:bottom="535" w:gutter="0" w:footer="0" w:header="0"/>
        </w:sectPr>
      </w:pP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FORM OF REGISTRATION RIGHTS AGREEMENT</w:t>
        </w:r>
      </w:hyperlink>
    </w:p>
    <w:p>
      <w:pPr>
        <w:sectPr>
          <w:pgSz w:w="11900" w:h="16838" w:orient="portrait"/>
          <w:cols w:equalWidth="0" w:num="1">
            <w:col w:w="11360"/>
          </w:cols>
          <w:pgMar w:left="240" w:top="131" w:right="299" w:bottom="535" w:gutter="0" w:footer="0" w:header="0"/>
          <w:type w:val="continuous"/>
        </w:sectPr>
      </w:pPr>
    </w:p>
    <w:bookmarkStart w:id="134" w:name="page135"/>
    <w:bookmarkEnd w:id="134"/>
    <w:p>
      <w:pPr>
        <w:spacing w:after="0" w:line="74" w:lineRule="exact"/>
        <w:rPr>
          <w:sz w:val="20"/>
          <w:szCs w:val="20"/>
          <w:color w:val="auto"/>
        </w:rPr>
      </w:pPr>
    </w:p>
    <w:p>
      <w:pPr>
        <w:spacing w:after="0"/>
        <w:rPr>
          <w:rFonts w:ascii="Arial" w:cs="Arial" w:eastAsia="Arial" w:hAnsi="Arial"/>
          <w:sz w:val="22"/>
          <w:szCs w:val="22"/>
          <w:color w:val="0000EE"/>
        </w:rPr>
      </w:pPr>
      <w:hyperlink w:anchor="page1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ind w:left="10420"/>
        <w:spacing w:after="0"/>
        <w:rPr>
          <w:sz w:val="20"/>
          <w:szCs w:val="20"/>
          <w:color w:val="auto"/>
        </w:rPr>
      </w:pPr>
      <w:r>
        <w:rPr>
          <w:rFonts w:ascii="Arial" w:cs="Arial" w:eastAsia="Arial" w:hAnsi="Arial"/>
          <w:sz w:val="16"/>
          <w:szCs w:val="16"/>
          <w:b w:val="1"/>
          <w:bCs w:val="1"/>
          <w:color w:val="auto"/>
        </w:rPr>
        <w:t>Exhibit 10.64</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MANAGEMENT AGREEMENT</w:t>
      </w:r>
    </w:p>
    <w:p>
      <w:pPr>
        <w:spacing w:after="0" w:line="231" w:lineRule="exact"/>
        <w:rPr>
          <w:sz w:val="20"/>
          <w:szCs w:val="20"/>
          <w:color w:val="auto"/>
        </w:rPr>
      </w:pPr>
    </w:p>
    <w:p>
      <w:pPr>
        <w:ind w:left="360"/>
        <w:spacing w:after="0"/>
        <w:tabs>
          <w:tab w:leader="none" w:pos="6560" w:val="left"/>
        </w:tabs>
        <w:rPr>
          <w:sz w:val="20"/>
          <w:szCs w:val="20"/>
          <w:color w:val="auto"/>
        </w:rPr>
      </w:pPr>
      <w:r>
        <w:rPr>
          <w:rFonts w:ascii="Arial" w:cs="Arial" w:eastAsia="Arial" w:hAnsi="Arial"/>
          <w:sz w:val="18"/>
          <w:szCs w:val="18"/>
          <w:color w:val="auto"/>
        </w:rPr>
        <w:t>THIS MANAGEMENT AGREEMENT (this "Agreement") is made as of</w:t>
      </w:r>
      <w:r>
        <w:rPr>
          <w:sz w:val="20"/>
          <w:szCs w:val="20"/>
          <w:color w:val="auto"/>
        </w:rPr>
        <w:tab/>
      </w:r>
      <w:r>
        <w:rPr>
          <w:rFonts w:ascii="Arial" w:cs="Arial" w:eastAsia="Arial" w:hAnsi="Arial"/>
          <w:sz w:val="15"/>
          <w:szCs w:val="15"/>
          <w:color w:val="auto"/>
        </w:rPr>
        <w:t>, 2002, by and among Wynn Las Vegas, LLC, a Nevada limited</w:t>
      </w:r>
    </w:p>
    <w:p>
      <w:pPr>
        <w:spacing w:after="0" w:line="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liability company (the "Company") and its subsidiaries and affiliates listed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hereto (and together with the Company, the "Wynn Entities"), and Wynn Resorts, Limited, a Nevada corporation (the "Manager") with reference to the following:</w:t>
      </w:r>
    </w:p>
    <w:p>
      <w:pPr>
        <w:spacing w:after="0" w:line="192" w:lineRule="exact"/>
        <w:rPr>
          <w:sz w:val="20"/>
          <w:szCs w:val="20"/>
          <w:color w:val="auto"/>
        </w:rPr>
      </w:pPr>
    </w:p>
    <w:p>
      <w:pPr>
        <w:jc w:val="both"/>
        <w:ind w:right="180" w:firstLine="348"/>
        <w:spacing w:after="0" w:line="370" w:lineRule="auto"/>
        <w:rPr>
          <w:sz w:val="20"/>
          <w:szCs w:val="20"/>
          <w:color w:val="auto"/>
        </w:rPr>
      </w:pPr>
      <w:r>
        <w:rPr>
          <w:rFonts w:ascii="Arial" w:cs="Arial" w:eastAsia="Arial" w:hAnsi="Arial"/>
          <w:sz w:val="15"/>
          <w:szCs w:val="15"/>
          <w:color w:val="auto"/>
        </w:rPr>
        <w:t>WHEREAS, the Company together with the Wynn Entities propose to develop, construct and operate the Le Rêve Casino Resort, a hotel and casino resort, with related parking structure and golf course facilities, as part of the redevelopment of the site of the former Desert Inn in Las Vegas, Nevada (the "Business");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other Wynn Entities will lease property and/or provide services to the Company in connection with the Business; and</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WHEREAS, the Company and the Wynn Entities desire to engage the Manager to provide the management and advisory services for the Business and the Manager desires to accept such engagement to provide such services, all upon the terms and conditions hereinafter set forth.</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86" w:lineRule="exact"/>
        <w:rPr>
          <w:sz w:val="20"/>
          <w:szCs w:val="20"/>
          <w:color w:val="auto"/>
        </w:rPr>
      </w:pPr>
    </w:p>
    <w:p>
      <w:pPr>
        <w:ind w:right="240" w:firstLine="359"/>
        <w:spacing w:after="0" w:line="259" w:lineRule="auto"/>
        <w:tabs>
          <w:tab w:leader="none" w:pos="658"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 xml:space="preserve">Retention of the Manager. </w:t>
      </w:r>
      <w:r>
        <w:rPr>
          <w:rFonts w:ascii="Arial" w:cs="Arial" w:eastAsia="Arial" w:hAnsi="Arial"/>
          <w:sz w:val="18"/>
          <w:szCs w:val="18"/>
          <w:color w:val="auto"/>
        </w:rPr>
        <w:t>The Company and each of the Wynn Entities hereby appoints the Manager as manager for the Business, and the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hereby agrees to provide the management and advisory services described herein for the Business, in accordance with the terms and subject to the conditions hereinafter set forth.</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Services to be Provided by the Manager.</w:t>
      </w:r>
    </w:p>
    <w:p>
      <w:pPr>
        <w:spacing w:after="0" w:line="225" w:lineRule="exact"/>
        <w:rPr>
          <w:rFonts w:ascii="Arial" w:cs="Arial" w:eastAsia="Arial" w:hAnsi="Arial"/>
          <w:sz w:val="18"/>
          <w:szCs w:val="18"/>
          <w:color w:val="auto"/>
        </w:rPr>
      </w:pPr>
    </w:p>
    <w:p>
      <w:pPr>
        <w:ind w:left="540" w:right="100" w:firstLine="359"/>
        <w:spacing w:after="0" w:line="259" w:lineRule="auto"/>
        <w:tabs>
          <w:tab w:leader="none" w:pos="117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 accordance with the terms and subject to the conditions hereof, the Manager agrees to provide the following management and advisory services (together with services necessary or incidental thereto, "Management Services") to the Wynn Entities on an ongoing basis in connection with the ownership and operation of the Business by the Wynn Entities during the term of this Agreement.</w:t>
      </w:r>
    </w:p>
    <w:p>
      <w:pPr>
        <w:spacing w:after="0" w:line="194" w:lineRule="exact"/>
        <w:rPr>
          <w:rFonts w:ascii="Arial" w:cs="Arial" w:eastAsia="Arial" w:hAnsi="Arial"/>
          <w:sz w:val="18"/>
          <w:szCs w:val="18"/>
          <w:color w:val="auto"/>
        </w:rPr>
      </w:pPr>
    </w:p>
    <w:p>
      <w:pPr>
        <w:ind w:left="540" w:right="700" w:firstLine="359"/>
        <w:spacing w:after="0" w:line="268" w:lineRule="auto"/>
        <w:tabs>
          <w:tab w:leader="none" w:pos="1181"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Manager shall provide customary management and advisory services with respect to the operation of the Business, to consist of the following necessary or incidental thereto:</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advice concerning the hiring, termination, performance and training of personnel;</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review, consultation and advice concerning personnel, operations, and other management and operating policies and procedures;</w:t>
      </w:r>
    </w:p>
    <w:p>
      <w:pPr>
        <w:spacing w:after="0" w:line="248" w:lineRule="exact"/>
        <w:rPr>
          <w:rFonts w:ascii="Arial" w:cs="Arial" w:eastAsia="Arial" w:hAnsi="Arial"/>
          <w:sz w:val="16"/>
          <w:szCs w:val="16"/>
          <w:color w:val="auto"/>
        </w:rPr>
      </w:pPr>
    </w:p>
    <w:p>
      <w:pPr>
        <w:ind w:left="1080" w:right="360" w:firstLine="360"/>
        <w:spacing w:after="0" w:line="259" w:lineRule="auto"/>
        <w:tabs>
          <w:tab w:leader="none" w:pos="178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recommendations on all necessary action to keep the operation of the Business in compliance, in all material respects, with the conditions of all licenses (including gaming licenses) and all applicable rules, regulations and orders of any federal, state, county or municipal authority having jurisdiction over the Business;</w:t>
      </w:r>
    </w:p>
    <w:p>
      <w:pPr>
        <w:spacing w:after="0" w:line="194" w:lineRule="exact"/>
        <w:rPr>
          <w:rFonts w:ascii="Arial" w:cs="Arial" w:eastAsia="Arial" w:hAnsi="Arial"/>
          <w:sz w:val="18"/>
          <w:szCs w:val="18"/>
          <w:color w:val="auto"/>
        </w:rPr>
      </w:pPr>
    </w:p>
    <w:p>
      <w:pPr>
        <w:ind w:left="1780" w:hanging="340"/>
        <w:spacing w:after="0"/>
        <w:tabs>
          <w:tab w:leader="none" w:pos="1780" w:val="left"/>
        </w:tabs>
        <w:numPr>
          <w:ilvl w:val="2"/>
          <w:numId w:val="186"/>
        </w:numPr>
        <w:rPr>
          <w:rFonts w:ascii="Arial" w:cs="Arial" w:eastAsia="Arial" w:hAnsi="Arial"/>
          <w:sz w:val="16"/>
          <w:szCs w:val="16"/>
          <w:color w:val="auto"/>
        </w:rPr>
      </w:pPr>
      <w:r>
        <w:rPr>
          <w:rFonts w:ascii="Arial" w:cs="Arial" w:eastAsia="Arial" w:hAnsi="Arial"/>
          <w:sz w:val="16"/>
          <w:szCs w:val="16"/>
          <w:color w:val="auto"/>
        </w:rPr>
        <w:t>development of recommendations for, and negotiate the acquisition and maintenance of, insurance coverage with respect to the</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8" w:lineRule="exact"/>
        <w:rPr>
          <w:rFonts w:ascii="Arial" w:cs="Arial" w:eastAsia="Arial" w:hAnsi="Arial"/>
          <w:sz w:val="16"/>
          <w:szCs w:val="16"/>
          <w:color w:val="auto"/>
        </w:rPr>
      </w:pPr>
    </w:p>
    <w:p>
      <w:pPr>
        <w:ind w:left="1740" w:hanging="300"/>
        <w:spacing w:after="0"/>
        <w:tabs>
          <w:tab w:leader="none" w:pos="174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guidance on all marketing, sales promotions and advertising for the Business;</w:t>
      </w:r>
    </w:p>
    <w:p>
      <w:pPr>
        <w:spacing w:after="0" w:line="225" w:lineRule="exact"/>
        <w:rPr>
          <w:rFonts w:ascii="Arial" w:cs="Arial" w:eastAsia="Arial" w:hAnsi="Arial"/>
          <w:sz w:val="18"/>
          <w:szCs w:val="18"/>
          <w:color w:val="auto"/>
        </w:rPr>
      </w:pPr>
    </w:p>
    <w:p>
      <w:pPr>
        <w:ind w:left="1080" w:right="60" w:firstLine="360"/>
        <w:spacing w:after="0" w:line="268" w:lineRule="auto"/>
        <w:tabs>
          <w:tab w:leader="none" w:pos="177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assistance in the financial budgeting process and the implementation of appropriate accounting, financial, administrative and managerial controls for the Business;</w:t>
      </w:r>
    </w:p>
    <w:p>
      <w:pPr>
        <w:spacing w:after="0" w:line="185" w:lineRule="exact"/>
        <w:rPr>
          <w:rFonts w:ascii="Arial" w:cs="Arial" w:eastAsia="Arial" w:hAnsi="Arial"/>
          <w:sz w:val="18"/>
          <w:szCs w:val="18"/>
          <w:color w:val="auto"/>
        </w:rPr>
      </w:pPr>
    </w:p>
    <w:p>
      <w:pPr>
        <w:ind w:left="1080" w:right="440" w:firstLine="360"/>
        <w:spacing w:after="0" w:line="268" w:lineRule="auto"/>
        <w:tabs>
          <w:tab w:leader="none" w:pos="177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preparation for use by the Wynn Entities of financial reports and maintenance of books of accounts and other records reflecting the results of operation of Business (which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all times shall be maintained in a manner which permits the assets and liabilities of the Wynn Entities to be separately identified from those of the Manager); and</w:t>
      </w:r>
    </w:p>
    <w:p>
      <w:pPr>
        <w:spacing w:after="0" w:line="186" w:lineRule="exact"/>
        <w:rPr>
          <w:sz w:val="20"/>
          <w:szCs w:val="20"/>
          <w:color w:val="auto"/>
        </w:rPr>
      </w:pPr>
    </w:p>
    <w:p>
      <w:pPr>
        <w:ind w:left="1080" w:right="440" w:firstLine="351"/>
        <w:spacing w:after="0" w:line="332" w:lineRule="auto"/>
        <w:rPr>
          <w:sz w:val="20"/>
          <w:szCs w:val="20"/>
          <w:color w:val="auto"/>
        </w:rPr>
      </w:pPr>
      <w:r>
        <w:rPr>
          <w:rFonts w:ascii="Arial" w:cs="Arial" w:eastAsia="Arial" w:hAnsi="Arial"/>
          <w:sz w:val="16"/>
          <w:szCs w:val="16"/>
          <w:color w:val="auto"/>
        </w:rPr>
        <w:t>(viii)advice and consultation with the Wynn Entities in connection with any and all aspects of the Business and the day to day operation thereof, and consultation with the Wynn Entities with respect to the selection of attorneys, consultants and accountants.</w:t>
      </w:r>
    </w:p>
    <w:p>
      <w:pPr>
        <w:spacing w:after="0" w:line="139" w:lineRule="exact"/>
        <w:rPr>
          <w:sz w:val="20"/>
          <w:szCs w:val="20"/>
          <w:color w:val="auto"/>
        </w:rPr>
      </w:pPr>
    </w:p>
    <w:p>
      <w:pPr>
        <w:ind w:left="660" w:hanging="301"/>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Management Fees; Expenses.</w:t>
      </w:r>
    </w:p>
    <w:p>
      <w:pPr>
        <w:spacing w:after="0" w:line="225" w:lineRule="exact"/>
        <w:rPr>
          <w:rFonts w:ascii="Arial" w:cs="Arial" w:eastAsia="Arial" w:hAnsi="Arial"/>
          <w:sz w:val="18"/>
          <w:szCs w:val="18"/>
          <w:color w:val="auto"/>
        </w:rPr>
      </w:pPr>
    </w:p>
    <w:p>
      <w:pPr>
        <w:ind w:left="540" w:right="80" w:firstLine="359"/>
        <w:spacing w:after="0" w:line="307" w:lineRule="auto"/>
        <w:tabs>
          <w:tab w:leader="none" w:pos="1164" w:val="left"/>
        </w:tabs>
        <w:numPr>
          <w:ilvl w:val="1"/>
          <w:numId w:val="187"/>
        </w:numPr>
        <w:rPr>
          <w:rFonts w:ascii="Arial" w:cs="Arial" w:eastAsia="Arial" w:hAnsi="Arial"/>
          <w:sz w:val="15"/>
          <w:szCs w:val="15"/>
          <w:color w:val="auto"/>
        </w:rPr>
      </w:pPr>
      <w:r>
        <w:rPr>
          <w:rFonts w:ascii="Arial" w:cs="Arial" w:eastAsia="Arial" w:hAnsi="Arial"/>
          <w:sz w:val="15"/>
          <w:szCs w:val="15"/>
          <w:color w:val="auto"/>
        </w:rPr>
        <w:t>All expenses, costs, losses, liabilities or damages incurred with respect to the ownership or operation of the Business, including, without limitation, wages, salaries and other labor costs incurred in the construction, maintenance, expansion or operation of the Business, or personnel working on special projects or services for the Wynn Entities, will be paid by the Company. To the extent that the Manager pays or incurs any obligation for any such expenses, costs, losses, liabilities or damages, the Company, subject to the limitations set forth in Section 5, will pay or reimburse the Manager therefor, as well as for any reasonable out-of-pocket expenses incurred by the Manager in the performance of its obligations under this Agreement (provided, however, that (a) in no event shall any such payments include any fee, profit or similar component benefiting the Manager, it being understood and agreed that such payments instead are intended to reimburse only actual costs and expenses, and (b) in no event shall such payments include amounts characterized as "Affiliated Overhead Expenses" under the terms of the Bank Credit Agreement (as hereinafter defined)). Subject to the payment priority provisions of this Section 3, the Company agrees to pay the Manager, as the Manager's compensation for the services to be rendered hereunder, a yearly management fee (the "Management Fee") equal to one and one-half percent (1.5%) of the "Net Revenues" (as determined in accordance with generally accepted accounting principles as applicable to companies in the gaming business) of the Company, payable semi-annually in arrears. Accrual of such</w:t>
      </w:r>
    </w:p>
    <w:p>
      <w:pPr>
        <w:sectPr>
          <w:pgSz w:w="11900" w:h="16912" w:orient="portrait"/>
          <w:cols w:equalWidth="0" w:num="1">
            <w:col w:w="11420"/>
          </w:cols>
          <w:pgMar w:left="240" w:top="361" w:right="239" w:bottom="0" w:gutter="0" w:footer="0" w:header="0"/>
        </w:sectPr>
      </w:pPr>
    </w:p>
    <w:bookmarkStart w:id="135" w:name="page136"/>
    <w:bookmarkEnd w:id="135"/>
    <w:p>
      <w:pPr>
        <w:ind w:left="540"/>
        <w:spacing w:after="0" w:line="255" w:lineRule="auto"/>
        <w:rPr>
          <w:sz w:val="20"/>
          <w:szCs w:val="20"/>
          <w:color w:val="auto"/>
        </w:rPr>
      </w:pPr>
      <w:r>
        <w:rPr>
          <w:rFonts w:ascii="Arial" w:cs="Arial" w:eastAsia="Arial" w:hAnsi="Arial"/>
          <w:sz w:val="18"/>
          <w:szCs w:val="18"/>
          <w:color w:val="auto"/>
        </w:rPr>
        <w:t>Management Fee shall commence upon "Opening Date" (as defined in the Bank Credit Agreement defined below). For so long as there is any outstanding indebtedness under the Second Mortgage Notes Indenture (as hereinafter defined), the semi-annual accrual periods shall be set to match the semi-annual interest accrual periods under the Second Mortgage Notes Indenture, and the payment date with respect to any such accrued Management Fees shall be the tenth (10th) Business Day after the date established under the Second Mortgage Notes Indenture for payment of accrued interest with respect to such semi-annual period.</w:t>
      </w:r>
    </w:p>
    <w:p>
      <w:pPr>
        <w:spacing w:after="0" w:line="197" w:lineRule="exact"/>
        <w:rPr>
          <w:sz w:val="20"/>
          <w:szCs w:val="20"/>
          <w:color w:val="auto"/>
        </w:rPr>
      </w:pPr>
    </w:p>
    <w:p>
      <w:pPr>
        <w:ind w:left="540" w:right="60" w:firstLine="359"/>
        <w:spacing w:after="0" w:line="287" w:lineRule="auto"/>
        <w:tabs>
          <w:tab w:leader="none" w:pos="118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parties acknowledge and agree that the payment of the Management Fee is subject to a Management Fees Subordination Agreement of even date herewith (the "Subordination Agreement") by and among the Manager, the Company, Deutsche Bank Trust Company Americas, as "Administrative Agent" under the Bank Credit Agreement (as hereinafter defined), Wells Fargo Bank Nevada, National Association, as Collateral Agent under the "FF&amp;E Credit Agreement" (as hereinafter defined) and Deutsche Bank Trust Company Americas, as Trustee under the Second Mortgage Notes Indenture. The parties further agree that the Management Fee due and payable as provided in this Section 3 shall not be paid at any time that such payment is not then permitted under the Bank Credit Agreement, the FF&amp;E Credit Agreement or the Second Mortgage Notes Indenture (each as defined below). In the event any Management Fee is unpaid as a consequence of the provisions of this Section 3, the Manager nonetheless shall continue to perform hereunder and any such unpaid amounts shall be accrued as a liability of the Company and shall be payable as soon as the conditions to payment are fulfilled. The deferred portion of the Management Fees will bear interest at the rate of ten percent (10%) per annum, compounded annually, from the date otherwise due and payable until the payment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359"/>
        <w:spacing w:after="0" w:line="286" w:lineRule="auto"/>
        <w:tabs>
          <w:tab w:leader="none" w:pos="117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For purposes of this Agreement, (i)"Bank Credit Agreement" means the Credit Agreement of even date herewith by and among the Company, Deutsche Bank Trust Company Americas, as administrative agent ("Administrative Agent"), Deutsche Bank Securities, Inc., as advisor, lead arranger and joint book running manager, Banc of America Securities LLC, as advisor, lead arranger, joint book running manager and syndication agent, Bear, Stearns &amp; Co. Inc., as advisor, arranger and joint book running manager, Bear Stearns Corporate Lending Inc., as joint documentation agent, Dresdner Bank AG, New York Branch, as arranger and joint documentation agent, J. P. Morgan Securities Inc., as joint documentation agent, and the lenders party thereto, as amended, restated, supplemented or otherwise modified from time to time, (ii)"FF&amp;E Credit Agreement" means that certain Credit Agreement of even date herewith by and among the Company, Wells Fargo Bank Nevada, National Association, as Collateral Agent, and the lenders party thereto, (iii)"Second Mortgage Notes Indenture" means the Second Mortgage Notes Indenture, of even date herewith by and among the Company, Wynn Las Vegas Capital Corp., a Nevada corporation, Wells Fargo Bank National Association, as trustee (the "Trustee"), and the guarantors signatory thereto, as amended, restated, supplemented or otherwise modified from time to time, and (iv)"Senior Debt" means all amounts and obligations from time to time owing or outstanding under the Bank Credit Agreement, the FF&amp;E Credit Agreement and/or the Second Mortgage Notes Indenture and the notes issued pursuant thereto, including interest thereon at the rates set forth therein.</w:t>
      </w:r>
    </w:p>
    <w:p>
      <w:pPr>
        <w:spacing w:after="0" w:line="178" w:lineRule="exact"/>
        <w:rPr>
          <w:rFonts w:ascii="Arial" w:cs="Arial" w:eastAsia="Arial" w:hAnsi="Arial"/>
          <w:sz w:val="16"/>
          <w:szCs w:val="16"/>
          <w:color w:val="auto"/>
        </w:rPr>
      </w:pPr>
    </w:p>
    <w:p>
      <w:pPr>
        <w:ind w:left="540" w:right="40" w:firstLine="359"/>
        <w:spacing w:after="0" w:line="298" w:lineRule="auto"/>
        <w:tabs>
          <w:tab w:leader="none" w:pos="118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Notwithstanding any termination of this Agreement, the Manager shall, subject to the limitations set forth in this Section 3, remain entitled: (i) to receive the Management Fee for the remaining portion of the semi-annual period in which such termination occurred (payable in the same manner and at the same time as if the Manager were entitled to receive such fee with respect to the entire semi-annual period); and (ii) to receive payment of any deferred Management Fee at the time of such termination if, and to the extent that, payment thereof is otherwise permitted under this Section 3.</w:t>
      </w:r>
    </w:p>
    <w:p>
      <w:pPr>
        <w:spacing w:after="0" w:line="166" w:lineRule="exact"/>
        <w:rPr>
          <w:rFonts w:ascii="Arial" w:cs="Arial" w:eastAsia="Arial" w:hAnsi="Arial"/>
          <w:sz w:val="16"/>
          <w:szCs w:val="16"/>
          <w:color w:val="auto"/>
        </w:rPr>
      </w:pPr>
    </w:p>
    <w:p>
      <w:pPr>
        <w:ind w:left="540" w:right="60" w:firstLine="359"/>
        <w:spacing w:after="0" w:line="332" w:lineRule="auto"/>
        <w:tabs>
          <w:tab w:leader="none" w:pos="117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The parties acknowledge that at such time, if any, that the Company is licensed by the Nevada Gaming Commission, the Manager will be subject to the requirements of Nevada Revised Statutes Section 463.162 as a result of its receipt of the Management Fee.</w:t>
      </w:r>
    </w:p>
    <w:p>
      <w:pPr>
        <w:spacing w:after="0" w:line="139" w:lineRule="exact"/>
        <w:rPr>
          <w:rFonts w:ascii="Arial" w:cs="Arial" w:eastAsia="Arial" w:hAnsi="Arial"/>
          <w:sz w:val="16"/>
          <w:szCs w:val="16"/>
          <w:color w:val="auto"/>
        </w:rPr>
      </w:pPr>
    </w:p>
    <w:p>
      <w:pPr>
        <w:ind w:right="180" w:firstLine="359"/>
        <w:spacing w:after="0" w:line="298" w:lineRule="auto"/>
        <w:tabs>
          <w:tab w:leader="none" w:pos="658"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Term of Agreement. </w:t>
      </w:r>
      <w:r>
        <w:rPr>
          <w:rFonts w:ascii="Arial" w:cs="Arial" w:eastAsia="Arial" w:hAnsi="Arial"/>
          <w:sz w:val="16"/>
          <w:szCs w:val="16"/>
          <w:color w:val="auto"/>
        </w:rPr>
        <w:t>The term of this Agreement shall be ten (10) years, unless earlier terminated pursuant to the terms of this Agreement.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may be terminated as follows: (a) by the mutual written consent of the Company and the Manager, (b) by the Company upon 60 days prior written notice to the Manager for any reason or no reason at all, or (c) by the Company immediately upon written notice to the Manager for cause. Notwithstanding any other provision of this Agreement, the provisions of Section 5 shall survive any termination of this Agreement.</w:t>
      </w:r>
    </w:p>
    <w:p>
      <w:pPr>
        <w:spacing w:after="0" w:line="166" w:lineRule="exact"/>
        <w:rPr>
          <w:rFonts w:ascii="Arial" w:cs="Arial" w:eastAsia="Arial" w:hAnsi="Arial"/>
          <w:sz w:val="16"/>
          <w:szCs w:val="16"/>
          <w:color w:val="auto"/>
        </w:rPr>
      </w:pPr>
    </w:p>
    <w:p>
      <w:pPr>
        <w:ind w:right="80" w:firstLine="359"/>
        <w:spacing w:after="0" w:line="290" w:lineRule="auto"/>
        <w:tabs>
          <w:tab w:leader="none" w:pos="658" w:val="left"/>
        </w:tabs>
        <w:numPr>
          <w:ilvl w:val="0"/>
          <w:numId w:val="190"/>
        </w:numPr>
        <w:rPr>
          <w:rFonts w:ascii="Arial" w:cs="Arial" w:eastAsia="Arial" w:hAnsi="Arial"/>
          <w:sz w:val="16"/>
          <w:szCs w:val="16"/>
          <w:color w:val="auto"/>
        </w:rPr>
      </w:pPr>
      <w:r>
        <w:rPr>
          <w:rFonts w:ascii="Arial" w:cs="Arial" w:eastAsia="Arial" w:hAnsi="Arial"/>
          <w:sz w:val="16"/>
          <w:szCs w:val="16"/>
          <w:i w:val="1"/>
          <w:iCs w:val="1"/>
          <w:color w:val="auto"/>
        </w:rPr>
        <w:t xml:space="preserve">Liability. </w:t>
      </w:r>
      <w:r>
        <w:rPr>
          <w:rFonts w:ascii="Arial" w:cs="Arial" w:eastAsia="Arial" w:hAnsi="Arial"/>
          <w:sz w:val="16"/>
          <w:szCs w:val="16"/>
          <w:color w:val="auto"/>
        </w:rPr>
        <w:t>The Company shall bear any and all expenses, liabilities, losses or damages resulting from the operation of the Business, and the Manager</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officers, directors, shareholders and employees shall not, under any circumstances, be held liable therefor, except that the Manager shall be liable for any loss or damage which results from its own gross negligence or willful misconduct. Neither the Manager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the Manager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301"/>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rFonts w:ascii="Arial" w:cs="Arial" w:eastAsia="Arial" w:hAnsi="Arial"/>
          <w:sz w:val="18"/>
          <w:szCs w:val="18"/>
          <w:color w:val="auto"/>
        </w:rPr>
      </w:pPr>
    </w:p>
    <w:p>
      <w:pPr>
        <w:ind w:left="540" w:firstLine="359"/>
        <w:spacing w:after="0" w:line="287" w:lineRule="auto"/>
        <w:tabs>
          <w:tab w:leader="none" w:pos="1262"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Nonassignability of Agreement</w:t>
      </w:r>
      <w:r>
        <w:rPr>
          <w:rFonts w:ascii="Arial" w:cs="Arial" w:eastAsia="Arial" w:hAnsi="Arial"/>
          <w:sz w:val="16"/>
          <w:szCs w:val="16"/>
          <w:color w:val="auto"/>
        </w:rPr>
        <w:t>. This Agreement shall not be assignable, in whole or in part, directly or indirectly, whether by operation of law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 the provisions of this Agreement shall be binding upon, inure to the benefit of, and be enforceable by the Wynn Entities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and their respective successors and permitted assigns and (ii) the rights of the Wynn Entities under this Agreement may be collaterally assigned to secure the obligations of the Company under the Bank Credit Agreement and the Second Mortgage Notes Indenture. The Manager further agrees that in the event of any foreclosure of the security interests encumbering this Agreement to secure the obligations under the Bank Credit Agreement or the Second Mortgage Notes Indenture, the party acquiring the rights of the Wynn Entities hereunder shall have the right to terminate this Agreement without any obligation to pay any amounts then owed by the Wynn Entities hereunder (it being understood that the foregoing shall not affect any rights of the Manager hereunder or under otherwise applicable laws against the Wynn Entities for such amounts then owing and not paid to the Manager).</w:t>
      </w:r>
    </w:p>
    <w:p>
      <w:pPr>
        <w:spacing w:after="0" w:line="176" w:lineRule="exact"/>
        <w:rPr>
          <w:rFonts w:ascii="Arial" w:cs="Arial" w:eastAsia="Arial" w:hAnsi="Arial"/>
          <w:sz w:val="16"/>
          <w:szCs w:val="16"/>
          <w:color w:val="auto"/>
        </w:rPr>
      </w:pPr>
    </w:p>
    <w:p>
      <w:pPr>
        <w:ind w:left="540" w:right="20" w:firstLine="359"/>
        <w:spacing w:after="0" w:line="332" w:lineRule="auto"/>
        <w:tabs>
          <w:tab w:leader="none" w:pos="1271" w:val="left"/>
        </w:tabs>
        <w:numPr>
          <w:ilvl w:val="1"/>
          <w:numId w:val="191"/>
        </w:numPr>
        <w:rPr>
          <w:rFonts w:ascii="Arial" w:cs="Arial" w:eastAsia="Arial" w:hAnsi="Arial"/>
          <w:sz w:val="16"/>
          <w:szCs w:val="16"/>
          <w:color w:val="auto"/>
        </w:rPr>
      </w:pPr>
      <w:r>
        <w:rPr>
          <w:rFonts w:ascii="Arial" w:cs="Arial" w:eastAsia="Arial" w:hAnsi="Arial"/>
          <w:sz w:val="16"/>
          <w:szCs w:val="16"/>
          <w:i w:val="1"/>
          <w:iCs w:val="1"/>
          <w:color w:val="auto"/>
        </w:rPr>
        <w:t>Further Assurances</w:t>
      </w:r>
      <w:r>
        <w:rPr>
          <w:rFonts w:ascii="Arial" w:cs="Arial" w:eastAsia="Arial" w:hAnsi="Arial"/>
          <w:sz w:val="16"/>
          <w:szCs w:val="16"/>
          <w:color w:val="auto"/>
        </w:rPr>
        <w:t>. Subject to the provisions hereof, each of the parties hereto shall execute, acknowledge and deliver such other documents,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take such further actions, as may be reasonably required in order to effectuate the purposes of this Agreement, to comply with all applicable laws,</w:t>
      </w:r>
    </w:p>
    <w:p>
      <w:pPr>
        <w:sectPr>
          <w:pgSz w:w="11900" w:h="16838" w:orient="portrait"/>
          <w:cols w:equalWidth="0" w:num="1">
            <w:col w:w="11420"/>
          </w:cols>
          <w:pgMar w:left="240" w:top="131" w:right="239" w:bottom="0" w:gutter="0" w:footer="0" w:header="0"/>
        </w:sectPr>
      </w:pPr>
    </w:p>
    <w:bookmarkStart w:id="136" w:name="page137"/>
    <w:bookmarkEnd w:id="136"/>
    <w:p>
      <w:pPr>
        <w:ind w:left="540" w:right="560"/>
        <w:spacing w:after="0" w:line="268" w:lineRule="auto"/>
        <w:rPr>
          <w:sz w:val="20"/>
          <w:szCs w:val="20"/>
          <w:color w:val="auto"/>
        </w:rPr>
      </w:pPr>
      <w:r>
        <w:rPr>
          <w:rFonts w:ascii="Arial" w:cs="Arial" w:eastAsia="Arial" w:hAnsi="Arial"/>
          <w:sz w:val="18"/>
          <w:szCs w:val="18"/>
          <w:color w:val="auto"/>
        </w:rPr>
        <w:t>regulations, orders and decrees, to obtain all required consents and approvals and to make all required filings with any governmental agency, other regulatory or administrative agency, commission or similar authority.</w:t>
      </w:r>
    </w:p>
    <w:p>
      <w:pPr>
        <w:spacing w:after="0" w:line="186" w:lineRule="exact"/>
        <w:rPr>
          <w:sz w:val="20"/>
          <w:szCs w:val="20"/>
          <w:color w:val="auto"/>
        </w:rPr>
      </w:pPr>
    </w:p>
    <w:p>
      <w:pPr>
        <w:ind w:left="540" w:firstLine="359"/>
        <w:spacing w:after="0" w:line="294" w:lineRule="auto"/>
        <w:tabs>
          <w:tab w:leader="none" w:pos="1262"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Waivers</w:t>
      </w:r>
      <w:r>
        <w:rPr>
          <w:rFonts w:ascii="Arial" w:cs="Arial" w:eastAsia="Arial" w:hAnsi="Arial"/>
          <w:sz w:val="16"/>
          <w:szCs w:val="16"/>
          <w:color w:val="auto"/>
        </w:rPr>
        <w:t>. No failure or delay on the part of the Manager or any of the Wynn Entities in exercising any right hereunder shall operate as a waiver</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nor shall any single or partial exercise of any such right, or any abandonment or discontinuance of steps to enforce such a right, preclude any other or further exercise thereof or the exercise of any other right. No waiver of any provision of this Agreement nor any consent to any departure by the Manager or the Wynn Entities therefrom shall in any event be effective unless the same shall be in writing, and then such waiver or consent shall be effective only in the specific instance and for the specific purpose for which it has been given.</w:t>
      </w:r>
    </w:p>
    <w:p>
      <w:pPr>
        <w:spacing w:after="0" w:line="169" w:lineRule="exact"/>
        <w:rPr>
          <w:rFonts w:ascii="Arial" w:cs="Arial" w:eastAsia="Arial" w:hAnsi="Arial"/>
          <w:sz w:val="16"/>
          <w:szCs w:val="16"/>
          <w:color w:val="auto"/>
        </w:rPr>
      </w:pPr>
    </w:p>
    <w:p>
      <w:pPr>
        <w:ind w:left="540" w:right="240" w:firstLine="359"/>
        <w:spacing w:after="0" w:line="259" w:lineRule="auto"/>
        <w:tabs>
          <w:tab w:leader="none" w:pos="1271"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and the Subordination Agreement set forth the entire understanding of the parties hereto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subject matter hereof, and supersede all previous agreements, negotiations, memoranda and understandings, whether written or oral respecting the subject matter hereof.</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58"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only by an agreement in writing executed by each of the parties hereto, but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shall become effective if the same is prohibited by the Bank Credit Agreement, the FF&amp;E Credit Agreement or the Second Mortgage Notes Indenture as then in effect.</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42"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and all notices and demands required or desired to be given hereunder shall be in writing and shall be validly given or made if</w:t>
      </w:r>
      <w:r>
        <w:rPr>
          <w:rFonts w:ascii="Arial" w:cs="Arial" w:eastAsia="Arial" w:hAnsi="Arial"/>
          <w:sz w:val="18"/>
          <w:szCs w:val="18"/>
          <w:i w:val="1"/>
          <w:iCs w:val="1"/>
          <w:color w:val="auto"/>
        </w:rPr>
        <w:t xml:space="preserve"> </w:t>
      </w:r>
      <w:r>
        <w:rPr>
          <w:rFonts w:ascii="Arial" w:cs="Arial" w:eastAsia="Arial" w:hAnsi="Arial"/>
          <w:sz w:val="18"/>
          <w:szCs w:val="18"/>
          <w:color w:val="auto"/>
        </w:rPr>
        <w:t>served personally, delivered by a nationally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recognized overnight courier service, or deposited in the United States mail, certified or registered, postage prepaid, return receipt requested, to the following addresses:</w:t>
      </w:r>
    </w:p>
    <w:p>
      <w:pPr>
        <w:sectPr>
          <w:pgSz w:w="11900" w:h="16838" w:orient="portrait"/>
          <w:cols w:equalWidth="0" w:num="1">
            <w:col w:w="11400"/>
          </w:cols>
          <w:pgMar w:left="240" w:top="131" w:right="259" w:bottom="74" w:gutter="0" w:footer="0" w:header="0"/>
        </w:sectPr>
      </w:pPr>
    </w:p>
    <w:p>
      <w:pPr>
        <w:spacing w:after="0" w:line="1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Wynn Entities: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ectPr>
          <w:pgSz w:w="11900" w:h="16838" w:orient="portrait"/>
          <w:cols w:equalWidth="0" w:num="2">
            <w:col w:w="3460" w:space="720"/>
            <w:col w:w="7220"/>
          </w:cols>
          <w:pgMar w:left="240" w:top="131" w:right="259" w:bottom="74"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00" w:lineRule="exact"/>
        <w:rPr>
          <w:sz w:val="20"/>
          <w:szCs w:val="20"/>
          <w:color w:val="auto"/>
        </w:rPr>
      </w:pPr>
    </w:p>
    <w:p>
      <w:pPr>
        <w:sectPr>
          <w:pgSz w:w="11900" w:h="16838" w:orient="portrait"/>
          <w:cols w:equalWidth="0" w:num="2">
            <w:col w:w="3460" w:space="720"/>
            <w:col w:w="7220"/>
          </w:cols>
          <w:pgMar w:left="240" w:top="131" w:right="259" w:bottom="74" w:gutter="0" w:footer="0" w:header="0"/>
          <w:type w:val="continuous"/>
        </w:sectPr>
      </w:pPr>
    </w:p>
    <w:p>
      <w:pPr>
        <w:spacing w:after="0" w:line="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and shall become effective upon receipt. Any party hereto may change its address for the purpose of receiving notices by providing written notice to the other party hereto.</w:t>
      </w:r>
    </w:p>
    <w:p>
      <w:pPr>
        <w:spacing w:after="0" w:line="186" w:lineRule="exact"/>
        <w:rPr>
          <w:sz w:val="20"/>
          <w:szCs w:val="20"/>
          <w:color w:val="auto"/>
        </w:rPr>
      </w:pPr>
    </w:p>
    <w:p>
      <w:pPr>
        <w:ind w:left="540" w:right="140" w:firstLine="359"/>
        <w:spacing w:after="0" w:line="268" w:lineRule="auto"/>
        <w:tabs>
          <w:tab w:leader="none" w:pos="1271"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Nevada applicable to contracts made in that state, without giving effect to its conflict of laws rules,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govern the validity, construction, performance and effect of this Agreement.</w:t>
      </w:r>
    </w:p>
    <w:p>
      <w:pPr>
        <w:spacing w:after="0" w:line="185" w:lineRule="exact"/>
        <w:rPr>
          <w:rFonts w:ascii="Arial" w:cs="Arial" w:eastAsia="Arial" w:hAnsi="Arial"/>
          <w:sz w:val="18"/>
          <w:szCs w:val="18"/>
          <w:color w:val="auto"/>
        </w:rPr>
      </w:pPr>
    </w:p>
    <w:p>
      <w:pPr>
        <w:ind w:left="540" w:right="40" w:firstLine="359"/>
        <w:spacing w:after="0" w:line="256" w:lineRule="auto"/>
        <w:tabs>
          <w:tab w:leader="none" w:pos="1271"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Invalidity</w:t>
      </w:r>
      <w:r>
        <w:rPr>
          <w:rFonts w:ascii="Arial" w:cs="Arial" w:eastAsia="Arial" w:hAnsi="Arial"/>
          <w:sz w:val="18"/>
          <w:szCs w:val="18"/>
          <w:color w:val="auto"/>
        </w:rPr>
        <w:t>. If any term, provision, covenant or condition of this Agreement, or any application thereof, should be held by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197" w:lineRule="exact"/>
        <w:rPr>
          <w:rFonts w:ascii="Arial" w:cs="Arial" w:eastAsia="Arial" w:hAnsi="Arial"/>
          <w:sz w:val="18"/>
          <w:szCs w:val="18"/>
          <w:color w:val="auto"/>
        </w:rPr>
      </w:pPr>
    </w:p>
    <w:p>
      <w:pPr>
        <w:ind w:left="540" w:right="240" w:firstLine="359"/>
        <w:spacing w:after="0" w:line="268" w:lineRule="auto"/>
        <w:tabs>
          <w:tab w:leader="none" w:pos="1232"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in this Agreement are included for purposes of reference only, do not constitute a part of this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deemed to limit, characterize or in any way affect any term or provision of this Agreement.</w:t>
      </w:r>
    </w:p>
    <w:p>
      <w:pPr>
        <w:spacing w:after="0" w:line="185" w:lineRule="exact"/>
        <w:rPr>
          <w:rFonts w:ascii="Arial" w:cs="Arial" w:eastAsia="Arial" w:hAnsi="Arial"/>
          <w:sz w:val="18"/>
          <w:szCs w:val="18"/>
          <w:color w:val="auto"/>
        </w:rPr>
      </w:pPr>
    </w:p>
    <w:p>
      <w:pPr>
        <w:ind w:left="540" w:right="460" w:firstLine="359"/>
        <w:spacing w:after="0" w:line="268" w:lineRule="auto"/>
        <w:tabs>
          <w:tab w:leader="none" w:pos="1232"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when executed, shall be deemed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and all of which together shall constitute one and the same instrument.</w:t>
      </w:r>
    </w:p>
    <w:p>
      <w:pPr>
        <w:spacing w:after="0" w:line="185" w:lineRule="exact"/>
        <w:rPr>
          <w:rFonts w:ascii="Arial" w:cs="Arial" w:eastAsia="Arial" w:hAnsi="Arial"/>
          <w:sz w:val="18"/>
          <w:szCs w:val="18"/>
          <w:color w:val="auto"/>
        </w:rPr>
      </w:pPr>
    </w:p>
    <w:p>
      <w:pPr>
        <w:jc w:val="both"/>
        <w:ind w:left="540" w:firstLine="359"/>
        <w:spacing w:after="0" w:line="370" w:lineRule="auto"/>
        <w:tabs>
          <w:tab w:leader="none" w:pos="1271" w:val="left"/>
        </w:tabs>
        <w:numPr>
          <w:ilvl w:val="0"/>
          <w:numId w:val="193"/>
        </w:numPr>
        <w:rPr>
          <w:rFonts w:ascii="Arial" w:cs="Arial" w:eastAsia="Arial" w:hAnsi="Arial"/>
          <w:sz w:val="15"/>
          <w:szCs w:val="15"/>
          <w:color w:val="auto"/>
        </w:rPr>
      </w:pPr>
      <w:r>
        <w:rPr>
          <w:rFonts w:ascii="Arial" w:cs="Arial" w:eastAsia="Arial" w:hAnsi="Arial"/>
          <w:sz w:val="15"/>
          <w:szCs w:val="15"/>
          <w:i w:val="1"/>
          <w:iCs w:val="1"/>
          <w:color w:val="auto"/>
        </w:rPr>
        <w:t>Negotiated Agreement</w:t>
      </w:r>
      <w:r>
        <w:rPr>
          <w:rFonts w:ascii="Arial" w:cs="Arial" w:eastAsia="Arial" w:hAnsi="Arial"/>
          <w:sz w:val="15"/>
          <w:szCs w:val="15"/>
          <w:color w:val="auto"/>
        </w:rPr>
        <w:t>. This is a negotiated agreement. All parties have participated in its preparation. In the event of any dispute regarding its</w:t>
      </w:r>
      <w:r>
        <w:rPr>
          <w:rFonts w:ascii="Arial" w:cs="Arial" w:eastAsia="Arial" w:hAnsi="Arial"/>
          <w:sz w:val="15"/>
          <w:szCs w:val="15"/>
          <w:i w:val="1"/>
          <w:iCs w:val="1"/>
          <w:color w:val="auto"/>
        </w:rPr>
        <w:t xml:space="preserve"> </w:t>
      </w:r>
      <w:r>
        <w:rPr>
          <w:rFonts w:ascii="Arial" w:cs="Arial" w:eastAsia="Arial" w:hAnsi="Arial"/>
          <w:sz w:val="15"/>
          <w:szCs w:val="15"/>
          <w:color w:val="auto"/>
        </w:rPr>
        <w:t>interpretation, it shall not be construed for or against any party based upon the grounds that this Agreement was prepared by any one of the parties hereto.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Nevada limited liability company</w:t>
      </w:r>
    </w:p>
    <w:p>
      <w:pPr>
        <w:sectPr>
          <w:pgSz w:w="11900" w:h="16838" w:orient="portrait"/>
          <w:cols w:equalWidth="0" w:num="1">
            <w:col w:w="11400"/>
          </w:cols>
          <w:pgMar w:left="240" w:top="131" w:right="259" w:bottom="74"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2">
            <w:col w:w="4380" w:space="660"/>
            <w:col w:w="6360"/>
          </w:cols>
          <w:pgMar w:left="240" w:top="131" w:right="259" w:bottom="74" w:gutter="0" w:footer="0" w:header="0"/>
          <w:type w:val="continuous"/>
        </w:sectPr>
      </w:pPr>
    </w:p>
    <w:bookmarkStart w:id="137" w:name="page138"/>
    <w:bookmarkEnd w:id="137"/>
    <w:p>
      <w:pPr>
        <w:ind w:left="3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100" w:space="660"/>
            <w:col w:w="5460"/>
          </w:cols>
          <w:pgMar w:left="1440" w:top="131" w:right="239" w:bottom="209" w:gutter="0" w:footer="0" w:header="0"/>
        </w:sect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000" w:space="660"/>
            <w:col w:w="4560"/>
          </w:cols>
          <w:pgMar w:left="1440" w:top="131" w:right="239" w:bottom="209" w:gutter="0" w:footer="0" w:header="0"/>
          <w:type w:val="continuous"/>
        </w:sect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-59055</wp:posOffset>
            </wp:positionV>
            <wp:extent cx="2327910"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-36830</wp:posOffset>
            </wp:positionV>
            <wp:extent cx="232791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-59055</wp:posOffset>
            </wp:positionV>
            <wp:extent cx="2327910" cy="215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20"/>
          </w:cols>
          <w:pgMar w:left="1440" w:top="131" w:right="239" w:bottom="209"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100" w:space="660"/>
            <w:col w:w="5460"/>
          </w:cols>
          <w:pgMar w:left="1440" w:top="131" w:right="239" w:bottom="209" w:gutter="0" w:footer="0" w:header="0"/>
          <w:type w:val="continuous"/>
        </w:sect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5000" w:space="660"/>
            <w:col w:w="4560"/>
          </w:cols>
          <w:pgMar w:left="1440" w:top="131" w:right="239" w:bottom="209" w:gutter="0" w:footer="0" w:header="0"/>
          <w:type w:val="continuous"/>
        </w:sect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-59055</wp:posOffset>
            </wp:positionV>
            <wp:extent cx="2327910"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-59055</wp:posOffset>
            </wp:positionV>
            <wp:extent cx="2327910" cy="215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-59055</wp:posOffset>
            </wp:positionV>
            <wp:extent cx="2327910" cy="215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35"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6700" w:type="dxa"/>
            <w:vAlign w:val="bottom"/>
            <w:gridSpan w:val="2"/>
          </w:tcPr>
          <w:p>
            <w:pPr>
              <w:ind w:left="32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700" w:type="dxa"/>
            <w:vAlign w:val="bottom"/>
            <w:gridSpan w:val="2"/>
          </w:tcPr>
          <w:p>
            <w:pPr>
              <w:ind w:left="32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6700" w:type="dxa"/>
            <w:vAlign w:val="bottom"/>
            <w:gridSpan w:val="2"/>
          </w:tcPr>
          <w:p>
            <w:pPr>
              <w:ind w:left="32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552"/>
        </w:trPr>
        <w:tc>
          <w:tcPr>
            <w:tcW w:w="600" w:type="dxa"/>
            <w:vAlign w:val="bottom"/>
          </w:tcPr>
          <w:p>
            <w:pPr>
              <w:spacing w:after="0"/>
              <w:rPr>
                <w:sz w:val="24"/>
                <w:szCs w:val="24"/>
                <w:color w:val="auto"/>
              </w:rPr>
            </w:pPr>
          </w:p>
        </w:tc>
        <w:tc>
          <w:tcPr>
            <w:tcW w:w="1240" w:type="dxa"/>
            <w:vAlign w:val="bottom"/>
            <w:vMerge w:val="restart"/>
          </w:tcPr>
          <w:p>
            <w:pPr>
              <w:ind w:left="3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1240" w:type="dxa"/>
            <w:vAlign w:val="bottom"/>
            <w:vMerge w:val="restart"/>
          </w:tcPr>
          <w:p>
            <w:pPr>
              <w:ind w:left="320"/>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1240" w:type="dxa"/>
            <w:vAlign w:val="bottom"/>
            <w:vMerge w:val="restart"/>
          </w:tcPr>
          <w:p>
            <w:pPr>
              <w:ind w:left="320"/>
              <w:spacing w:after="0"/>
              <w:rPr>
                <w:sz w:val="20"/>
                <w:szCs w:val="20"/>
                <w:color w:val="auto"/>
              </w:rPr>
            </w:pPr>
            <w:r>
              <w:rPr>
                <w:rFonts w:ascii="Arial" w:cs="Arial" w:eastAsia="Arial" w:hAnsi="Arial"/>
                <w:sz w:val="18"/>
                <w:szCs w:val="18"/>
                <w:color w:val="auto"/>
              </w:rPr>
              <w:t>Title:</w:t>
            </w:r>
          </w:p>
        </w:tc>
        <w:tc>
          <w:tcPr>
            <w:tcW w:w="5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-370840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-370840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-216535</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-216535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6478905</wp:posOffset>
            </wp:positionH>
            <wp:positionV relativeFrom="paragraph">
              <wp:posOffset>-62230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-62230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20"/>
          </w:cols>
          <w:pgMar w:left="1440" w:top="131" w:right="239" w:bottom="209"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200" w:lineRule="exact"/>
        <w:rPr>
          <w:sz w:val="20"/>
          <w:szCs w:val="20"/>
          <w:color w:val="auto"/>
        </w:rPr>
      </w:pPr>
    </w:p>
    <w:p>
      <w:pPr>
        <w:sectPr>
          <w:pgSz w:w="11900" w:h="16838" w:orient="portrait"/>
          <w:cols w:equalWidth="0" w:num="2">
            <w:col w:w="3180" w:space="660"/>
            <w:col w:w="6380"/>
          </w:cols>
          <w:pgMar w:left="1440" w:top="131" w:right="239" w:bottom="209" w:gutter="0" w:footer="0" w:header="0"/>
          <w:type w:val="continuous"/>
        </w:sectPr>
      </w:pPr>
    </w:p>
    <w:p>
      <w:pPr>
        <w:spacing w:after="0" w:line="25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100" w:space="660"/>
            <w:col w:w="5460"/>
          </w:cols>
          <w:pgMar w:left="1440" w:top="131" w:right="239" w:bottom="209" w:gutter="0" w:footer="0" w:header="0"/>
          <w:type w:val="continuous"/>
        </w:sectPr>
      </w:pPr>
    </w:p>
    <w:p>
      <w:pPr>
        <w:spacing w:after="0" w:line="2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4100" w:space="660"/>
            <w:col w:w="5460"/>
          </w:cols>
          <w:pgMar w:left="1440" w:top="131" w:right="239" w:bottom="209" w:gutter="0" w:footer="0" w:header="0"/>
          <w:type w:val="continuous"/>
        </w:sect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347980</wp:posOffset>
            </wp:positionV>
            <wp:extent cx="2327910" cy="215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ectPr>
          <w:pgSz w:w="11900" w:h="16838" w:orient="portrait"/>
          <w:cols w:equalWidth="0" w:num="2">
            <w:col w:w="5000" w:space="660"/>
            <w:col w:w="4560"/>
          </w:cols>
          <w:pgMar w:left="1440" w:top="131" w:right="239" w:bottom="209" w:gutter="0" w:footer="0" w:header="0"/>
          <w:type w:val="continuous"/>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gridSpan w:val="2"/>
          </w:tcPr>
          <w:p>
            <w:pPr>
              <w:ind w:left="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27"/>
        </w:trPr>
        <w:tc>
          <w:tcPr>
            <w:tcW w:w="4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Name:</w:t>
            </w:r>
          </w:p>
        </w:tc>
        <w:tc>
          <w:tcPr>
            <w:tcW w:w="3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7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180" w:type="dxa"/>
            <w:vAlign w:val="bottom"/>
            <w:vMerge w:val="restart"/>
          </w:tcPr>
          <w:p>
            <w:pPr>
              <w:ind w:left="96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2"/>
                <w:szCs w:val="12"/>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Title:</w:t>
            </w:r>
          </w:p>
        </w:tc>
        <w:tc>
          <w:tcPr>
            <w:tcW w:w="36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47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5"/>
        </w:trPr>
        <w:tc>
          <w:tcPr>
            <w:tcW w:w="47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900" w:type="dxa"/>
            <w:vAlign w:val="bottom"/>
            <w:tcBorders>
              <w:bottom w:val="single" w:sz="8" w:color="808080"/>
            </w:tcBorders>
            <w:gridSpan w:val="2"/>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5900" w:type="dxa"/>
            <w:vAlign w:val="bottom"/>
            <w:gridSpan w:val="2"/>
          </w:tcPr>
          <w:p>
            <w:pPr>
              <w:ind w:left="4120"/>
              <w:spacing w:after="0"/>
              <w:rPr>
                <w:sz w:val="20"/>
                <w:szCs w:val="20"/>
                <w:color w:val="auto"/>
              </w:rPr>
            </w:pPr>
            <w:r>
              <w:rPr>
                <w:rFonts w:ascii="Arial" w:cs="Arial" w:eastAsia="Arial" w:hAnsi="Arial"/>
                <w:sz w:val="18"/>
                <w:szCs w:val="18"/>
                <w:color w:val="auto"/>
                <w:w w:val="94"/>
              </w:rPr>
              <w:t>LAS VEGAS JET, LLC,</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80" w:type="dxa"/>
            <w:vAlign w:val="bottom"/>
            <w:gridSpan w:val="3"/>
          </w:tcPr>
          <w:p>
            <w:pPr>
              <w:ind w:left="4120"/>
              <w:spacing w:after="0"/>
              <w:rPr>
                <w:sz w:val="20"/>
                <w:szCs w:val="20"/>
                <w:color w:val="auto"/>
              </w:rPr>
            </w:pPr>
            <w:r>
              <w:rPr>
                <w:rFonts w:ascii="Arial" w:cs="Arial" w:eastAsia="Arial" w:hAnsi="Arial"/>
                <w:sz w:val="18"/>
                <w:szCs w:val="18"/>
                <w:color w:val="auto"/>
                <w:w w:val="97"/>
              </w:rPr>
              <w:t>a Nevada limited liability company</w:t>
            </w:r>
          </w:p>
        </w:tc>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4720" w:type="dxa"/>
            <w:vAlign w:val="bottom"/>
          </w:tcPr>
          <w:p>
            <w:pPr>
              <w:ind w:left="4120"/>
              <w:spacing w:after="0"/>
              <w:rPr>
                <w:sz w:val="20"/>
                <w:szCs w:val="20"/>
                <w:color w:val="auto"/>
              </w:rPr>
            </w:pPr>
            <w:r>
              <w:rPr>
                <w:rFonts w:ascii="Arial" w:cs="Arial" w:eastAsia="Arial" w:hAnsi="Arial"/>
                <w:sz w:val="18"/>
                <w:szCs w:val="18"/>
                <w:color w:val="auto"/>
              </w:rPr>
              <w:t>By:</w:t>
            </w:r>
          </w:p>
        </w:tc>
        <w:tc>
          <w:tcPr>
            <w:tcW w:w="2060" w:type="dxa"/>
            <w:vAlign w:val="bottom"/>
            <w:gridSpan w:val="2"/>
          </w:tcPr>
          <w:p>
            <w:pPr>
              <w:ind w:left="320"/>
              <w:spacing w:after="0"/>
              <w:rPr>
                <w:sz w:val="20"/>
                <w:szCs w:val="20"/>
                <w:color w:val="auto"/>
              </w:rPr>
            </w:pPr>
            <w:r>
              <w:rPr>
                <w:rFonts w:ascii="Arial" w:cs="Arial" w:eastAsia="Arial" w:hAnsi="Arial"/>
                <w:sz w:val="18"/>
                <w:szCs w:val="18"/>
                <w:color w:val="auto"/>
                <w:w w:val="93"/>
              </w:rPr>
              <w:t>Wynn Las Vegas, LLC,</w:t>
            </w:r>
          </w:p>
        </w:tc>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19"/>
                <w:szCs w:val="19"/>
                <w:color w:val="auto"/>
              </w:rPr>
            </w:pPr>
          </w:p>
        </w:tc>
        <w:tc>
          <w:tcPr>
            <w:tcW w:w="6700" w:type="dxa"/>
            <w:vAlign w:val="bottom"/>
            <w:gridSpan w:val="4"/>
          </w:tcPr>
          <w:p>
            <w:pPr>
              <w:ind w:left="32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642"/>
        </w:trPr>
        <w:tc>
          <w:tcPr>
            <w:tcW w:w="472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642"/>
        </w:trPr>
        <w:tc>
          <w:tcPr>
            <w:tcW w:w="4720" w:type="dxa"/>
            <w:vAlign w:val="bottom"/>
          </w:tcPr>
          <w:p>
            <w:pPr>
              <w:spacing w:after="0"/>
              <w:rPr>
                <w:sz w:val="24"/>
                <w:szCs w:val="24"/>
                <w:color w:val="auto"/>
              </w:rPr>
            </w:pPr>
          </w:p>
        </w:tc>
        <w:tc>
          <w:tcPr>
            <w:tcW w:w="1180" w:type="dxa"/>
            <w:vAlign w:val="bottom"/>
          </w:tcPr>
          <w:p>
            <w:pPr>
              <w:ind w:left="320"/>
              <w:spacing w:after="0"/>
              <w:rPr>
                <w:sz w:val="20"/>
                <w:szCs w:val="20"/>
                <w:color w:val="auto"/>
              </w:rPr>
            </w:pPr>
            <w:r>
              <w:rPr>
                <w:rFonts w:ascii="Arial" w:cs="Arial" w:eastAsia="Arial" w:hAnsi="Arial"/>
                <w:sz w:val="18"/>
                <w:szCs w:val="18"/>
                <w:color w:val="auto"/>
              </w:rPr>
              <w:t>By:</w:t>
            </w: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520" w:type="dxa"/>
            <w:vAlign w:val="bottom"/>
            <w:gridSpan w:val="3"/>
          </w:tcPr>
          <w:p>
            <w:pPr>
              <w:ind w:left="6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642"/>
        </w:trPr>
        <w:tc>
          <w:tcPr>
            <w:tcW w:w="4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By:</w:t>
            </w:r>
          </w:p>
        </w:tc>
        <w:tc>
          <w:tcPr>
            <w:tcW w:w="4640" w:type="dxa"/>
            <w:vAlign w:val="bottom"/>
            <w:gridSpan w:val="2"/>
          </w:tcPr>
          <w:p>
            <w:pPr>
              <w:ind w:left="8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gridSpan w:val="2"/>
          </w:tcPr>
          <w:p>
            <w:pPr>
              <w:ind w:left="8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40" w:type="dxa"/>
            <w:vAlign w:val="bottom"/>
            <w:gridSpan w:val="2"/>
          </w:tcPr>
          <w:p>
            <w:pPr>
              <w:ind w:left="8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-3887470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-3887470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-3733165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-3733165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-3098165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-3098165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DESERT INN IMPROVEMENT CO.,</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412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Desert Inn Water Company, LLC,</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596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Wynn Resorts, Limited,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DESERT INN WATER COMPANY, LLC,</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35" w:lineRule="exact"/>
        <w:rPr>
          <w:sz w:val="20"/>
          <w:szCs w:val="20"/>
          <w:color w:val="auto"/>
        </w:rPr>
      </w:pPr>
    </w:p>
    <w:p>
      <w:pPr>
        <w:ind w:left="412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Valvino Lamore, LLC,</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5040"/>
        <w:spacing w:after="0"/>
        <w:tabs>
          <w:tab w:leader="none" w:pos="5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Wynn Resorts, Limited,</w:t>
      </w:r>
    </w:p>
    <w:p>
      <w:pPr>
        <w:sectPr>
          <w:pgSz w:w="11900" w:h="16838" w:orient="portrait"/>
          <w:cols w:equalWidth="0" w:num="1">
            <w:col w:w="11420"/>
          </w:cols>
          <w:pgMar w:left="240" w:top="131" w:right="239" w:bottom="0" w:gutter="0" w:footer="0" w:header="0"/>
          <w:type w:val="continuous"/>
        </w:sectPr>
      </w:pPr>
    </w:p>
    <w:bookmarkStart w:id="139" w:name="page140"/>
    <w:bookmarkEnd w:id="139"/>
    <w:tbl>
      <w:tblPr>
        <w:tblLayout w:type="fixed"/>
        <w:tblInd w:w="412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552"/>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920" w:type="dxa"/>
            <w:vAlign w:val="bottom"/>
            <w:vMerge w:val="restart"/>
          </w:tcPr>
          <w:p>
            <w:pPr>
              <w:spacing w:after="0"/>
              <w:rPr>
                <w:sz w:val="20"/>
                <w:szCs w:val="20"/>
                <w:color w:val="auto"/>
              </w:rPr>
            </w:pPr>
            <w:r>
              <w:rPr>
                <w:rFonts w:ascii="Arial" w:cs="Arial" w:eastAsia="Arial" w:hAnsi="Arial"/>
                <w:sz w:val="18"/>
                <w:szCs w:val="18"/>
                <w:color w:val="auto"/>
                <w:w w:val="93"/>
              </w:rPr>
              <w:t>PALO, LLC,</w:t>
            </w:r>
          </w:p>
        </w:tc>
        <w:tc>
          <w:tcPr>
            <w:tcW w:w="580" w:type="dxa"/>
            <w:vAlign w:val="bottom"/>
          </w:tcPr>
          <w:p>
            <w:pPr>
              <w:spacing w:after="0"/>
              <w:rPr>
                <w:sz w:val="12"/>
                <w:szCs w:val="12"/>
                <w:color w:val="auto"/>
              </w:rPr>
            </w:pPr>
          </w:p>
        </w:tc>
        <w:tc>
          <w:tcPr>
            <w:tcW w:w="1240" w:type="dxa"/>
            <w:vAlign w:val="bottom"/>
            <w:vMerge w:val="restart"/>
          </w:tcPr>
          <w:p>
            <w:pPr>
              <w:ind w:left="3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4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9"/>
        </w:trPr>
        <w:tc>
          <w:tcPr>
            <w:tcW w:w="9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6380" w:type="dxa"/>
            <w:vAlign w:val="bottom"/>
            <w:gridSpan w:val="3"/>
          </w:tcPr>
          <w:p>
            <w:pPr>
              <w:spacing w:after="0"/>
              <w:rPr>
                <w:sz w:val="20"/>
                <w:szCs w:val="20"/>
                <w:color w:val="auto"/>
              </w:rPr>
            </w:pPr>
            <w:r>
              <w:rPr>
                <w:rFonts w:ascii="Arial" w:cs="Arial" w:eastAsia="Arial" w:hAnsi="Arial"/>
                <w:sz w:val="18"/>
                <w:szCs w:val="18"/>
                <w:color w:val="auto"/>
              </w:rPr>
              <w:t>Wynn Resorts Holdings, LLC,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its sole member</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Valvino Lamore, LLC,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a Nevada limited liability company,</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0" w:type="dxa"/>
            <w:vAlign w:val="bottom"/>
            <w:gridSpan w:val="2"/>
          </w:tcPr>
          <w:p>
            <w:pPr>
              <w:ind w:left="340"/>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r>
        <w:trPr>
          <w:trHeight w:val="642"/>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its sole member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-2995295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-2995295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-2840990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-2840990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-2686685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-59055</wp:posOffset>
            </wp:positionV>
            <wp:extent cx="2327910" cy="215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232791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WYNN CAPITAL CORP.,</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1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-59055</wp:posOffset>
            </wp:positionV>
            <wp:extent cx="4051935" cy="215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405193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9" w:lineRule="exact"/>
        <w:rPr>
          <w:sz w:val="20"/>
          <w:szCs w:val="20"/>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Valvino Lamore, LLC, a Nevada limited liability company.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Wynn Resorts Holdings, LLC, a Nevada limited liability company.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Palo, LLC, a Delaware limited liability company.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Desert Inn Water Company, LLC, a Nevada limited liability company.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Desert Inn Improvement Co., a Nevada corporation.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Wynn Capital Corp., a Nevada corporation.</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World Travel, LLC, a Nevada limited liability company.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Las Vegas Jet, LLC, a Nevada limited liability company.</w:t>
      </w:r>
    </w:p>
    <w:p>
      <w:pPr>
        <w:sectPr>
          <w:pgSz w:w="11900" w:h="16838" w:orient="portrait"/>
          <w:cols w:equalWidth="0" w:num="1">
            <w:col w:w="11420"/>
          </w:cols>
          <w:pgMar w:left="240" w:top="131" w:right="239" w:bottom="0" w:gutter="0" w:footer="0" w:header="0"/>
        </w:sectPr>
      </w:pPr>
    </w:p>
    <w:bookmarkStart w:id="140" w:name="page141"/>
    <w:bookmarkEnd w:id="140"/>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FORM OF MANAGEMENT AGREEMENT</w:t>
        </w:r>
      </w:hyperlink>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22"/>
          <w:szCs w:val="22"/>
          <w:color w:val="0000EE"/>
        </w:rPr>
      </w:pPr>
      <w:hyperlink w:anchor="page1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consent to the use in this Amendment No. 6 to Registration Statement No. 333-90600 of Wynn Resorts, Limited on Form S-1 of our report dated June 6, 2002 (October 2, 2002 as to Note 12) (which report expresses an unqualified opinion and includes an explanatory paragraph referring to the restatement of the financial statements at Note 12), appearing in the Prospectus, which is part of this Registration Statement, and of our report dated June 6, 2002 relating to the financial statement schedule appearing elsewhere in this Registration Statement. We also consent to the reference to us under the headings "Selected Financial Data", "Experts" and "Independent Accountants" in such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INDEPENDENT AUDITORS' CONSENT</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decimal"/>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lvl w:ilvl="1">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1)"/>
      <w:numFmt w:val="decimal"/>
      <w:start w:val="1"/>
    </w:lvl>
  </w:abstractNum>
  <w:abstractNum w:abstractNumId="8">
    <w:nsid w:val="73A1821B"/>
    <w:multiLevelType w:val="hybridMultilevel"/>
    <w:lvl w:ilvl="0">
      <w:lvlJc w:val="left"/>
      <w:lvlText w:val="(%1)"/>
      <w:numFmt w:val="decimal"/>
      <w:start w:val="6"/>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lvl w:ilvl="1">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1)"/>
      <w:numFmt w:val="decimal"/>
      <w:start w:val="1"/>
    </w:lvl>
  </w:abstractNum>
  <w:abstractNum w:abstractNumId="30">
    <w:nsid w:val="23D86AAC"/>
    <w:multiLevelType w:val="hybridMultilevel"/>
    <w:lvl w:ilvl="0">
      <w:lvlJc w:val="left"/>
      <w:lvlText w:val="(%1)"/>
      <w:numFmt w:val="decimal"/>
      <w:start w:val="1"/>
    </w:lvl>
  </w:abstractNum>
  <w:abstractNum w:abstractNumId="31">
    <w:nsid w:val="45E6D486"/>
    <w:multiLevelType w:val="hybridMultilevel"/>
    <w:lvl w:ilvl="0">
      <w:lvlJc w:val="left"/>
      <w:lvlText w:val="(%1)"/>
      <w:numFmt w:val="decimal"/>
      <w:start w:val="6"/>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1)"/>
      <w:numFmt w:val="decimal"/>
      <w:start w:val="1"/>
    </w:lvl>
  </w:abstractNum>
  <w:abstractNum w:abstractNumId="34">
    <w:nsid w:val="3C5991AA"/>
    <w:multiLevelType w:val="hybridMultilevel"/>
    <w:lvl w:ilvl="0">
      <w:lvlJc w:val="left"/>
      <w:lvlText w:val="(%1)"/>
      <w:numFmt w:val="decimal"/>
      <w:start w:val="3"/>
    </w:lvl>
  </w:abstractNum>
  <w:abstractNum w:abstractNumId="35">
    <w:nsid w:val="4BD8591A"/>
    <w:multiLevelType w:val="hybridMultilevel"/>
    <w:lvl w:ilvl="0">
      <w:lvlJc w:val="left"/>
      <w:lvlText w:val="(%1)"/>
      <w:numFmt w:val="decimal"/>
      <w:start w:val="1"/>
    </w:lvl>
  </w:abstractNum>
  <w:abstractNum w:abstractNumId="36">
    <w:nsid w:val="78DF6A55"/>
    <w:multiLevelType w:val="hybridMultilevel"/>
    <w:lvl w:ilvl="0">
      <w:lvlJc w:val="left"/>
      <w:lvlText w:val="(%1)"/>
      <w:numFmt w:val="decimal"/>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1)"/>
      <w:numFmt w:val="decimal"/>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decimal"/>
      <w:start w:val="1"/>
    </w:lvl>
  </w:abstractNum>
  <w:abstractNum w:abstractNumId="44">
    <w:nsid w:val="6AA7B75C"/>
    <w:multiLevelType w:val="hybridMultilevel"/>
    <w:lvl w:ilvl="0">
      <w:lvlJc w:val="left"/>
      <w:lvlText w:val="(%1)"/>
      <w:numFmt w:val="decimal"/>
      <w:start w:val="4"/>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1)"/>
      <w:numFmt w:val="decimal"/>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1)"/>
      <w:numFmt w:val="decimal"/>
      <w:start w:val="2"/>
    </w:lvl>
  </w:abstractNum>
  <w:abstractNum w:abstractNumId="58">
    <w:nsid w:val="2C6E4AFD"/>
    <w:multiLevelType w:val="hybridMultilevel"/>
    <w:lvl w:ilvl="0">
      <w:lvlJc w:val="left"/>
      <w:lvlText w:val="(%1)"/>
      <w:numFmt w:val="decimal"/>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
      <w:numFmt w:val="bullet"/>
      <w:start w:val="1"/>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
      <w:numFmt w:val="bullet"/>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1)"/>
      <w:numFmt w:val="decimal"/>
      <w:start w:val="1"/>
    </w:lvl>
  </w:abstractNum>
  <w:abstractNum w:abstractNumId="85">
    <w:nsid w:val="1849C29B"/>
    <w:multiLevelType w:val="hybridMultilevel"/>
    <w:lvl w:ilvl="0">
      <w:lvlJc w:val="left"/>
      <w:lvlText w:val="(%1)"/>
      <w:numFmt w:val="decimal"/>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abstractNum>
  <w:abstractNum w:abstractNumId="89">
    <w:nsid w:val="2A6DE806"/>
    <w:multiLevelType w:val="hybridMultilevel"/>
    <w:lvl w:ilvl="0">
      <w:lvlJc w:val="left"/>
      <w:lvlText w:val="•"/>
      <w:numFmt w:val="bullet"/>
      <w:start w:val="1"/>
    </w:lvl>
  </w:abstractNum>
  <w:abstractNum w:abstractNumId="90">
    <w:nsid w:val="1816F8C4"/>
    <w:multiLevelType w:val="hybridMultilevel"/>
    <w:lvl w:ilvl="0">
      <w:lvlJc w:val="left"/>
      <w:lvlText w:val="*"/>
      <w:numFmt w:val="bullet"/>
      <w:start w:val="1"/>
    </w:lvl>
  </w:abstractNum>
  <w:abstractNum w:abstractNumId="91">
    <w:nsid w:val="37DF2233"/>
    <w:multiLevelType w:val="hybridMultilevel"/>
    <w:lvl w:ilvl="0">
      <w:lvlJc w:val="left"/>
      <w:lvlText w:val="(%1)"/>
      <w:numFmt w:val="decimal"/>
      <w:start w:val="1"/>
    </w:lvl>
  </w:abstractNum>
  <w:abstractNum w:abstractNumId="92">
    <w:nsid w:val="7AB49DAF"/>
    <w:multiLevelType w:val="hybridMultilevel"/>
    <w:lvl w:ilvl="0">
      <w:lvlJc w:val="left"/>
      <w:lvlText w:val="(%1)"/>
      <w:numFmt w:val="decimal"/>
      <w:start w:val="3"/>
    </w:lvl>
  </w:abstractNum>
  <w:abstractNum w:abstractNumId="93">
    <w:nsid w:val="759F82CD"/>
    <w:multiLevelType w:val="hybridMultilevel"/>
    <w:lvl w:ilvl="0">
      <w:lvlJc w:val="left"/>
      <w:lvlText w:val="•"/>
      <w:numFmt w:val="bullet"/>
      <w:start w:val="1"/>
    </w:lvl>
  </w:abstractNum>
  <w:abstractNum w:abstractNumId="94">
    <w:nsid w:val="61E74EA3"/>
    <w:multiLevelType w:val="hybridMultilevel"/>
    <w:lvl w:ilvl="0">
      <w:lvlJc w:val="left"/>
      <w:lvlText w:val="•"/>
      <w:numFmt w:val="bullet"/>
      <w:start w:val="1"/>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
      <w:numFmt w:val="bullet"/>
      <w:start w:val="1"/>
    </w:lvl>
  </w:abstractNum>
  <w:abstractNum w:abstractNumId="100">
    <w:nsid w:val="78B5E776"/>
    <w:multiLevelType w:val="hybridMultilevel"/>
    <w:lvl w:ilvl="0">
      <w:lvlJc w:val="left"/>
      <w:lvlText w:val="•"/>
      <w:numFmt w:val="bullet"/>
      <w:start w:val="1"/>
    </w:lvl>
  </w:abstractNum>
  <w:abstractNum w:abstractNumId="101">
    <w:nsid w:val="75486E47"/>
    <w:multiLevelType w:val="hybridMultilevel"/>
    <w:lvl w:ilvl="0">
      <w:lvlJc w:val="left"/>
      <w:lvlText w:val="•"/>
      <w:numFmt w:val="bullet"/>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
      <w:numFmt w:val="bullet"/>
      <w:start w:val="1"/>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lvl w:ilvl="1">
      <w:lvlJc w:val="left"/>
      <w:lvlText w:val="(%2)"/>
      <w:numFmt w:val="decimal"/>
      <w:start w:val="1"/>
    </w:lvl>
  </w:abstractNum>
  <w:abstractNum w:abstractNumId="111">
    <w:nsid w:val="49C0E823"/>
    <w:multiLevelType w:val="hybridMultilevel"/>
    <w:lvl w:ilvl="0">
      <w:lvlJc w:val="left"/>
      <w:lvlText w:val="•"/>
      <w:numFmt w:val="bullet"/>
      <w:start w:val="1"/>
    </w:lvl>
    <w:lvl w:ilvl="1">
      <w:lvlJc w:val="left"/>
      <w:lvlText w:val="(%2)"/>
      <w:numFmt w:val="decimal"/>
      <w:start w:val="2"/>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lvl w:ilvl="1">
      <w:lvlJc w:val="left"/>
      <w:lvlText w:val="(%2)"/>
      <w:numFmt w:val="decimal"/>
      <w:start w:val="1"/>
    </w:lvl>
  </w:abstractNum>
  <w:abstractNum w:abstractNumId="115">
    <w:nsid w:val="3F06ECB2"/>
    <w:multiLevelType w:val="hybridMultilevel"/>
    <w:lvl w:ilvl="0">
      <w:lvlJc w:val="left"/>
      <w:lvlText w:val="•"/>
      <w:numFmt w:val="bullet"/>
      <w:start w:val="1"/>
    </w:lvl>
  </w:abstractNum>
  <w:abstractNum w:abstractNumId="116">
    <w:nsid w:val="3B594807"/>
    <w:multiLevelType w:val="hybridMultilevel"/>
    <w:lvl w:ilvl="0">
      <w:lvlJc w:val="left"/>
      <w:lvlText w:val="•"/>
      <w:numFmt w:val="bullet"/>
      <w:start w:val="1"/>
    </w:lvl>
  </w:abstractNum>
  <w:abstractNum w:abstractNumId="117">
    <w:nsid w:val="6CAA2304"/>
    <w:multiLevelType w:val="hybridMultilevel"/>
    <w:lvl w:ilvl="0">
      <w:lvlJc w:val="left"/>
      <w:lvlText w:val="(%1)"/>
      <w:numFmt w:val="decimal"/>
      <w:start w:val="1"/>
    </w:lvl>
  </w:abstractNum>
  <w:abstractNum w:abstractNumId="118">
    <w:nsid w:val="3F7C2FF4"/>
    <w:multiLevelType w:val="hybridMultilevel"/>
    <w:lvl w:ilvl="0">
      <w:lvlJc w:val="left"/>
      <w:lvlText w:val="(%1)"/>
      <w:numFmt w:val="decimal"/>
      <w:start w:val="3"/>
    </w:lvl>
  </w:abstractNum>
  <w:abstractNum w:abstractNumId="119">
    <w:nsid w:val="25413BEC"/>
    <w:multiLevelType w:val="hybridMultilevel"/>
    <w:lvl w:ilvl="0">
      <w:lvlJc w:val="left"/>
      <w:lvlText w:val="(%1)"/>
      <w:numFmt w:val="decimal"/>
      <w:start w:val="2"/>
    </w:lvl>
  </w:abstractNum>
  <w:abstractNum w:abstractNumId="120">
    <w:nsid w:val="17180B0B"/>
    <w:multiLevelType w:val="hybridMultilevel"/>
    <w:lvl w:ilvl="0">
      <w:lvlJc w:val="left"/>
      <w:lvlText w:val="•"/>
      <w:numFmt w:val="bullet"/>
      <w:start w:val="1"/>
    </w:lvl>
  </w:abstractNum>
  <w:abstractNum w:abstractNumId="121">
    <w:nsid w:val="579328B9"/>
    <w:multiLevelType w:val="hybridMultilevel"/>
    <w:lvl w:ilvl="0">
      <w:lvlJc w:val="left"/>
      <w:lvlText w:val="%1."/>
      <w:numFmt w:val="decimal"/>
      <w:start w:val="1"/>
    </w:lvl>
  </w:abstractNum>
  <w:abstractNum w:abstractNumId="122">
    <w:nsid w:val="5D205E20"/>
    <w:multiLevelType w:val="hybridMultilevel"/>
    <w:lvl w:ilvl="0">
      <w:lvlJc w:val="left"/>
      <w:lvlText w:val="%1."/>
      <w:numFmt w:val="lowerLetter"/>
      <w:start w:val="1"/>
    </w:lvl>
  </w:abstractNum>
  <w:abstractNum w:abstractNumId="123">
    <w:nsid w:val="11CCA8BA"/>
    <w:multiLevelType w:val="hybridMultilevel"/>
    <w:lvl w:ilvl="0">
      <w:lvlJc w:val="left"/>
      <w:lvlText w:val="%1."/>
      <w:numFmt w:val="lowerLetter"/>
      <w:start w:val="2"/>
    </w:lvl>
  </w:abstractNum>
  <w:abstractNum w:abstractNumId="124">
    <w:nsid w:val="4D32AB86"/>
    <w:multiLevelType w:val="hybridMultilevel"/>
    <w:lvl w:ilvl="0">
      <w:lvlJc w:val="left"/>
      <w:lvlText w:val="%1."/>
      <w:numFmt w:val="lowerLetter"/>
      <w:start w:val="3"/>
    </w:lvl>
  </w:abstractNum>
  <w:abstractNum w:abstractNumId="125">
    <w:nsid w:val="3F07ACC3"/>
    <w:multiLevelType w:val="hybridMultilevel"/>
    <w:lvl w:ilvl="0">
      <w:lvlJc w:val="left"/>
      <w:lvlText w:val="%1."/>
      <w:numFmt w:val="lowerLetter"/>
      <w:start w:val="4"/>
    </w:lvl>
  </w:abstractNum>
  <w:abstractNum w:abstractNumId="126">
    <w:nsid w:val="6B47F63E"/>
    <w:multiLevelType w:val="hybridMultilevel"/>
    <w:lvl w:ilvl="0">
      <w:lvlJc w:val="left"/>
      <w:lvlText w:val="%1."/>
      <w:numFmt w:val="lowerLetter"/>
      <w:start w:val="5"/>
    </w:lvl>
  </w:abstractNum>
  <w:abstractNum w:abstractNumId="127">
    <w:nsid w:val="5CB44A05"/>
    <w:multiLevelType w:val="hybridMultilevel"/>
    <w:lvl w:ilvl="0">
      <w:lvlJc w:val="left"/>
      <w:lvlText w:val="%1."/>
      <w:numFmt w:val="lowerLetter"/>
      <w:start w:val="6"/>
    </w:lvl>
  </w:abstractNum>
  <w:abstractNum w:abstractNumId="128">
    <w:nsid w:val="16CF80F1"/>
    <w:multiLevelType w:val="hybridMultilevel"/>
    <w:lvl w:ilvl="0">
      <w:lvlJc w:val="left"/>
      <w:lvlText w:val="%1."/>
      <w:numFmt w:val="lowerLetter"/>
      <w:start w:val="7"/>
    </w:lvl>
  </w:abstractNum>
  <w:abstractNum w:abstractNumId="129">
    <w:nsid w:val="1C695DEC"/>
    <w:multiLevelType w:val="hybridMultilevel"/>
    <w:lvl w:ilvl="0">
      <w:lvlJc w:val="left"/>
      <w:lvlText w:val="%1."/>
      <w:numFmt w:val="lowerLetter"/>
      <w:start w:val="8"/>
    </w:lvl>
  </w:abstractNum>
  <w:abstractNum w:abstractNumId="130">
    <w:nsid w:val="3FCFAED9"/>
    <w:multiLevelType w:val="hybridMultilevel"/>
    <w:lvl w:ilvl="0">
      <w:lvlJc w:val="left"/>
      <w:lvlText w:val="%1."/>
      <w:numFmt w:val="lowerRoman"/>
      <w:start w:val="1"/>
    </w:lvl>
  </w:abstractNum>
  <w:abstractNum w:abstractNumId="131">
    <w:nsid w:val="F856867"/>
    <w:multiLevelType w:val="hybridMultilevel"/>
    <w:lvl w:ilvl="0">
      <w:lvlJc w:val="left"/>
      <w:lvlText w:val="%1."/>
      <w:numFmt w:val="lowerLetter"/>
      <w:start w:val="10"/>
    </w:lvl>
  </w:abstractNum>
  <w:abstractNum w:abstractNumId="132">
    <w:nsid w:val="11B1CC33"/>
    <w:multiLevelType w:val="hybridMultilevel"/>
    <w:lvl w:ilvl="0">
      <w:lvlJc w:val="left"/>
      <w:lvlText w:val="%1."/>
      <w:numFmt w:val="lowerLetter"/>
      <w:start w:val="11"/>
    </w:lvl>
  </w:abstractNum>
  <w:abstractNum w:abstractNumId="133">
    <w:nsid w:val="2E22FBB7"/>
    <w:multiLevelType w:val="hybridMultilevel"/>
    <w:lvl w:ilvl="0">
      <w:lvlJc w:val="left"/>
      <w:lvlText w:val="%1."/>
      <w:numFmt w:val="lowerLetter"/>
      <w:start w:val="12"/>
    </w:lvl>
  </w:abstractNum>
  <w:abstractNum w:abstractNumId="134">
    <w:nsid w:val="29934699"/>
    <w:multiLevelType w:val="hybridMultilevel"/>
    <w:lvl w:ilvl="0">
      <w:lvlJc w:val="left"/>
      <w:lvlText w:val="%1."/>
      <w:numFmt w:val="lowerLetter"/>
      <w:start w:val="13"/>
    </w:lvl>
  </w:abstractNum>
  <w:abstractNum w:abstractNumId="135">
    <w:nsid w:val="77485850"/>
    <w:multiLevelType w:val="hybridMultilevel"/>
    <w:lvl w:ilvl="0">
      <w:lvlJc w:val="left"/>
      <w:lvlText w:val="%1."/>
      <w:numFmt w:val="lowerLetter"/>
      <w:start w:val="14"/>
    </w:lvl>
  </w:abstractNum>
  <w:abstractNum w:abstractNumId="136">
    <w:nsid w:val="744939A3"/>
    <w:multiLevelType w:val="hybridMultilevel"/>
    <w:lvl w:ilvl="0">
      <w:lvlJc w:val="left"/>
      <w:lvlText w:val="%1."/>
      <w:numFmt w:val="lowerLetter"/>
      <w:start w:val="15"/>
    </w:lvl>
  </w:abstractNum>
  <w:abstractNum w:abstractNumId="137">
    <w:nsid w:val="4FA0D2E3"/>
    <w:multiLevelType w:val="hybridMultilevel"/>
    <w:lvl w:ilvl="0">
      <w:lvlJc w:val="left"/>
      <w:lvlText w:val="%1."/>
      <w:numFmt w:val="lowerLetter"/>
      <w:start w:val="16"/>
    </w:lvl>
  </w:abstractNum>
  <w:abstractNum w:abstractNumId="138">
    <w:nsid w:val="6B1D2C14"/>
    <w:multiLevelType w:val="hybridMultilevel"/>
    <w:lvl w:ilvl="0">
      <w:lvlJc w:val="left"/>
      <w:lvlText w:val="%1."/>
      <w:numFmt w:val="lowerLetter"/>
      <w:start w:val="17"/>
    </w:lvl>
  </w:abstractNum>
  <w:abstractNum w:abstractNumId="139">
    <w:nsid w:val="68B867D3"/>
    <w:multiLevelType w:val="hybridMultilevel"/>
    <w:lvl w:ilvl="0">
      <w:lvlJc w:val="left"/>
      <w:lvlText w:val="%1."/>
      <w:numFmt w:val="lowerLetter"/>
      <w:start w:val="18"/>
    </w:lvl>
  </w:abstractNum>
  <w:abstractNum w:abstractNumId="140">
    <w:nsid w:val="3F7F5DD9"/>
    <w:multiLevelType w:val="hybridMultilevel"/>
    <w:lvl w:ilvl="0">
      <w:lvlJc w:val="left"/>
      <w:lvlText w:val="%1."/>
      <w:numFmt w:val="decimal"/>
      <w:start w:val="2"/>
    </w:lvl>
  </w:abstractNum>
  <w:abstractNum w:abstractNumId="141">
    <w:nsid w:val="2AE05A34"/>
    <w:multiLevelType w:val="hybridMultilevel"/>
    <w:lvl w:ilvl="0">
      <w:lvlJc w:val="left"/>
      <w:lvlText w:val="%1."/>
      <w:numFmt w:val="decimal"/>
      <w:start w:val="4"/>
    </w:lvl>
  </w:abstractNum>
  <w:abstractNum w:abstractNumId="142">
    <w:nsid w:val="32794FF7"/>
    <w:multiLevelType w:val="hybridMultilevel"/>
    <w:lvl w:ilvl="0">
      <w:lvlJc w:val="left"/>
      <w:lvlText w:val="%1."/>
      <w:numFmt w:val="decimal"/>
      <w:start w:val="5"/>
    </w:lvl>
  </w:abstractNum>
  <w:abstractNum w:abstractNumId="143">
    <w:nsid w:val="5454945E"/>
    <w:multiLevelType w:val="hybridMultilevel"/>
    <w:lvl w:ilvl="0">
      <w:lvlJc w:val="left"/>
      <w:lvlText w:val="%1."/>
      <w:numFmt w:val="decimal"/>
      <w:start w:val="6"/>
    </w:lvl>
  </w:abstractNum>
  <w:abstractNum w:abstractNumId="144">
    <w:nsid w:val="4DEFDFA0"/>
    <w:multiLevelType w:val="hybridMultilevel"/>
    <w:lvl w:ilvl="0">
      <w:lvlJc w:val="left"/>
      <w:lvlText w:val="%1."/>
      <w:numFmt w:val="decimal"/>
      <w:start w:val="7"/>
    </w:lvl>
  </w:abstractNum>
  <w:abstractNum w:abstractNumId="145">
    <w:nsid w:val="2123D5F2"/>
    <w:multiLevelType w:val="hybridMultilevel"/>
    <w:lvl w:ilvl="0">
      <w:lvlJc w:val="left"/>
      <w:lvlText w:val="%1."/>
      <w:numFmt w:val="decimal"/>
      <w:start w:val="8"/>
    </w:lvl>
  </w:abstractNum>
  <w:abstractNum w:abstractNumId="146">
    <w:nsid w:val="135B8110"/>
    <w:multiLevelType w:val="hybridMultilevel"/>
    <w:lvl w:ilvl="0">
      <w:lvlJc w:val="left"/>
      <w:lvlText w:val="%1."/>
      <w:numFmt w:val="lowerLetter"/>
      <w:start w:val="1"/>
    </w:lvl>
  </w:abstractNum>
  <w:abstractNum w:abstractNumId="147">
    <w:nsid w:val="94927A8"/>
    <w:multiLevelType w:val="hybridMultilevel"/>
    <w:lvl w:ilvl="0">
      <w:lvlJc w:val="left"/>
      <w:lvlText w:val="%1."/>
      <w:numFmt w:val="lowerLetter"/>
      <w:start w:val="2"/>
    </w:lvl>
  </w:abstractNum>
  <w:abstractNum w:abstractNumId="148">
    <w:nsid w:val="DCDF8F6"/>
    <w:multiLevelType w:val="hybridMultilevel"/>
    <w:lvl w:ilvl="0">
      <w:lvlJc w:val="left"/>
      <w:lvlText w:val="%1."/>
      <w:numFmt w:val="lowerLetter"/>
      <w:start w:val="3"/>
    </w:lvl>
  </w:abstractNum>
  <w:abstractNum w:abstractNumId="149">
    <w:nsid w:val="52D7B105"/>
    <w:multiLevelType w:val="hybridMultilevel"/>
    <w:lvl w:ilvl="0">
      <w:lvlJc w:val="left"/>
      <w:lvlText w:val="%1."/>
      <w:numFmt w:val="lowerLetter"/>
      <w:start w:val="4"/>
    </w:lvl>
  </w:abstractNum>
  <w:abstractNum w:abstractNumId="150">
    <w:nsid w:val="2E8A6394"/>
    <w:multiLevelType w:val="hybridMultilevel"/>
    <w:lvl w:ilvl="0">
      <w:lvlJc w:val="left"/>
      <w:lvlText w:val="%1."/>
      <w:numFmt w:val="lowerLetter"/>
      <w:start w:val="5"/>
    </w:lvl>
  </w:abstractNum>
  <w:abstractNum w:abstractNumId="151">
    <w:nsid w:val="24E60401"/>
    <w:multiLevelType w:val="hybridMultilevel"/>
    <w:lvl w:ilvl="0">
      <w:lvlJc w:val="left"/>
      <w:lvlText w:val="%1."/>
      <w:numFmt w:val="lowerLetter"/>
      <w:start w:val="6"/>
    </w:lvl>
  </w:abstractNum>
  <w:abstractNum w:abstractNumId="152">
    <w:nsid w:val="2A6AD9BE"/>
    <w:multiLevelType w:val="hybridMultilevel"/>
    <w:lvl w:ilvl="0">
      <w:lvlJc w:val="left"/>
      <w:lvlText w:val="%1."/>
      <w:numFmt w:val="decimal"/>
      <w:start w:val="9"/>
    </w:lvl>
  </w:abstractNum>
  <w:abstractNum w:abstractNumId="153">
    <w:nsid w:val="BAAC1B4"/>
    <w:multiLevelType w:val="hybridMultilevel"/>
    <w:lvl w:ilvl="0">
      <w:lvlJc w:val="left"/>
      <w:lvlText w:val="%1."/>
      <w:numFmt w:val="decimal"/>
      <w:start w:val="10"/>
    </w:lvl>
  </w:abstractNum>
  <w:abstractNum w:abstractNumId="154">
    <w:nsid w:val="36B2ACBC"/>
    <w:multiLevelType w:val="hybridMultilevel"/>
    <w:lvl w:ilvl="0">
      <w:lvlJc w:val="left"/>
      <w:lvlText w:val="%1."/>
      <w:numFmt w:val="lowerLetter"/>
      <w:start w:val="1"/>
    </w:lvl>
  </w:abstractNum>
  <w:abstractNum w:abstractNumId="155">
    <w:nsid w:val="779D8544"/>
    <w:multiLevelType w:val="hybridMultilevel"/>
    <w:lvl w:ilvl="0">
      <w:lvlJc w:val="left"/>
      <w:lvlText w:val="%1."/>
      <w:numFmt w:val="lowerLetter"/>
      <w:start w:val="2"/>
    </w:lvl>
  </w:abstractNum>
  <w:abstractNum w:abstractNumId="156">
    <w:nsid w:val="4AB26E78"/>
    <w:multiLevelType w:val="hybridMultilevel"/>
    <w:lvl w:ilvl="0">
      <w:lvlJc w:val="left"/>
      <w:lvlText w:val="%1."/>
      <w:numFmt w:val="lowerLetter"/>
      <w:start w:val="3"/>
    </w:lvl>
  </w:abstractNum>
  <w:abstractNum w:abstractNumId="157">
    <w:nsid w:val="21FAA2FA"/>
    <w:multiLevelType w:val="hybridMultilevel"/>
    <w:lvl w:ilvl="0">
      <w:lvlJc w:val="left"/>
      <w:lvlText w:val="%1."/>
      <w:numFmt w:val="lowerLetter"/>
      <w:start w:val="4"/>
    </w:lvl>
  </w:abstractNum>
  <w:abstractNum w:abstractNumId="158">
    <w:nsid w:val="5451CF49"/>
    <w:multiLevelType w:val="hybridMultilevel"/>
    <w:lvl w:ilvl="0">
      <w:lvlJc w:val="left"/>
      <w:lvlText w:val="%1."/>
      <w:numFmt w:val="lowerLetter"/>
      <w:start w:val="5"/>
    </w:lvl>
  </w:abstractNum>
  <w:abstractNum w:abstractNumId="159">
    <w:nsid w:val="6181EF69"/>
    <w:multiLevelType w:val="hybridMultilevel"/>
    <w:lvl w:ilvl="0">
      <w:lvlJc w:val="left"/>
      <w:lvlText w:val="%1."/>
      <w:numFmt w:val="decimal"/>
      <w:start w:val="11"/>
    </w:lvl>
  </w:abstractNum>
  <w:abstractNum w:abstractNumId="160">
    <w:nsid w:val="3E6400E6"/>
    <w:multiLevelType w:val="hybridMultilevel"/>
    <w:lvl w:ilvl="0">
      <w:lvlJc w:val="left"/>
      <w:lvlText w:val="%1."/>
      <w:numFmt w:val="decimal"/>
      <w:start w:val="12"/>
    </w:lvl>
  </w:abstractNum>
  <w:abstractNum w:abstractNumId="161">
    <w:nsid w:val="14217E23"/>
    <w:multiLevelType w:val="hybridMultilevel"/>
    <w:lvl w:ilvl="0">
      <w:lvlJc w:val="left"/>
      <w:lvlText w:val="*"/>
      <w:numFmt w:val="bullet"/>
      <w:start w:val="1"/>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1)"/>
      <w:numFmt w:val="lowerLetter"/>
      <w:start w:val="5"/>
    </w:lvl>
  </w:abstractNum>
  <w:abstractNum w:abstractNumId="164">
    <w:nsid w:val="424479DA"/>
    <w:multiLevelType w:val="hybridMultilevel"/>
    <w:lvl w:ilvl="0">
      <w:lvlJc w:val="left"/>
      <w:lvlText w:val="(%1)"/>
      <w:numFmt w:val="decimal"/>
    </w:lvl>
    <w:lvl w:ilvl="1">
      <w:lvlJc w:val="left"/>
      <w:lvlText w:val="*"/>
      <w:numFmt w:val="bullet"/>
      <w:start w:val="1"/>
    </w:lvl>
  </w:abstractNum>
  <w:abstractNum w:abstractNumId="165">
    <w:nsid w:val="1A9A9E69"/>
    <w:multiLevelType w:val="hybridMultilevel"/>
    <w:lvl w:ilvl="0">
      <w:lvlJc w:val="left"/>
      <w:lvlText w:val="(%1)"/>
      <w:numFmt w:val="decimal"/>
      <w:start w:val="1"/>
    </w:lvl>
  </w:abstractNum>
  <w:abstractNum w:abstractNumId="166">
    <w:nsid w:val="475E256A"/>
    <w:multiLevelType w:val="hybridMultilevel"/>
    <w:lvl w:ilvl="0">
      <w:lvlJc w:val="left"/>
      <w:lvlText w:val="(%1)"/>
      <w:numFmt w:val="decimal"/>
    </w:lvl>
    <w:lvl w:ilvl="1">
      <w:lvlJc w:val="left"/>
      <w:lvlText w:val="*"/>
      <w:numFmt w:val="bullet"/>
      <w:start w:val="1"/>
    </w:lvl>
  </w:abstractNum>
  <w:abstractNum w:abstractNumId="167">
    <w:nsid w:val="368DB37E"/>
    <w:multiLevelType w:val="hybridMultilevel"/>
    <w:lvl w:ilvl="0">
      <w:lvlJc w:val="left"/>
      <w:lvlText w:val="%1."/>
      <w:numFmt w:val="upperLetter"/>
      <w:start w:val="1"/>
    </w:lvl>
  </w:abstractNum>
  <w:abstractNum w:abstractNumId="168">
    <w:nsid w:val="6A3B714C"/>
    <w:multiLevelType w:val="hybridMultilevel"/>
    <w:lvl w:ilvl="0">
      <w:lvlJc w:val="left"/>
      <w:lvlText w:val="%1."/>
      <w:numFmt w:val="decimal"/>
      <w:start w:val="1"/>
    </w:lvl>
  </w:abstractNum>
  <w:abstractNum w:abstractNumId="169">
    <w:nsid w:val="327B517E"/>
    <w:multiLevelType w:val="hybridMultilevel"/>
    <w:lvl w:ilvl="0">
      <w:lvlJc w:val="left"/>
      <w:lvlText w:val="%1."/>
      <w:numFmt w:val="decimal"/>
      <w:start w:val="2"/>
    </w:lvl>
  </w:abstractNum>
  <w:abstractNum w:abstractNumId="170">
    <w:nsid w:val="1F461B51"/>
    <w:multiLevelType w:val="hybridMultilevel"/>
    <w:lvl w:ilvl="0">
      <w:lvlJc w:val="left"/>
      <w:lvlText w:val="%1"/>
      <w:numFmt w:val="lowerLetter"/>
      <w:start w:val="1"/>
    </w:lvl>
    <w:lvl w:ilvl="1">
      <w:lvlJc w:val="left"/>
      <w:lvlText w:val="(%2)"/>
      <w:numFmt w:val="lowerLetter"/>
      <w:start w:val="2"/>
    </w:lvl>
  </w:abstractNum>
  <w:abstractNum w:abstractNumId="171">
    <w:nsid w:val="29BACF25"/>
    <w:multiLevelType w:val="hybridMultilevel"/>
    <w:lvl w:ilvl="0">
      <w:lvlJc w:val="left"/>
      <w:lvlText w:val="(%1)"/>
      <w:numFmt w:val="lowerLetter"/>
      <w:start w:val="35"/>
    </w:lvl>
    <w:lvl w:ilvl="1">
      <w:lvlJc w:val="left"/>
      <w:lvlText w:val="%2"/>
      <w:numFmt w:val="lowerLetter"/>
      <w:start w:val="1"/>
    </w:lvl>
  </w:abstractNum>
  <w:abstractNum w:abstractNumId="172">
    <w:nsid w:val="5D5BABB3"/>
    <w:multiLevelType w:val="hybridMultilevel"/>
    <w:lvl w:ilvl="0">
      <w:lvlJc w:val="left"/>
      <w:lvlText w:val="%1"/>
      <w:numFmt w:val="lowerLetter"/>
      <w:start w:val="1"/>
    </w:lvl>
    <w:lvl w:ilvl="1">
      <w:lvlJc w:val="left"/>
      <w:lvlText w:val="(%2)"/>
      <w:numFmt w:val="lowerLetter"/>
      <w:start w:val="1"/>
    </w:lvl>
  </w:abstractNum>
  <w:abstractNum w:abstractNumId="173">
    <w:nsid w:val="51BF6B48"/>
    <w:multiLevelType w:val="hybridMultilevel"/>
    <w:lvl w:ilvl="0">
      <w:lvlJc w:val="left"/>
      <w:lvlText w:val="(%1)"/>
      <w:numFmt w:val="lowerLetter"/>
      <w:start w:val="61"/>
    </w:lvl>
    <w:lvl w:ilvl="1">
      <w:lvlJc w:val="left"/>
      <w:lvlText w:val="%2"/>
      <w:numFmt w:val="lowerLetter"/>
      <w:start w:val="1"/>
    </w:lvl>
  </w:abstractNum>
  <w:abstractNum w:abstractNumId="174">
    <w:nsid w:val="7E0F6384"/>
    <w:multiLevelType w:val="hybridMultilevel"/>
    <w:lvl w:ilvl="0">
      <w:lvlJc w:val="left"/>
      <w:lvlText w:val="(%1)"/>
      <w:numFmt w:val="lowerLetter"/>
      <w:start w:val="2"/>
    </w:lvl>
  </w:abstractNum>
  <w:abstractNum w:abstractNumId="175">
    <w:nsid w:val="2B4B8B53"/>
    <w:multiLevelType w:val="hybridMultilevel"/>
    <w:lvl w:ilvl="0">
      <w:lvlJc w:val="left"/>
      <w:lvlText w:val="%1."/>
      <w:numFmt w:val="decimal"/>
      <w:start w:val="3"/>
    </w:lvl>
  </w:abstractNum>
  <w:abstractNum w:abstractNumId="176">
    <w:nsid w:val="72E3413A"/>
    <w:multiLevelType w:val="hybridMultilevel"/>
    <w:lvl w:ilvl="0">
      <w:lvlJc w:val="left"/>
      <w:lvlText w:val="%1."/>
      <w:numFmt w:val="decimal"/>
      <w:start w:val="4"/>
    </w:lvl>
  </w:abstractNum>
  <w:abstractNum w:abstractNumId="177">
    <w:nsid w:val="116AE494"/>
    <w:multiLevelType w:val="hybridMultilevel"/>
    <w:lvl w:ilvl="0">
      <w:lvlJc w:val="left"/>
      <w:lvlText w:val="%1."/>
      <w:numFmt w:val="decimal"/>
      <w:start w:val="5"/>
    </w:lvl>
  </w:abstractNum>
  <w:abstractNum w:abstractNumId="178">
    <w:nsid w:val="3494B2FB"/>
    <w:multiLevelType w:val="hybridMultilevel"/>
    <w:lvl w:ilvl="0">
      <w:lvlJc w:val="left"/>
      <w:lvlText w:val="%1."/>
      <w:numFmt w:val="decimal"/>
      <w:start w:val="6"/>
    </w:lvl>
  </w:abstractNum>
  <w:abstractNum w:abstractNumId="179">
    <w:nsid w:val="B13A31"/>
    <w:multiLevelType w:val="hybridMultilevel"/>
    <w:lvl w:ilvl="0">
      <w:lvlJc w:val="left"/>
      <w:lvlText w:val="%1."/>
      <w:numFmt w:val="decimal"/>
      <w:start w:val="7"/>
    </w:lvl>
  </w:abstractNum>
  <w:abstractNum w:abstractNumId="180">
    <w:nsid w:val="64429599"/>
    <w:multiLevelType w:val="hybridMultilevel"/>
    <w:lvl w:ilvl="0">
      <w:lvlJc w:val="left"/>
      <w:lvlText w:val="%1."/>
      <w:numFmt w:val="decimal"/>
      <w:start w:val="8"/>
    </w:lvl>
  </w:abstractNum>
  <w:abstractNum w:abstractNumId="181">
    <w:nsid w:val="631F1690"/>
    <w:multiLevelType w:val="hybridMultilevel"/>
    <w:lvl w:ilvl="0">
      <w:lvlJc w:val="left"/>
      <w:lvlText w:val="(%1)"/>
      <w:numFmt w:val="lowerLetter"/>
      <w:start w:val="1"/>
    </w:lvl>
  </w:abstractNum>
  <w:abstractNum w:abstractNumId="182">
    <w:nsid w:val="25973E32"/>
    <w:multiLevelType w:val="hybridMultilevel"/>
    <w:lvl w:ilvl="0">
      <w:lvlJc w:val="left"/>
      <w:lvlText w:val="%1"/>
      <w:numFmt w:val="decimal"/>
      <w:start w:val="1"/>
    </w:lvl>
    <w:lvl w:ilvl="1">
      <w:lvlJc w:val="left"/>
      <w:lvlText w:val="(%2)"/>
      <w:numFmt w:val="lowerLetter"/>
      <w:start w:val="4"/>
    </w:lvl>
  </w:abstractNum>
  <w:abstractNum w:abstractNumId="183">
    <w:nsid w:val="EAD6F57"/>
    <w:multiLevelType w:val="hybridMultilevel"/>
    <w:lvl w:ilvl="0">
      <w:lvlJc w:val="left"/>
      <w:lvlText w:val="%1."/>
      <w:numFmt w:val="decimal"/>
      <w:start w:val="10"/>
    </w:lvl>
    <w:lvl w:ilvl="1">
      <w:lvlJc w:val="left"/>
      <w:lvlText w:val="%2"/>
      <w:numFmt w:val="lowerLetter"/>
      <w:start w:val="1"/>
    </w:lvl>
  </w:abstractNum>
  <w:abstractNum w:abstractNumId="184">
    <w:nsid w:val="6EC9D844"/>
    <w:multiLevelType w:val="hybridMultilevel"/>
    <w:lvl w:ilvl="0">
      <w:lvlJc w:val="left"/>
      <w:lvlText w:val="%1."/>
      <w:numFmt w:val="decimal"/>
      <w:start w:val="11"/>
    </w:lvl>
  </w:abstractNum>
  <w:abstractNum w:abstractNumId="185">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6">
    <w:nsid w:val="64AF49B"/>
    <w:multiLevelType w:val="hybridMultilevel"/>
    <w:lvl w:ilvl="0">
      <w:lvlJc w:val="left"/>
      <w:lvlText w:val="%1."/>
      <w:numFmt w:val="decimal"/>
      <w:start w:val="3"/>
    </w:lvl>
    <w:lvl w:ilvl="1">
      <w:lvlJc w:val="left"/>
      <w:lvlText w:val="(%2)"/>
      <w:numFmt w:val="lowerLetter"/>
      <w:start w:val="1"/>
    </w:lvl>
  </w:abstractNum>
  <w:abstractNum w:abstractNumId="187">
    <w:nsid w:val="397C46BC"/>
    <w:multiLevelType w:val="hybridMultilevel"/>
    <w:lvl w:ilvl="0">
      <w:lvlJc w:val="left"/>
      <w:lvlText w:val="(%1)"/>
      <w:numFmt w:val="lowerLetter"/>
      <w:start w:val="2"/>
    </w:lvl>
  </w:abstractNum>
  <w:abstractNum w:abstractNumId="188">
    <w:nsid w:val="7E448DE9"/>
    <w:multiLevelType w:val="hybridMultilevel"/>
    <w:lvl w:ilvl="0">
      <w:lvlJc w:val="left"/>
      <w:lvlText w:val="%1"/>
      <w:numFmt w:val="decimal"/>
      <w:start w:val="1"/>
    </w:lvl>
    <w:lvl w:ilvl="1">
      <w:lvlJc w:val="left"/>
      <w:lvlText w:val="(%2)"/>
      <w:numFmt w:val="lowerLetter"/>
      <w:start w:val="3"/>
    </w:lvl>
  </w:abstractNum>
  <w:abstractNum w:abstractNumId="189">
    <w:nsid w:val="5A9CC3E5"/>
    <w:multiLevelType w:val="hybridMultilevel"/>
    <w:lvl w:ilvl="0">
      <w:lvlJc w:val="left"/>
      <w:lvlText w:val="%1."/>
      <w:numFmt w:val="decimal"/>
      <w:start w:val="4"/>
    </w:lvl>
    <w:lvl w:ilvl="1">
      <w:lvlJc w:val="left"/>
      <w:lvlText w:val="%2"/>
      <w:numFmt w:val="lowerLetter"/>
      <w:start w:val="1"/>
    </w:lvl>
  </w:abstractNum>
  <w:abstractNum w:abstractNumId="190">
    <w:nsid w:val="1AFE3625"/>
    <w:multiLevelType w:val="hybridMultilevel"/>
    <w:lvl w:ilvl="0">
      <w:lvlJc w:val="left"/>
      <w:lvlText w:val="%1."/>
      <w:numFmt w:val="decimal"/>
      <w:start w:val="6"/>
    </w:lvl>
    <w:lvl w:ilvl="1">
      <w:lvlJc w:val="left"/>
      <w:lvlText w:val="(%2)"/>
      <w:numFmt w:val="lowerLetter"/>
      <w:start w:val="1"/>
    </w:lvl>
  </w:abstractNum>
  <w:abstractNum w:abstractNumId="191">
    <w:nsid w:val="3CA88ECF"/>
    <w:multiLevelType w:val="hybridMultilevel"/>
    <w:lvl w:ilvl="0">
      <w:lvlJc w:val="left"/>
      <w:lvlText w:val="(%1)"/>
      <w:numFmt w:val="lowerLetter"/>
      <w:start w:val="3"/>
    </w:lvl>
  </w:abstractNum>
  <w:abstractNum w:abstractNumId="192">
    <w:nsid w:val="6EBE4208"/>
    <w:multiLevelType w:val="hybridMultilevel"/>
    <w:lvl w:ilvl="0">
      <w:lvlJc w:val="left"/>
      <w:lvlText w:val="(%1)"/>
      <w:numFmt w:val="lowerLetter"/>
      <w:start w:val="7"/>
    </w:lvl>
  </w:abstractNum>
  <w:abstractNum w:abstractNumId="193">
    <w:nsid w:val="C058D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2019-12-12T02:45:41Z</dcterms:created>
  <dcterms:modified xsi:type="dcterms:W3CDTF">2019-12-12T02:45:41Z</dcterms:modified>
</cp:coreProperties>
</file>