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30, 2008</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21" w:lineRule="exact"/>
        <w:rPr>
          <w:sz w:val="24"/>
          <w:szCs w:val="24"/>
          <w:color w:val="auto"/>
        </w:rPr>
      </w:pPr>
    </w:p>
    <w:p>
      <w:pPr>
        <w:jc w:val="center"/>
        <w:ind w:right="18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840" w:space="720"/>
            <w:col w:w="332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18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660"/>
        <w:spacing w:after="0"/>
        <w:rPr>
          <w:sz w:val="20"/>
          <w:szCs w:val="20"/>
          <w:color w:val="auto"/>
        </w:rPr>
      </w:pPr>
      <w:r>
        <w:rPr>
          <w:rFonts w:ascii="Arial" w:cs="Arial" w:eastAsia="Arial" w:hAnsi="Arial"/>
          <w:sz w:val="20"/>
          <w:szCs w:val="20"/>
          <w:b w:val="1"/>
          <w:bCs w:val="1"/>
          <w:color w:val="auto"/>
        </w:rPr>
        <w:t>333-100768</w:t>
      </w:r>
    </w:p>
    <w:p>
      <w:pPr>
        <w:spacing w:after="0" w:line="2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88-0494875</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840" w:space="720"/>
            <w:col w:w="3320"/>
          </w:cols>
          <w:pgMar w:left="240" w:top="225" w:right="239" w:bottom="1440" w:gutter="0" w:footer="0" w:header="0"/>
          <w:type w:val="continuous"/>
        </w:sectPr>
      </w:pPr>
    </w:p>
    <w:p>
      <w:pPr>
        <w:spacing w:after="0" w:line="44"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ind w:left="760"/>
        <w:spacing w:after="0"/>
        <w:rPr>
          <w:sz w:val="20"/>
          <w:szCs w:val="20"/>
          <w:color w:val="auto"/>
        </w:rPr>
      </w:pPr>
      <w:r>
        <w:rPr>
          <w:rFonts w:ascii="Arial" w:cs="Arial" w:eastAsia="Arial" w:hAnsi="Arial"/>
          <w:sz w:val="20"/>
          <w:szCs w:val="20"/>
          <w:b w:val="1"/>
          <w:bCs w:val="1"/>
          <w:color w:val="auto"/>
        </w:rPr>
        <w:t>Las Vegas, Nevada</w:t>
      </w:r>
    </w:p>
    <w:p>
      <w:pPr>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16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660" w:space="720"/>
            <w:col w:w="204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99"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w:t>
      </w:r>
      <w:r>
        <w:rPr>
          <w:rFonts w:ascii="Arial" w:cs="Arial" w:eastAsia="Arial" w:hAnsi="Arial"/>
          <w:sz w:val="21"/>
          <w:szCs w:val="21"/>
          <w:color w:val="auto"/>
        </w:rPr>
        <w:t>ritten communication pursuant to Rule 425 under the Securities Act (17 CFR 230.425)</w:t>
      </w:r>
    </w:p>
    <w:p>
      <w:pPr>
        <w:spacing w:after="0" w:line="21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17"/>
          <w:szCs w:val="17"/>
          <w:color w:val="auto"/>
        </w:rPr>
      </w:pPr>
    </w:p>
    <w:p>
      <w:pPr>
        <w:ind w:left="580" w:hanging="572"/>
        <w:spacing w:after="0"/>
        <w:tabs>
          <w:tab w:leader="none" w:pos="580" w:val="left"/>
        </w:tabs>
        <w:numPr>
          <w:ilvl w:val="0"/>
          <w:numId w:val="1"/>
        </w:numPr>
        <w:rPr>
          <w:rFonts w:ascii="Arial" w:cs="Arial" w:eastAsia="Arial" w:hAnsi="Arial"/>
          <w:sz w:val="17"/>
          <w:szCs w:val="17"/>
          <w:color w:val="auto"/>
        </w:rPr>
      </w:pPr>
      <w:r>
        <w:rPr>
          <w:rFonts w:ascii="Arial" w:cs="Arial" w:eastAsia="Arial" w:hAnsi="Arial"/>
          <w:sz w:val="21"/>
          <w:szCs w:val="21"/>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October 30, 2008, Wynn Resorts, Limited issued a press release announcing its results of operations for the third quarter of 2008.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940" w:hanging="500"/>
        <w:spacing w:after="0"/>
        <w:tabs>
          <w:tab w:leader="none" w:pos="9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740"/>
        <w:spacing w:after="0"/>
        <w:tabs>
          <w:tab w:leader="none" w:pos="18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October 30,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845820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30, 2008</w:t>
      </w:r>
    </w:p>
    <w:p>
      <w:pPr>
        <w:spacing w:after="0" w:line="24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19050</wp:posOffset>
            </wp:positionV>
            <wp:extent cx="16897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Chief Financial Officer and</w:t>
      </w:r>
    </w:p>
    <w:p>
      <w:pPr>
        <w:ind w:left="610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30, 2008</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gridSpan w:val="2"/>
          </w:tcPr>
          <w:p>
            <w:pPr>
              <w:spacing w:after="0"/>
              <w:rPr>
                <w:sz w:val="20"/>
                <w:szCs w:val="20"/>
                <w:color w:val="auto"/>
              </w:rPr>
            </w:pPr>
            <w:r>
              <w:rPr>
                <w:rFonts w:ascii="Arial" w:cs="Arial" w:eastAsia="Arial" w:hAnsi="Arial"/>
                <w:sz w:val="20"/>
                <w:szCs w:val="20"/>
                <w:color w:val="auto"/>
                <w:w w:val="90"/>
              </w:rPr>
              <w:t>Wynn Resorts Holdings, LLC, its sole member</w:t>
            </w:r>
          </w:p>
        </w:tc>
      </w:tr>
      <w:tr>
        <w:trPr>
          <w:trHeight w:val="446"/>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gridSpan w:val="2"/>
          </w:tcPr>
          <w:p>
            <w:pPr>
              <w:spacing w:after="0"/>
              <w:rPr>
                <w:sz w:val="20"/>
                <w:szCs w:val="20"/>
                <w:color w:val="auto"/>
              </w:rPr>
            </w:pPr>
            <w:r>
              <w:rPr>
                <w:rFonts w:ascii="Arial" w:cs="Arial" w:eastAsia="Arial" w:hAnsi="Arial"/>
                <w:sz w:val="20"/>
                <w:szCs w:val="20"/>
                <w:color w:val="auto"/>
              </w:rPr>
              <w:t>Wynn Resorts, Limited, its sole member</w:t>
            </w:r>
          </w:p>
        </w:tc>
      </w:tr>
      <w:tr>
        <w:trPr>
          <w:trHeight w:val="462"/>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720" w:type="dxa"/>
            <w:vAlign w:val="bottom"/>
            <w:gridSpan w:val="2"/>
          </w:tcPr>
          <w:p>
            <w:pPr>
              <w:spacing w:after="0"/>
              <w:rPr>
                <w:sz w:val="20"/>
                <w:szCs w:val="20"/>
                <w:color w:val="auto"/>
              </w:rPr>
            </w:pPr>
            <w:r>
              <w:rPr>
                <w:rFonts w:ascii="Arial" w:cs="Arial" w:eastAsia="Arial" w:hAnsi="Arial"/>
                <w:sz w:val="20"/>
                <w:szCs w:val="20"/>
                <w:color w:val="auto"/>
              </w:rPr>
              <w:t>/s/ Matt Maddox</w:t>
            </w:r>
          </w:p>
        </w:tc>
      </w:tr>
      <w:tr>
        <w:trPr>
          <w:trHeight w:val="213"/>
        </w:trPr>
        <w:tc>
          <w:tcPr>
            <w:tcW w:w="680" w:type="dxa"/>
            <w:vAlign w:val="bottom"/>
          </w:tcPr>
          <w:p>
            <w:pPr>
              <w:spacing w:after="0"/>
              <w:rPr>
                <w:sz w:val="18"/>
                <w:szCs w:val="18"/>
                <w:color w:val="auto"/>
              </w:rPr>
            </w:pPr>
          </w:p>
        </w:tc>
        <w:tc>
          <w:tcPr>
            <w:tcW w:w="2500" w:type="dxa"/>
            <w:vAlign w:val="bottom"/>
            <w:tcBorders>
              <w:top w:val="single" w:sz="8" w:color="auto"/>
            </w:tcBorders>
          </w:tcPr>
          <w:p>
            <w:pPr>
              <w:spacing w:after="0" w:line="213" w:lineRule="exact"/>
              <w:rPr>
                <w:sz w:val="20"/>
                <w:szCs w:val="20"/>
                <w:color w:val="auto"/>
              </w:rPr>
            </w:pPr>
            <w:r>
              <w:rPr>
                <w:rFonts w:ascii="Arial" w:cs="Arial" w:eastAsia="Arial" w:hAnsi="Arial"/>
                <w:sz w:val="20"/>
                <w:szCs w:val="20"/>
                <w:color w:val="auto"/>
              </w:rPr>
              <w:t>Matt Maddox</w:t>
            </w:r>
          </w:p>
        </w:tc>
        <w:tc>
          <w:tcPr>
            <w:tcW w:w="1220" w:type="dxa"/>
            <w:vAlign w:val="bottom"/>
          </w:tcPr>
          <w:p>
            <w:pPr>
              <w:spacing w:after="0"/>
              <w:rPr>
                <w:sz w:val="18"/>
                <w:szCs w:val="18"/>
                <w:color w:val="auto"/>
              </w:rPr>
            </w:pPr>
          </w:p>
        </w:tc>
      </w:tr>
      <w:tr>
        <w:trPr>
          <w:trHeight w:val="230"/>
        </w:trPr>
        <w:tc>
          <w:tcPr>
            <w:tcW w:w="68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68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7"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Wynn Resorts, Limited Posts Third Quarter Results</w:t>
      </w:r>
    </w:p>
    <w:p>
      <w:pPr>
        <w:spacing w:after="0" w:line="26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LAS VEGAS, October 30, 2008 (BUSINESS WIRE) -- Wynn Resorts, Limited (Nasdaq: WYNN) today reported financial results for the quarter ended September 30, 2008.</w:t>
      </w:r>
    </w:p>
    <w:p>
      <w:pPr>
        <w:spacing w:after="0" w:line="22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Net revenues for the third quarter of 2008 were $769.2 million, compared to $653.4 million in the third quarter of 2007. The revenue increase was driven primarily by a 36.6% increase in revenues at Wynn Macau.</w:t>
      </w:r>
    </w:p>
    <w:p>
      <w:pPr>
        <w:spacing w:after="0" w:line="22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Consolidated adjusted property EBITDA (1) decreased 5.2% to $176.4 million for the third quarter of 2008, compared to $186.0 million in the third quarter of 2007.</w:t>
      </w:r>
    </w:p>
    <w:p>
      <w:pPr>
        <w:spacing w:after="0" w:line="22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a US GAAP (Generally Accepted Accounting Principles) basis, net income for the quarter was $51.1 million, or $0.49 per diluted share, compared to net income of $44.7 million, or $0.41 per diluted share in 2007. Adjusted net income in the third quarter of 2008 was $ 64.2 million, or $0.62 per diluted share (adjusted EPS)(2) compared to an adjusted net income of $73.4 million, or $0.67 per diluted share in the third quarter of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Third Quarter Results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September 30, 2008, Wynn Las Vegas generated adjusted property EBITDA of $ 70.1 million, compared to $ 93.2 million in the third quarter of 2007, with a 23.8% EBITDA margin on net revenue. The EBITDA decline is primarily attributable to a lower hold percentage and an $11.1 million increase in our bad debt reserve based solely on the current global economic uncertainty.</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third quarter of 2008 were $143.2 million, compared to $ 149.9 million for the third quarter of 2007. Table games drop increased 11.6% from the comparable period in 2007 to $531.0 million but table games hold decreased to 24.3%, compared to 26.4% in 2007. Slot machine handle of $853.8 million was 11.9% below the comparable period of 2007 and win per unit per day was $225, compared to a win per unit per day of $234 in the third quarter of 2007.</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non-casino revenues for the quarter were $ 190.9 million, a 1.1% decrease from the third quarter of 2007. Hotel revenues were down 3.9% to $65.3 million during the quarter. Wynn Las Vegas achieved an Average Daily Rate (ADR) of $272 for the quarter, compared to $282 in the third quarter of 2007. The property’s occupancy was 96.1%, compared to 96.6% during the prior year period, generating revenue per available room (REVPAR) of $261 in the 2008 period (4.0% below the third quarter of 2007).</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Food and beverage revenues increased 2.5% to $ 74.6 million in the quarter, and retail revenues declined 3.8% to $23.0 million in the quarter. Entertainment revenues were approximately $16.0 million compared to $ 17.0 million in the third quarter of 2007 as we closed Spamalot on July 13, 2008. We have begun the renovation of the theater which will feature Danny Gans in the Encore Theater commencing in February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 will include a 2,034 all-suite hotel tower, an approximately 72,000 square foot casino, additional convention and meeting space, as well as five restaurants, a nightclub, swimming pools, a spa and salon and retail outlets. Encore is expected to open in December 2008 and our project budget is approximately $2.3 billion for Encore and related capital improvements. Encore at Wynn Las Vegas is fully financed.</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2008, we had incurred approximately $1.8 billion of project costs related to the development and construction of Encore and related capital improvements.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Third Quarter Results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third quarter of 2008, Wynn Macau generated net revenues of $474.8 million compared to $ 347.7 million for the third quarter of 2007. Adjusted property EBITDA increased 14.5% to $106.3 million (with a 22.4% EBITDA margin on net revenue) compared to $92.8 million in the third quarter of 2007. In December 2007, we completed the Wynn Macau expansion, adding approximately 75,000 square feet of gaming space and 20,000 square feet of retail space including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new boutiques. EBITDA at Wynn Macau during this quarter was also reduced by an $11.0 million increase in bad debt reserves based solely on the current global economic uncertainty.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are segregated into two distinct reporting categories, the VIP segment and the mass market segment.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turnover in the VIP segment increased 35.6% to $13.3 billion for the period, compared to $ 9.8 billion for the third quarter of 2007. VIP table games win as a percentage of turnover (calculated before discounts and commissions) was 3.10%, just above the top end of the expected range of 2.7% to 3.0% and higher than the 2.96% in the comparable period of 2007.</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Table games drop in the mass market category was approximately $568.8 million during the period, a 19.7% increase from $475.4 million in the third quarter of 2007. Mass market table games win percentage (calculated before discounts) of 20.3% was in-line with the win percentage in the third quarter of 2007 and above our expected range of 18% to 20%.</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Slot machine win increased 103.2% compared to the third quarter of 2007. Win per unit per day was $366, a 19.7% decline from the third quarter of 2007 due to the increase in the average number of slot machines from 486 to 1,230 slots.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Wynn Macau achieved an Average Daily Rate (ADR) of $272 for the quarter, compared to $245 in the third quarter of 2007. The property’s occupancy was 86.2%, compared to 91.9% during the prior year period, generating revenue per available room (REVPAR) of $234 in the 2008 period (4.2% higher than in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Wynn Macau currently features approximately 600 hotel rooms and suites, 380 table games and 1,230 slot machines in 205,000 square feet of casino gaming space, five restaurants, a spa and salon, lounges, meeting facilities and 46,000 square feet of retail space. Encore at Wynn Macau will add a fully-integrated resort hotel with approximately 400 luxury suites and four villas, along with restaurants and additional retail and gaming space. We expect Encore at Wynn Macau to open in the first quarter of 2010. As of September 30, 2008, we have incurred $150.1 million of an expected $700 million budget associated with the construction of Encore at Wynn Macau. Encore at Wynn Macau is fully financed.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net of $24.0 million in capitalized interest, was $40.3 million for the third quarter of 2008. Depreciation and amortization expenses were $65.5 million and Encore at Wynn Las Vegas pre-opening expenses were $13.9 million during the quarter. Corporate expense and other was $17.1 million in the third quarter, including $5.4 million in stock 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total cash balances at the end of the quarter were $1.7 billion, including cash balances restricted for construction of approximately $31 million. Total debt outstanding at the end of the quarter was $4.9 billion, including approximately $2.8 billion of Wynn Las Vegas debt, $1.1 billion of Wynn Macau related debt and $1.0 billion at Wynn Resorts, Limited. During the quarter we drew on the remaining availability under our Wynn Las Vegas Revolver and drew an additional $500 million on our Wynn Macau facilities of which $500 million remain available.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Capital expenditures during the third quarter of 2008, net of changes in construction payables and retention, totaled approximately $345.0 million, primarily attributable to Encore at Wynn Las Vegas.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the month of July, the Company repurchased 4,256,271 shares of our common stock at an average price of $79.06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Thursday, October 30, 2008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and (ii) operating income to adjusted property EBITDA and adjusted property EBITDA to net income.</w:t>
      </w:r>
    </w:p>
    <w:p>
      <w:pPr>
        <w:spacing w:after="0" w:line="224" w:lineRule="exact"/>
        <w:rPr>
          <w:sz w:val="20"/>
          <w:szCs w:val="20"/>
          <w:color w:val="auto"/>
        </w:rPr>
      </w:pPr>
    </w:p>
    <w:p>
      <w:pPr>
        <w:jc w:val="both"/>
        <w:ind w:firstLine="8"/>
        <w:spacing w:after="0" w:line="237" w:lineRule="auto"/>
        <w:tabs>
          <w:tab w:leader="none" w:pos="283"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is net income before pre-opening costs, property charges, one time tax adjustments and other, and other non-cash non-operating income and expenses. Adjusted net income and adjusted net income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and adjusted net income per share may be different from the calculation methods used by other companies and, therefore, comparability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6"/>
        </w:trPr>
        <w:tc>
          <w:tcPr>
            <w:tcW w:w="50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bottom w:val="single" w:sz="8" w:color="auto"/>
            </w:tcBorders>
          </w:tcPr>
          <w:p>
            <w:pPr>
              <w:spacing w:after="0"/>
              <w:rPr>
                <w:sz w:val="17"/>
                <w:szCs w:val="17"/>
                <w:color w:val="auto"/>
              </w:rPr>
            </w:pPr>
          </w:p>
        </w:tc>
      </w:tr>
      <w:tr>
        <w:trPr>
          <w:trHeight w:val="681"/>
        </w:trPr>
        <w:tc>
          <w:tcPr>
            <w:tcW w:w="5040" w:type="dxa"/>
            <w:vAlign w:val="bottom"/>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Casino</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590,576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476,785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1,805,984</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1,425,802</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79,603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81,631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251,676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254,719</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87,607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82,451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262,560</w:t>
            </w:r>
          </w:p>
        </w:tc>
      </w:tr>
      <w:tr>
        <w:trPr>
          <w:trHeight w:val="203"/>
        </w:trPr>
        <w:tc>
          <w:tcPr>
            <w:tcW w:w="5040" w:type="dxa"/>
            <w:vAlign w:val="bottom"/>
          </w:tcPr>
          <w:p>
            <w:pPr>
              <w:ind w:left="240"/>
              <w:spacing w:after="0" w:line="203" w:lineRule="exact"/>
              <w:rPr>
                <w:sz w:val="20"/>
                <w:szCs w:val="20"/>
                <w:color w:val="auto"/>
              </w:rPr>
            </w:pPr>
            <w:r>
              <w:rPr>
                <w:rFonts w:ascii="Arial" w:cs="Arial" w:eastAsia="Arial" w:hAnsi="Arial"/>
                <w:sz w:val="18"/>
                <w:szCs w:val="18"/>
                <w:color w:val="auto"/>
              </w:rPr>
              <w:t>Entertainment, retail and 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69,306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210,418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176,103</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5040" w:type="dxa"/>
            <w:vAlign w:val="bottom"/>
          </w:tcPr>
          <w:p>
            <w:pPr>
              <w:ind w:left="380"/>
              <w:spacing w:after="0"/>
              <w:rPr>
                <w:sz w:val="20"/>
                <w:szCs w:val="20"/>
                <w:color w:val="auto"/>
              </w:rPr>
            </w:pPr>
            <w:r>
              <w:rPr>
                <w:rFonts w:ascii="Arial" w:cs="Arial" w:eastAsia="Arial" w:hAnsi="Arial"/>
                <w:sz w:val="18"/>
                <w:szCs w:val="18"/>
                <w:color w:val="auto"/>
              </w:rPr>
              <w:t>Gross revenues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827,092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702,104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2,543,705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2,119,184</w:t>
            </w:r>
          </w:p>
        </w:tc>
      </w:tr>
      <w:tr>
        <w:trPr>
          <w:trHeight w:val="203"/>
        </w:trPr>
        <w:tc>
          <w:tcPr>
            <w:tcW w:w="5040" w:type="dxa"/>
            <w:vAlign w:val="bottom"/>
          </w:tcPr>
          <w:p>
            <w:pPr>
              <w:ind w:left="240"/>
              <w:spacing w:after="0" w:line="203" w:lineRule="exact"/>
              <w:rPr>
                <w:sz w:val="20"/>
                <w:szCs w:val="20"/>
                <w:color w:val="auto"/>
              </w:rPr>
            </w:pPr>
            <w:r>
              <w:rPr>
                <w:rFonts w:ascii="Arial" w:cs="Arial" w:eastAsia="Arial" w:hAnsi="Arial"/>
                <w:sz w:val="18"/>
                <w:szCs w:val="18"/>
                <w:color w:val="auto"/>
              </w:rPr>
              <w:t>Less: promotional allowances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right"/>
              <w:ind w:right="180"/>
              <w:spacing w:after="0" w:line="203" w:lineRule="exact"/>
              <w:rPr>
                <w:sz w:val="20"/>
                <w:szCs w:val="20"/>
                <w:color w:val="auto"/>
              </w:rPr>
            </w:pPr>
            <w:r>
              <w:rPr>
                <w:rFonts w:ascii="Arial" w:cs="Arial" w:eastAsia="Arial" w:hAnsi="Arial"/>
                <w:sz w:val="18"/>
                <w:szCs w:val="18"/>
                <w:color w:val="auto"/>
              </w:rPr>
              <w:t>(57,906)</w:t>
            </w:r>
          </w:p>
        </w:tc>
        <w:tc>
          <w:tcPr>
            <w:tcW w:w="200" w:type="dxa"/>
            <w:vAlign w:val="bottom"/>
          </w:tcPr>
          <w:p>
            <w:pPr>
              <w:spacing w:after="0"/>
              <w:rPr>
                <w:sz w:val="17"/>
                <w:szCs w:val="17"/>
                <w:color w:val="auto"/>
              </w:rPr>
            </w:pPr>
          </w:p>
        </w:tc>
        <w:tc>
          <w:tcPr>
            <w:tcW w:w="12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(48,718)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(170,656)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(142,940)</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4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769,186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2,373,049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1,976,244</w:t>
            </w:r>
          </w:p>
        </w:tc>
      </w:tr>
      <w:tr>
        <w:trPr>
          <w:trHeight w:val="438"/>
        </w:trPr>
        <w:tc>
          <w:tcPr>
            <w:tcW w:w="50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Casino</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377,322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286,434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1,165,647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840,827</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Rooms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21,340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60,060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63,681</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Food and beverage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52,607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51,463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159,403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160,671</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Entertainment, retail and other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39,436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42,084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127,310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118,631</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85,371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77,904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249,606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230,364</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36,296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49,012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27,844</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13,911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26,055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4,180</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65,544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56,001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192,055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159,427</w:t>
            </w:r>
          </w:p>
        </w:tc>
      </w:tr>
      <w:tr>
        <w:trPr>
          <w:trHeight w:val="203"/>
        </w:trPr>
        <w:tc>
          <w:tcPr>
            <w:tcW w:w="5040" w:type="dxa"/>
            <w:vAlign w:val="bottom"/>
          </w:tcPr>
          <w:p>
            <w:pPr>
              <w:ind w:left="240"/>
              <w:spacing w:after="0" w:line="203" w:lineRule="exact"/>
              <w:rPr>
                <w:sz w:val="20"/>
                <w:szCs w:val="20"/>
                <w:color w:val="auto"/>
              </w:rPr>
            </w:pPr>
            <w:r>
              <w:rPr>
                <w:rFonts w:ascii="Arial" w:cs="Arial" w:eastAsia="Arial" w:hAnsi="Arial"/>
                <w:sz w:val="18"/>
                <w:szCs w:val="18"/>
                <w:color w:val="auto"/>
              </w:rPr>
              <w:t>Property charges and 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25,096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rPr>
              <w:t>31,188</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51,386</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040" w:type="dxa"/>
            <w:vAlign w:val="bottom"/>
          </w:tcPr>
          <w:p>
            <w:pPr>
              <w:ind w:left="38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691,427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567,518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2,060,336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1,657,011</w:t>
            </w:r>
          </w:p>
        </w:tc>
      </w:tr>
      <w:tr>
        <w:trPr>
          <w:trHeight w:val="419"/>
        </w:trPr>
        <w:tc>
          <w:tcPr>
            <w:tcW w:w="504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1,401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78,189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86,296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314,114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320,628</w:t>
            </w:r>
          </w:p>
        </w:tc>
      </w:tr>
      <w:tr>
        <w:trPr>
          <w:trHeight w:val="438"/>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9,906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20,115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31,038</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Interest expense, net of capitalized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(40,263)</w:t>
            </w:r>
          </w:p>
        </w:tc>
        <w:tc>
          <w:tcPr>
            <w:tcW w:w="2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(34,743)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(126,513)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(107,876)</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Increase (decrease) in swap fair value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(3,588)</w:t>
            </w:r>
          </w:p>
        </w:tc>
        <w:tc>
          <w:tcPr>
            <w:tcW w:w="2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5,119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(2,348)</w:t>
            </w: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Loss from extinguishment of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r>
      <w:tr>
        <w:trPr>
          <w:trHeight w:val="203"/>
        </w:trPr>
        <w:tc>
          <w:tcPr>
            <w:tcW w:w="5040" w:type="dxa"/>
            <w:vAlign w:val="bottom"/>
          </w:tcPr>
          <w:p>
            <w:pPr>
              <w:ind w:left="240"/>
              <w:spacing w:after="0" w:line="203"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right"/>
              <w:ind w:right="180"/>
              <w:spacing w:after="0" w:line="203" w:lineRule="exact"/>
              <w:rPr>
                <w:sz w:val="20"/>
                <w:szCs w:val="20"/>
                <w:color w:val="auto"/>
              </w:rPr>
            </w:pPr>
            <w:r>
              <w:rPr>
                <w:rFonts w:ascii="Arial" w:cs="Arial" w:eastAsia="Arial" w:hAnsi="Arial"/>
                <w:sz w:val="18"/>
                <w:szCs w:val="18"/>
                <w:color w:val="auto"/>
              </w:rPr>
              <w:t>(2,805)</w:t>
            </w:r>
          </w:p>
        </w:tc>
        <w:tc>
          <w:tcPr>
            <w:tcW w:w="200" w:type="dxa"/>
            <w:vAlign w:val="bottom"/>
          </w:tcPr>
          <w:p>
            <w:pPr>
              <w:spacing w:after="0"/>
              <w:rPr>
                <w:sz w:val="17"/>
                <w:szCs w:val="17"/>
                <w:color w:val="auto"/>
              </w:rPr>
            </w:pPr>
          </w:p>
        </w:tc>
        <w:tc>
          <w:tcPr>
            <w:tcW w:w="120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(3,129)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(2,694)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(1,753)</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4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(43,925)</w:t>
            </w:r>
          </w:p>
        </w:tc>
        <w:tc>
          <w:tcPr>
            <w:tcW w:w="2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(32,173)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(103,973)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(81,096)</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34,264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54,123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210,141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239,532</w:t>
            </w:r>
          </w:p>
        </w:tc>
      </w:tr>
      <w:tr>
        <w:trPr>
          <w:trHeight w:val="419"/>
        </w:trPr>
        <w:tc>
          <w:tcPr>
            <w:tcW w:w="5040" w:type="dxa"/>
            <w:vAlign w:val="bottom"/>
          </w:tcPr>
          <w:p>
            <w:pPr>
              <w:ind w:left="2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16,866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(9,383)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159,699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(46,837)</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51,130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44,740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369,840</w:t>
            </w:r>
          </w:p>
        </w:tc>
        <w:tc>
          <w:tcPr>
            <w:tcW w:w="280" w:type="dxa"/>
            <w:vAlign w:val="bottom"/>
          </w:tcPr>
          <w:p>
            <w:pPr>
              <w:spacing w:after="0"/>
              <w:rPr>
                <w:sz w:val="24"/>
                <w:szCs w:val="2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192,695</w:t>
            </w:r>
          </w:p>
        </w:tc>
      </w:tr>
      <w:tr>
        <w:trPr>
          <w:trHeight w:val="647"/>
        </w:trPr>
        <w:tc>
          <w:tcPr>
            <w:tcW w:w="504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r>
      <w:tr>
        <w:trPr>
          <w:trHeight w:val="189"/>
        </w:trPr>
        <w:tc>
          <w:tcPr>
            <w:tcW w:w="5040" w:type="dxa"/>
            <w:vAlign w:val="bottom"/>
          </w:tcPr>
          <w:p>
            <w:pPr>
              <w:ind w:left="440"/>
              <w:spacing w:after="0" w:line="189" w:lineRule="exact"/>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0.49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6"/>
                <w:szCs w:val="16"/>
                <w:color w:val="auto"/>
              </w:rPr>
            </w:pPr>
          </w:p>
        </w:tc>
        <w:tc>
          <w:tcPr>
            <w:tcW w:w="3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3.36</w:t>
            </w:r>
          </w:p>
        </w:tc>
        <w:tc>
          <w:tcPr>
            <w:tcW w:w="280" w:type="dxa"/>
            <w:vAlign w:val="bottom"/>
          </w:tcPr>
          <w:p>
            <w:pPr>
              <w:spacing w:after="0"/>
              <w:rPr>
                <w:sz w:val="16"/>
                <w:szCs w:val="16"/>
                <w:color w:val="auto"/>
              </w:rPr>
            </w:pPr>
          </w:p>
        </w:tc>
        <w:tc>
          <w:tcPr>
            <w:tcW w:w="66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1.77</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103,266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107,632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108,915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103,439</w:t>
            </w:r>
          </w:p>
        </w:tc>
      </w:tr>
      <w:tr>
        <w:trPr>
          <w:trHeight w:val="217"/>
        </w:trPr>
        <w:tc>
          <w:tcPr>
            <w:tcW w:w="50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104,270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110,881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110,106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111,783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20" w:firstLine="8"/>
        <w:spacing w:after="0" w:line="259"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three and nine months ended September 30, 2007 include the assumption that the convertible subordinated debentures were converted into shares of common stock at January 1, 2007. Accordingly, net income used in the computation of diluted earnings per share is increased by approximately $0.4 million and $5.1 million, respectively, of net interest attributable to these debentures for the three and nine months ended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6" w:right="239" w:bottom="764"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RECONCILIATION OF NET INCOME</w:t>
      </w:r>
    </w:p>
    <w:p>
      <w:pPr>
        <w:jc w:val="center"/>
        <w:ind w:right="-39"/>
        <w:spacing w:after="0" w:line="234" w:lineRule="auto"/>
        <w:rPr>
          <w:sz w:val="20"/>
          <w:szCs w:val="20"/>
          <w:color w:val="auto"/>
        </w:rPr>
      </w:pPr>
      <w:r>
        <w:rPr>
          <w:rFonts w:ascii="Arial" w:cs="Arial" w:eastAsia="Arial" w:hAnsi="Arial"/>
          <w:sz w:val="18"/>
          <w:szCs w:val="18"/>
          <w:color w:val="auto"/>
        </w:rPr>
        <w:t>TO ADJUSTED NET INCOME</w:t>
      </w:r>
    </w:p>
    <w:p>
      <w:pPr>
        <w:jc w:val="center"/>
        <w:ind w:right="-3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51,130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44,740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369,840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192,695</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13,911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1,455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26,055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4,180</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157</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(Increase) decrease in swap fair value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4,207</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2,348</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25,096</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31,188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51,386</w:t>
            </w:r>
          </w:p>
        </w:tc>
      </w:tr>
      <w:tr>
        <w:trPr>
          <w:trHeight w:val="203"/>
        </w:trPr>
        <w:tc>
          <w:tcPr>
            <w:tcW w:w="6080" w:type="dxa"/>
            <w:vAlign w:val="bottom"/>
          </w:tcPr>
          <w:p>
            <w:pPr>
              <w:ind w:left="120"/>
              <w:spacing w:after="0" w:line="202" w:lineRule="exact"/>
              <w:rPr>
                <w:sz w:val="20"/>
                <w:szCs w:val="20"/>
                <w:color w:val="auto"/>
              </w:rPr>
            </w:pPr>
            <w:r>
              <w:rPr>
                <w:rFonts w:ascii="Arial" w:cs="Arial" w:eastAsia="Arial" w:hAnsi="Arial"/>
                <w:sz w:val="18"/>
                <w:szCs w:val="18"/>
                <w:color w:val="auto"/>
              </w:rPr>
              <w:t>Adjustment for taxes on above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(2,109)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(14,573)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(3,964)</w:t>
            </w:r>
          </w:p>
        </w:tc>
      </w:tr>
      <w:tr>
        <w:trPr>
          <w:trHeight w:val="203"/>
        </w:trPr>
        <w:tc>
          <w:tcPr>
            <w:tcW w:w="6080" w:type="dxa"/>
            <w:vAlign w:val="bottom"/>
          </w:tcPr>
          <w:p>
            <w:pPr>
              <w:ind w:left="120"/>
              <w:spacing w:after="0" w:line="203" w:lineRule="exact"/>
              <w:rPr>
                <w:sz w:val="20"/>
                <w:szCs w:val="20"/>
                <w:color w:val="auto"/>
              </w:rPr>
            </w:pPr>
            <w:r>
              <w:rPr>
                <w:rFonts w:ascii="Arial" w:cs="Arial" w:eastAsia="Arial" w:hAnsi="Arial"/>
                <w:sz w:val="18"/>
                <w:szCs w:val="18"/>
                <w:color w:val="auto"/>
              </w:rPr>
              <w:t>Recognition of foreign tax credit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(140,655)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tcPr>
          <w:p>
            <w:pPr>
              <w:spacing w:after="0" w:line="196" w:lineRule="exact"/>
              <w:rPr>
                <w:sz w:val="20"/>
                <w:szCs w:val="20"/>
                <w:color w:val="auto"/>
              </w:rPr>
            </w:pPr>
            <w:r>
              <w:rPr>
                <w:rFonts w:ascii="Arial" w:cs="Arial" w:eastAsia="Arial" w:hAnsi="Arial"/>
                <w:sz w:val="18"/>
                <w:szCs w:val="18"/>
                <w:color w:val="auto"/>
              </w:rPr>
              <w:t>Adjusted net income (2)</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73,389</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266,736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246,802</w:t>
            </w:r>
          </w:p>
        </w:tc>
        <w:tc>
          <w:tcPr>
            <w:tcW w:w="60" w:type="dxa"/>
            <w:vAlign w:val="bottom"/>
          </w:tcPr>
          <w:p>
            <w:pPr>
              <w:spacing w:after="0"/>
              <w:rPr>
                <w:sz w:val="17"/>
                <w:szCs w:val="17"/>
                <w:color w:val="auto"/>
              </w:rPr>
            </w:pPr>
          </w:p>
        </w:tc>
      </w:tr>
      <w:tr>
        <w:trPr>
          <w:trHeight w:val="635"/>
        </w:trPr>
        <w:tc>
          <w:tcPr>
            <w:tcW w:w="6080" w:type="dxa"/>
            <w:vAlign w:val="bottom"/>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r>
      <w:tr>
        <w:trPr>
          <w:trHeight w:val="21"/>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160" w:firstLine="8"/>
        <w:spacing w:after="0" w:line="252" w:lineRule="auto"/>
        <w:tabs>
          <w:tab w:leader="none" w:pos="162" w:val="left"/>
        </w:tabs>
        <w:numPr>
          <w:ilvl w:val="0"/>
          <w:numId w:val="6"/>
        </w:numPr>
        <w:rPr>
          <w:rFonts w:ascii="Arial" w:cs="Arial" w:eastAsia="Arial" w:hAnsi="Arial"/>
          <w:sz w:val="21"/>
          <w:szCs w:val="21"/>
          <w:color w:val="auto"/>
        </w:rPr>
      </w:pPr>
      <w:r>
        <w:rPr>
          <w:rFonts w:ascii="Arial" w:cs="Arial" w:eastAsia="Arial" w:hAnsi="Arial"/>
          <w:sz w:val="21"/>
          <w:szCs w:val="21"/>
          <w:color w:val="auto"/>
        </w:rPr>
        <w:t>Diluted adjusted net income per share for the three and nine months ended September 30, 2007 includes the assumption that the convertible subordinated debentures were converted into shares of common stock at January 1, 2007. Accordingly, adjusted net income used in the computation of diluted adjusted net income per share is increased by approximately $0.4 million and $5.1 million, respectively, of net interest attributable to these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3" w:right="27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100"/>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ind w:right="100"/>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2008</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2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Vegas</w:t>
            </w:r>
          </w:p>
        </w:tc>
        <w:tc>
          <w:tcPr>
            <w:tcW w:w="120" w:type="dxa"/>
            <w:vAlign w:val="bottom"/>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59,552</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18,909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78,189</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65,544</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3"/>
        </w:trPr>
        <w:tc>
          <w:tcPr>
            <w:tcW w:w="6080" w:type="dxa"/>
            <w:vAlign w:val="bottom"/>
          </w:tcPr>
          <w:p>
            <w:pPr>
              <w:ind w:left="160"/>
              <w:spacing w:after="0" w:line="202" w:lineRule="exact"/>
              <w:rPr>
                <w:sz w:val="20"/>
                <w:szCs w:val="20"/>
                <w:color w:val="auto"/>
              </w:rPr>
            </w:pPr>
            <w:r>
              <w:rPr>
                <w:rFonts w:ascii="Arial" w:cs="Arial" w:eastAsia="Arial" w:hAnsi="Arial"/>
                <w:sz w:val="18"/>
                <w:szCs w:val="18"/>
                <w:color w:val="auto"/>
              </w:rPr>
              <w:t>Corporate expense, management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(21,290)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70,082</w:t>
            </w:r>
          </w:p>
        </w:tc>
        <w:tc>
          <w:tcPr>
            <w:tcW w:w="12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106,288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176,370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2007</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8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35,803</w:t>
            </w:r>
          </w:p>
        </w:tc>
        <w:tc>
          <w:tcPr>
            <w:tcW w:w="120" w:type="dxa"/>
            <w:vAlign w:val="bottom"/>
          </w:tcPr>
          <w:p>
            <w:pPr>
              <w:spacing w:after="0"/>
              <w:rPr>
                <w:sz w:val="24"/>
                <w:szCs w:val="24"/>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39,229</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11,264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86,296</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39,881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56,001</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25,096</w:t>
            </w:r>
          </w:p>
        </w:tc>
        <w:tc>
          <w:tcPr>
            <w:tcW w:w="0" w:type="dxa"/>
            <w:vAlign w:val="bottom"/>
          </w:tcPr>
          <w:p>
            <w:pPr>
              <w:spacing w:after="0"/>
              <w:rPr>
                <w:sz w:val="1"/>
                <w:szCs w:val="1"/>
                <w:color w:val="auto"/>
              </w:rPr>
            </w:pPr>
          </w:p>
        </w:tc>
      </w:tr>
      <w:tr>
        <w:trPr>
          <w:trHeight w:val="203"/>
        </w:trPr>
        <w:tc>
          <w:tcPr>
            <w:tcW w:w="6080" w:type="dxa"/>
            <w:vAlign w:val="bottom"/>
          </w:tcPr>
          <w:p>
            <w:pPr>
              <w:ind w:left="160"/>
              <w:spacing w:after="0" w:line="202" w:lineRule="exact"/>
              <w:rPr>
                <w:sz w:val="20"/>
                <w:szCs w:val="20"/>
                <w:color w:val="auto"/>
              </w:rPr>
            </w:pPr>
            <w:r>
              <w:rPr>
                <w:rFonts w:ascii="Arial" w:cs="Arial" w:eastAsia="Arial" w:hAnsi="Arial"/>
                <w:sz w:val="18"/>
                <w:szCs w:val="18"/>
                <w:color w:val="auto"/>
              </w:rPr>
              <w:t>Corporate expense, management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(13,818)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93,182</w:t>
            </w:r>
          </w:p>
        </w:tc>
        <w:tc>
          <w:tcPr>
            <w:tcW w:w="12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92,834</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186,016</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7"/>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176,370</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186,016</w:t>
            </w:r>
          </w:p>
        </w:tc>
        <w:tc>
          <w:tcPr>
            <w:tcW w:w="0" w:type="dxa"/>
            <w:vAlign w:val="bottom"/>
          </w:tcPr>
          <w:p>
            <w:pPr>
              <w:spacing w:after="0"/>
              <w:rPr>
                <w:sz w:val="1"/>
                <w:szCs w:val="1"/>
                <w:color w:val="auto"/>
              </w:rPr>
            </w:pPr>
          </w:p>
        </w:tc>
      </w:tr>
      <w:tr>
        <w:trPr>
          <w:trHeight w:val="344"/>
        </w:trPr>
        <w:tc>
          <w:tcPr>
            <w:tcW w:w="882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(56,001)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(25,096)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(34,743)</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7"/>
        </w:trPr>
        <w:tc>
          <w:tcPr>
            <w:tcW w:w="8820" w:type="dxa"/>
            <w:vAlign w:val="bottom"/>
          </w:tcPr>
          <w:p>
            <w:pPr>
              <w:ind w:left="16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3"/>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51,130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44,740</w:t>
            </w:r>
          </w:p>
        </w:tc>
        <w:tc>
          <w:tcPr>
            <w:tcW w:w="0" w:type="dxa"/>
            <w:vAlign w:val="bottom"/>
          </w:tcPr>
          <w:p>
            <w:pPr>
              <w:spacing w:after="0"/>
              <w:rPr>
                <w:sz w:val="1"/>
                <w:szCs w:val="1"/>
                <w:color w:val="auto"/>
              </w:rPr>
            </w:pPr>
          </w:p>
        </w:tc>
      </w:tr>
      <w:tr>
        <w:trPr>
          <w:trHeight w:val="604"/>
        </w:trPr>
        <w:tc>
          <w:tcPr>
            <w:tcW w:w="88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OPERATING INCOME TO ADJUSTED PROPERTY EBITDA</w:t>
      </w:r>
    </w:p>
    <w:p>
      <w:pPr>
        <w:jc w:val="center"/>
        <w:ind w:right="100"/>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ind w:right="100"/>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8"/>
                <w:szCs w:val="18"/>
                <w:b w:val="1"/>
                <w:bCs w:val="1"/>
                <w:color w:val="auto"/>
              </w:rPr>
              <w:t>Nine Months Ended September 30, 2008</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8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11,435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242,823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59,856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314,114</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26,054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26,055</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122,543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67,561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192,055</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21,711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03"/>
        </w:trPr>
        <w:tc>
          <w:tcPr>
            <w:tcW w:w="6080" w:type="dxa"/>
            <w:vAlign w:val="bottom"/>
          </w:tcPr>
          <w:p>
            <w:pPr>
              <w:ind w:left="160"/>
              <w:spacing w:after="0" w:line="202" w:lineRule="exact"/>
              <w:rPr>
                <w:sz w:val="20"/>
                <w:szCs w:val="20"/>
                <w:color w:val="auto"/>
              </w:rPr>
            </w:pPr>
            <w:r>
              <w:rPr>
                <w:rFonts w:ascii="Arial" w:cs="Arial" w:eastAsia="Arial" w:hAnsi="Arial"/>
                <w:sz w:val="18"/>
                <w:szCs w:val="18"/>
                <w:color w:val="auto"/>
              </w:rPr>
              <w:t>Corporate expense, management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68,573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(66,348)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33,783</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13,990</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220,315</w:t>
            </w:r>
          </w:p>
        </w:tc>
        <w:tc>
          <w:tcPr>
            <w:tcW w:w="12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390,870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611,185</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8"/>
                <w:szCs w:val="18"/>
                <w:b w:val="1"/>
                <w:bCs w:val="1"/>
                <w:color w:val="auto"/>
              </w:rPr>
              <w:t>Nine Months Ended September 30, 2007</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80"/>
              <w:spacing w:after="0" w:line="173" w:lineRule="exact"/>
              <w:rPr>
                <w:sz w:val="20"/>
                <w:szCs w:val="20"/>
                <w:color w:val="auto"/>
              </w:rPr>
            </w:pPr>
            <w:r>
              <w:rPr>
                <w:rFonts w:ascii="Arial" w:cs="Arial" w:eastAsia="Arial" w:hAnsi="Arial"/>
                <w:sz w:val="18"/>
                <w:szCs w:val="18"/>
                <w:b w:val="1"/>
                <w:bCs w:val="1"/>
                <w:color w:val="auto"/>
              </w:rPr>
              <w:t>Wynn Las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line="173" w:lineRule="exact"/>
              <w:rPr>
                <w:sz w:val="20"/>
                <w:szCs w:val="20"/>
                <w:color w:val="auto"/>
              </w:rPr>
            </w:pPr>
            <w:r>
              <w:rPr>
                <w:rFonts w:ascii="Arial" w:cs="Arial" w:eastAsia="Arial" w:hAnsi="Arial"/>
                <w:sz w:val="18"/>
                <w:szCs w:val="18"/>
                <w:b w:val="1"/>
                <w:bCs w:val="1"/>
                <w:color w:val="auto"/>
                <w:w w:val="97"/>
              </w:rPr>
              <w:t>Corporate and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7"/>
              </w:rPr>
              <w:t>Vegas</w:t>
            </w:r>
          </w:p>
        </w:tc>
        <w:tc>
          <w:tcPr>
            <w:tcW w:w="120" w:type="dxa"/>
            <w:vAlign w:val="bottom"/>
          </w:tcPr>
          <w:p>
            <w:pPr>
              <w:spacing w:after="0"/>
              <w:rPr>
                <w:sz w:val="20"/>
                <w:szCs w:val="20"/>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Wynn Macau</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158,237</w:t>
            </w:r>
          </w:p>
        </w:tc>
        <w:tc>
          <w:tcPr>
            <w:tcW w:w="120" w:type="dxa"/>
            <w:vAlign w:val="bottom"/>
          </w:tcPr>
          <w:p>
            <w:pPr>
              <w:spacing w:after="0"/>
              <w:rPr>
                <w:sz w:val="24"/>
                <w:szCs w:val="24"/>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133,507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28,884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320,628</w:t>
            </w:r>
          </w:p>
        </w:tc>
        <w:tc>
          <w:tcPr>
            <w:tcW w:w="0" w:type="dxa"/>
            <w:vAlign w:val="bottom"/>
          </w:tcPr>
          <w:p>
            <w:pPr>
              <w:spacing w:after="0"/>
              <w:rPr>
                <w:sz w:val="1"/>
                <w:szCs w:val="1"/>
                <w:color w:val="auto"/>
              </w:rPr>
            </w:pPr>
          </w:p>
        </w:tc>
      </w:tr>
      <w:tr>
        <w:trPr>
          <w:trHeight w:val="404"/>
        </w:trPr>
        <w:tc>
          <w:tcPr>
            <w:tcW w:w="608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03"/>
        </w:trPr>
        <w:tc>
          <w:tcPr>
            <w:tcW w:w="6080" w:type="dxa"/>
            <w:vAlign w:val="bottom"/>
          </w:tcPr>
          <w:p>
            <w:pPr>
              <w:ind w:left="2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112,468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159,427</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51,386</w:t>
            </w:r>
          </w:p>
        </w:tc>
        <w:tc>
          <w:tcPr>
            <w:tcW w:w="0" w:type="dxa"/>
            <w:vAlign w:val="bottom"/>
          </w:tcPr>
          <w:p>
            <w:pPr>
              <w:spacing w:after="0"/>
              <w:rPr>
                <w:sz w:val="1"/>
                <w:szCs w:val="1"/>
                <w:color w:val="auto"/>
              </w:rPr>
            </w:pPr>
          </w:p>
        </w:tc>
      </w:tr>
      <w:tr>
        <w:trPr>
          <w:trHeight w:val="203"/>
        </w:trPr>
        <w:tc>
          <w:tcPr>
            <w:tcW w:w="6080" w:type="dxa"/>
            <w:vAlign w:val="bottom"/>
          </w:tcPr>
          <w:p>
            <w:pPr>
              <w:ind w:left="160"/>
              <w:spacing w:after="0" w:line="202" w:lineRule="exact"/>
              <w:rPr>
                <w:sz w:val="20"/>
                <w:szCs w:val="20"/>
                <w:color w:val="auto"/>
              </w:rPr>
            </w:pPr>
            <w:r>
              <w:rPr>
                <w:rFonts w:ascii="Arial" w:cs="Arial" w:eastAsia="Arial" w:hAnsi="Arial"/>
                <w:sz w:val="18"/>
                <w:szCs w:val="18"/>
                <w:color w:val="auto"/>
              </w:rPr>
              <w:t>Corporate expense, management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80"/>
              <w:spacing w:after="0" w:line="202" w:lineRule="exact"/>
              <w:rPr>
                <w:sz w:val="20"/>
                <w:szCs w:val="20"/>
                <w:color w:val="auto"/>
              </w:rPr>
            </w:pPr>
            <w:r>
              <w:rPr>
                <w:rFonts w:ascii="Arial" w:cs="Arial" w:eastAsia="Arial" w:hAnsi="Arial"/>
                <w:sz w:val="18"/>
                <w:szCs w:val="18"/>
                <w:color w:val="auto"/>
              </w:rPr>
              <w:t>fees, royalties and other</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34,646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36,930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(37,518)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34,058</w:t>
            </w:r>
          </w:p>
        </w:tc>
        <w:tc>
          <w:tcPr>
            <w:tcW w:w="0" w:type="dxa"/>
            <w:vAlign w:val="bottom"/>
          </w:tcPr>
          <w:p>
            <w:pPr>
              <w:spacing w:after="0"/>
              <w:rPr>
                <w:sz w:val="1"/>
                <w:szCs w:val="1"/>
                <w:color w:val="auto"/>
              </w:rPr>
            </w:pPr>
          </w:p>
        </w:tc>
      </w:tr>
      <w:tr>
        <w:trPr>
          <w:trHeight w:val="217"/>
        </w:trPr>
        <w:tc>
          <w:tcPr>
            <w:tcW w:w="6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03"/>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319,710</w:t>
            </w:r>
          </w:p>
        </w:tc>
        <w:tc>
          <w:tcPr>
            <w:tcW w:w="12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264,502</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584,212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7"/>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611,185</w:t>
            </w:r>
          </w:p>
        </w:tc>
        <w:tc>
          <w:tcPr>
            <w:tcW w:w="1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584,212</w:t>
            </w:r>
          </w:p>
        </w:tc>
        <w:tc>
          <w:tcPr>
            <w:tcW w:w="0" w:type="dxa"/>
            <w:vAlign w:val="bottom"/>
          </w:tcPr>
          <w:p>
            <w:pPr>
              <w:spacing w:after="0"/>
              <w:rPr>
                <w:sz w:val="1"/>
                <w:szCs w:val="1"/>
                <w:color w:val="auto"/>
              </w:rPr>
            </w:pPr>
          </w:p>
        </w:tc>
      </w:tr>
      <w:tr>
        <w:trPr>
          <w:trHeight w:val="344"/>
        </w:trPr>
        <w:tc>
          <w:tcPr>
            <w:tcW w:w="882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(26,055)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(192,055)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(159,427)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(31,188)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(51,386)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(34,058)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(126,513)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(107,876)</w:t>
            </w:r>
          </w:p>
        </w:tc>
        <w:tc>
          <w:tcPr>
            <w:tcW w:w="0" w:type="dxa"/>
            <w:vAlign w:val="bottom"/>
          </w:tcPr>
          <w:p>
            <w:pPr>
              <w:spacing w:after="0"/>
              <w:rPr>
                <w:sz w:val="1"/>
                <w:szCs w:val="1"/>
                <w:color w:val="auto"/>
              </w:rPr>
            </w:pPr>
          </w:p>
        </w:tc>
      </w:tr>
      <w:tr>
        <w:trPr>
          <w:trHeight w:val="216"/>
        </w:trPr>
        <w:tc>
          <w:tcPr>
            <w:tcW w:w="8820" w:type="dxa"/>
            <w:vAlign w:val="bottom"/>
          </w:tcPr>
          <w:p>
            <w:pPr>
              <w:ind w:left="160"/>
              <w:spacing w:after="0"/>
              <w:rPr>
                <w:sz w:val="20"/>
                <w:szCs w:val="20"/>
                <w:color w:val="auto"/>
              </w:rPr>
            </w:pPr>
            <w:r>
              <w:rPr>
                <w:rFonts w:ascii="Arial" w:cs="Arial" w:eastAsia="Arial" w:hAnsi="Arial"/>
                <w:sz w:val="18"/>
                <w:szCs w:val="18"/>
                <w:color w:val="auto"/>
              </w:rPr>
              <w:t>Increase (decrease)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8820" w:type="dxa"/>
            <w:vAlign w:val="bottom"/>
          </w:tcPr>
          <w:p>
            <w:pPr>
              <w:ind w:left="16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7"/>
        </w:trPr>
        <w:tc>
          <w:tcPr>
            <w:tcW w:w="8820" w:type="dxa"/>
            <w:vAlign w:val="bottom"/>
          </w:tcPr>
          <w:p>
            <w:pPr>
              <w:ind w:left="16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(46,837)</w:t>
            </w:r>
          </w:p>
        </w:tc>
        <w:tc>
          <w:tcPr>
            <w:tcW w:w="0" w:type="dxa"/>
            <w:vAlign w:val="bottom"/>
          </w:tcPr>
          <w:p>
            <w:pPr>
              <w:spacing w:after="0"/>
              <w:rPr>
                <w:sz w:val="1"/>
                <w:szCs w:val="1"/>
                <w:color w:val="auto"/>
              </w:rPr>
            </w:pPr>
          </w:p>
        </w:tc>
      </w:tr>
      <w:tr>
        <w:trPr>
          <w:trHeight w:val="203"/>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369,840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192,695</w:t>
            </w:r>
          </w:p>
        </w:tc>
        <w:tc>
          <w:tcPr>
            <w:tcW w:w="0" w:type="dxa"/>
            <w:vAlign w:val="bottom"/>
          </w:tcPr>
          <w:p>
            <w:pPr>
              <w:spacing w:after="0"/>
              <w:rPr>
                <w:sz w:val="1"/>
                <w:szCs w:val="1"/>
                <w:color w:val="auto"/>
              </w:rPr>
            </w:pPr>
          </w:p>
        </w:tc>
      </w:tr>
      <w:tr>
        <w:trPr>
          <w:trHeight w:val="1064"/>
        </w:trPr>
        <w:tc>
          <w:tcPr>
            <w:tcW w:w="882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7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8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23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September 30,</w:t>
            </w:r>
          </w:p>
        </w:tc>
        <w:tc>
          <w:tcPr>
            <w:tcW w:w="14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September 30,</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4840" w:type="dxa"/>
            <w:vAlign w:val="bottom"/>
            <w:vMerge w:val="restart"/>
          </w:tcPr>
          <w:p>
            <w:pPr>
              <w:spacing w:after="0"/>
              <w:rPr>
                <w:sz w:val="20"/>
                <w:szCs w:val="20"/>
                <w:color w:val="auto"/>
              </w:rPr>
            </w:pPr>
            <w:r>
              <w:rPr>
                <w:rFonts w:ascii="Arial" w:cs="Arial" w:eastAsia="Arial" w:hAnsi="Arial"/>
                <w:sz w:val="18"/>
                <w:szCs w:val="18"/>
                <w:color w:val="auto"/>
              </w:rPr>
              <w:t>Room Statistics for Wynn Las Vegas:</w:t>
            </w:r>
          </w:p>
        </w:tc>
        <w:tc>
          <w:tcPr>
            <w:tcW w:w="2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02"/>
        </w:trPr>
        <w:tc>
          <w:tcPr>
            <w:tcW w:w="484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40" w:type="dxa"/>
            <w:vAlign w:val="bottom"/>
          </w:tcPr>
          <w:p>
            <w:pPr>
              <w:ind w:left="640"/>
              <w:spacing w:after="0" w:line="197" w:lineRule="exact"/>
              <w:rPr>
                <w:sz w:val="20"/>
                <w:szCs w:val="20"/>
                <w:color w:val="auto"/>
              </w:rPr>
            </w:pPr>
            <w:r>
              <w:rPr>
                <w:rFonts w:ascii="Arial" w:cs="Arial" w:eastAsia="Arial" w:hAnsi="Arial"/>
                <w:sz w:val="18"/>
                <w:szCs w:val="18"/>
                <w:color w:val="auto"/>
              </w:rPr>
              <w:t>Occupancy %</w:t>
            </w:r>
          </w:p>
        </w:tc>
        <w:tc>
          <w:tcPr>
            <w:tcW w:w="2340" w:type="dxa"/>
            <w:vAlign w:val="bottom"/>
          </w:tcPr>
          <w:p>
            <w:pPr>
              <w:jc w:val="right"/>
              <w:spacing w:after="0" w:line="197" w:lineRule="exact"/>
              <w:rPr>
                <w:sz w:val="20"/>
                <w:szCs w:val="20"/>
                <w:color w:val="auto"/>
              </w:rPr>
            </w:pPr>
            <w:r>
              <w:rPr>
                <w:rFonts w:ascii="Arial" w:cs="Arial" w:eastAsia="Arial" w:hAnsi="Arial"/>
                <w:sz w:val="18"/>
                <w:szCs w:val="18"/>
                <w:color w:val="auto"/>
              </w:rPr>
              <w:t>96.1%</w:t>
            </w:r>
          </w:p>
        </w:tc>
        <w:tc>
          <w:tcPr>
            <w:tcW w:w="1420" w:type="dxa"/>
            <w:vAlign w:val="bottom"/>
          </w:tcPr>
          <w:p>
            <w:pPr>
              <w:jc w:val="right"/>
              <w:spacing w:after="0" w:line="197" w:lineRule="exact"/>
              <w:rPr>
                <w:sz w:val="20"/>
                <w:szCs w:val="20"/>
                <w:color w:val="auto"/>
              </w:rPr>
            </w:pPr>
            <w:r>
              <w:rPr>
                <w:rFonts w:ascii="Arial" w:cs="Arial" w:eastAsia="Arial" w:hAnsi="Arial"/>
                <w:sz w:val="18"/>
                <w:szCs w:val="18"/>
                <w:color w:val="auto"/>
              </w:rPr>
              <w:t>96.6%</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96.1%</w:t>
            </w:r>
          </w:p>
        </w:tc>
        <w:tc>
          <w:tcPr>
            <w:tcW w:w="1380" w:type="dxa"/>
            <w:vAlign w:val="bottom"/>
          </w:tcPr>
          <w:p>
            <w:pPr>
              <w:jc w:val="right"/>
              <w:spacing w:after="0" w:line="197"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84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2340" w:type="dxa"/>
            <w:vAlign w:val="bottom"/>
          </w:tcPr>
          <w:p>
            <w:pPr>
              <w:jc w:val="right"/>
              <w:spacing w:after="0"/>
              <w:rPr>
                <w:sz w:val="20"/>
                <w:szCs w:val="20"/>
                <w:color w:val="auto"/>
              </w:rPr>
            </w:pPr>
            <w:r>
              <w:rPr>
                <w:rFonts w:ascii="Arial" w:cs="Arial" w:eastAsia="Arial" w:hAnsi="Arial"/>
                <w:sz w:val="18"/>
                <w:szCs w:val="18"/>
                <w:color w:val="auto"/>
              </w:rPr>
              <w:t>$272</w:t>
            </w:r>
          </w:p>
        </w:tc>
        <w:tc>
          <w:tcPr>
            <w:tcW w:w="1420" w:type="dxa"/>
            <w:vAlign w:val="bottom"/>
          </w:tcPr>
          <w:p>
            <w:pPr>
              <w:jc w:val="right"/>
              <w:spacing w:after="0"/>
              <w:rPr>
                <w:sz w:val="20"/>
                <w:szCs w:val="20"/>
                <w:color w:val="auto"/>
              </w:rPr>
            </w:pPr>
            <w:r>
              <w:rPr>
                <w:rFonts w:ascii="Arial" w:cs="Arial" w:eastAsia="Arial" w:hAnsi="Arial"/>
                <w:sz w:val="18"/>
                <w:szCs w:val="18"/>
                <w:color w:val="auto"/>
              </w:rPr>
              <w:t>$282</w:t>
            </w:r>
          </w:p>
        </w:tc>
        <w:tc>
          <w:tcPr>
            <w:tcW w:w="1440" w:type="dxa"/>
            <w:vAlign w:val="bottom"/>
          </w:tcPr>
          <w:p>
            <w:pPr>
              <w:jc w:val="right"/>
              <w:spacing w:after="0"/>
              <w:rPr>
                <w:sz w:val="20"/>
                <w:szCs w:val="20"/>
                <w:color w:val="auto"/>
              </w:rPr>
            </w:pPr>
            <w:r>
              <w:rPr>
                <w:rFonts w:ascii="Arial" w:cs="Arial" w:eastAsia="Arial" w:hAnsi="Arial"/>
                <w:sz w:val="18"/>
                <w:szCs w:val="18"/>
                <w:color w:val="auto"/>
              </w:rPr>
              <w:t>$291</w:t>
            </w:r>
          </w:p>
        </w:tc>
        <w:tc>
          <w:tcPr>
            <w:tcW w:w="13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323"/>
        </w:trPr>
        <w:tc>
          <w:tcPr>
            <w:tcW w:w="484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2340" w:type="dxa"/>
            <w:vAlign w:val="bottom"/>
          </w:tcPr>
          <w:p>
            <w:pPr>
              <w:jc w:val="right"/>
              <w:spacing w:after="0"/>
              <w:rPr>
                <w:sz w:val="20"/>
                <w:szCs w:val="20"/>
                <w:color w:val="auto"/>
              </w:rPr>
            </w:pPr>
            <w:r>
              <w:rPr>
                <w:rFonts w:ascii="Arial" w:cs="Arial" w:eastAsia="Arial" w:hAnsi="Arial"/>
                <w:sz w:val="18"/>
                <w:szCs w:val="18"/>
                <w:color w:val="auto"/>
              </w:rPr>
              <w:t>$261</w:t>
            </w:r>
          </w:p>
        </w:tc>
        <w:tc>
          <w:tcPr>
            <w:tcW w:w="1420" w:type="dxa"/>
            <w:vAlign w:val="bottom"/>
          </w:tcPr>
          <w:p>
            <w:pPr>
              <w:jc w:val="right"/>
              <w:spacing w:after="0"/>
              <w:rPr>
                <w:sz w:val="20"/>
                <w:szCs w:val="20"/>
                <w:color w:val="auto"/>
              </w:rPr>
            </w:pPr>
            <w:r>
              <w:rPr>
                <w:rFonts w:ascii="Arial" w:cs="Arial" w:eastAsia="Arial" w:hAnsi="Arial"/>
                <w:sz w:val="18"/>
                <w:szCs w:val="18"/>
                <w:color w:val="auto"/>
              </w:rPr>
              <w:t>$272</w:t>
            </w:r>
          </w:p>
        </w:tc>
        <w:tc>
          <w:tcPr>
            <w:tcW w:w="1440" w:type="dxa"/>
            <w:vAlign w:val="bottom"/>
          </w:tcPr>
          <w:p>
            <w:pPr>
              <w:jc w:val="right"/>
              <w:spacing w:after="0"/>
              <w:rPr>
                <w:sz w:val="20"/>
                <w:szCs w:val="20"/>
                <w:color w:val="auto"/>
              </w:rPr>
            </w:pPr>
            <w:r>
              <w:rPr>
                <w:rFonts w:ascii="Arial" w:cs="Arial" w:eastAsia="Arial" w:hAnsi="Arial"/>
                <w:sz w:val="18"/>
                <w:szCs w:val="18"/>
                <w:color w:val="auto"/>
              </w:rPr>
              <w:t>$280</w:t>
            </w:r>
          </w:p>
        </w:tc>
        <w:tc>
          <w:tcPr>
            <w:tcW w:w="13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325"/>
        </w:trPr>
        <w:tc>
          <w:tcPr>
            <w:tcW w:w="4840" w:type="dxa"/>
            <w:vAlign w:val="bottom"/>
          </w:tcPr>
          <w:p>
            <w:pPr>
              <w:spacing w:after="0"/>
              <w:rPr>
                <w:sz w:val="20"/>
                <w:szCs w:val="20"/>
                <w:color w:val="auto"/>
              </w:rPr>
            </w:pPr>
            <w:r>
              <w:rPr>
                <w:rFonts w:ascii="Arial" w:cs="Arial" w:eastAsia="Arial" w:hAnsi="Arial"/>
                <w:sz w:val="18"/>
                <w:szCs w:val="18"/>
                <w:color w:val="auto"/>
              </w:rPr>
              <w:t>Other information for Wynn Las Vegas:</w:t>
            </w:r>
          </w:p>
        </w:tc>
        <w:tc>
          <w:tcPr>
            <w:tcW w:w="2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840" w:type="dxa"/>
            <w:vAlign w:val="bottom"/>
          </w:tcPr>
          <w:p>
            <w:pPr>
              <w:ind w:left="540"/>
              <w:spacing w:after="0" w:line="221"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2340" w:type="dxa"/>
            <w:vAlign w:val="bottom"/>
          </w:tcPr>
          <w:p>
            <w:pPr>
              <w:jc w:val="right"/>
              <w:spacing w:after="0"/>
              <w:rPr>
                <w:sz w:val="20"/>
                <w:szCs w:val="20"/>
                <w:color w:val="auto"/>
              </w:rPr>
            </w:pPr>
            <w:r>
              <w:rPr>
                <w:rFonts w:ascii="Arial" w:cs="Arial" w:eastAsia="Arial" w:hAnsi="Arial"/>
                <w:sz w:val="18"/>
                <w:szCs w:val="18"/>
                <w:color w:val="auto"/>
              </w:rPr>
              <w:t>$10,062</w:t>
            </w:r>
          </w:p>
        </w:tc>
        <w:tc>
          <w:tcPr>
            <w:tcW w:w="1420" w:type="dxa"/>
            <w:vAlign w:val="bottom"/>
          </w:tcPr>
          <w:p>
            <w:pPr>
              <w:jc w:val="right"/>
              <w:spacing w:after="0"/>
              <w:rPr>
                <w:sz w:val="20"/>
                <w:szCs w:val="20"/>
                <w:color w:val="auto"/>
              </w:rPr>
            </w:pPr>
            <w:r>
              <w:rPr>
                <w:rFonts w:ascii="Arial" w:cs="Arial" w:eastAsia="Arial" w:hAnsi="Arial"/>
                <w:sz w:val="18"/>
                <w:szCs w:val="18"/>
                <w:color w:val="auto"/>
              </w:rPr>
              <w:t>$9,516</w:t>
            </w:r>
          </w:p>
        </w:tc>
        <w:tc>
          <w:tcPr>
            <w:tcW w:w="1440" w:type="dxa"/>
            <w:vAlign w:val="bottom"/>
          </w:tcPr>
          <w:p>
            <w:pPr>
              <w:jc w:val="right"/>
              <w:spacing w:after="0"/>
              <w:rPr>
                <w:sz w:val="20"/>
                <w:szCs w:val="20"/>
                <w:color w:val="auto"/>
              </w:rPr>
            </w:pPr>
            <w:r>
              <w:rPr>
                <w:rFonts w:ascii="Arial" w:cs="Arial" w:eastAsia="Arial" w:hAnsi="Arial"/>
                <w:sz w:val="18"/>
                <w:szCs w:val="18"/>
                <w:color w:val="auto"/>
              </w:rPr>
              <w:t>$8,809</w:t>
            </w:r>
          </w:p>
        </w:tc>
        <w:tc>
          <w:tcPr>
            <w:tcW w:w="1380" w:type="dxa"/>
            <w:vAlign w:val="bottom"/>
          </w:tcPr>
          <w:p>
            <w:pPr>
              <w:jc w:val="right"/>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197"/>
        </w:trPr>
        <w:tc>
          <w:tcPr>
            <w:tcW w:w="4840" w:type="dxa"/>
            <w:vAlign w:val="bottom"/>
          </w:tcPr>
          <w:p>
            <w:pPr>
              <w:ind w:left="540"/>
              <w:spacing w:after="0" w:line="197" w:lineRule="exact"/>
              <w:rPr>
                <w:sz w:val="20"/>
                <w:szCs w:val="20"/>
                <w:color w:val="auto"/>
              </w:rPr>
            </w:pPr>
            <w:r>
              <w:rPr>
                <w:rFonts w:ascii="Arial" w:cs="Arial" w:eastAsia="Arial" w:hAnsi="Arial"/>
                <w:sz w:val="18"/>
                <w:szCs w:val="18"/>
                <w:color w:val="auto"/>
              </w:rPr>
              <w:t>Table Win %</w:t>
            </w:r>
          </w:p>
        </w:tc>
        <w:tc>
          <w:tcPr>
            <w:tcW w:w="2340" w:type="dxa"/>
            <w:vAlign w:val="bottom"/>
          </w:tcPr>
          <w:p>
            <w:pPr>
              <w:jc w:val="right"/>
              <w:spacing w:after="0" w:line="197" w:lineRule="exact"/>
              <w:rPr>
                <w:sz w:val="20"/>
                <w:szCs w:val="20"/>
                <w:color w:val="auto"/>
              </w:rPr>
            </w:pPr>
            <w:r>
              <w:rPr>
                <w:rFonts w:ascii="Arial" w:cs="Arial" w:eastAsia="Arial" w:hAnsi="Arial"/>
                <w:sz w:val="18"/>
                <w:szCs w:val="18"/>
                <w:color w:val="auto"/>
              </w:rPr>
              <w:t>24.3%</w:t>
            </w:r>
          </w:p>
        </w:tc>
        <w:tc>
          <w:tcPr>
            <w:tcW w:w="1420" w:type="dxa"/>
            <w:vAlign w:val="bottom"/>
          </w:tcPr>
          <w:p>
            <w:pPr>
              <w:jc w:val="right"/>
              <w:spacing w:after="0" w:line="197" w:lineRule="exact"/>
              <w:rPr>
                <w:sz w:val="20"/>
                <w:szCs w:val="20"/>
                <w:color w:val="auto"/>
              </w:rPr>
            </w:pPr>
            <w:r>
              <w:rPr>
                <w:rFonts w:ascii="Arial" w:cs="Arial" w:eastAsia="Arial" w:hAnsi="Arial"/>
                <w:sz w:val="18"/>
                <w:szCs w:val="18"/>
                <w:color w:val="auto"/>
              </w:rPr>
              <w:t>26.4%</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21.6%</w:t>
            </w:r>
          </w:p>
        </w:tc>
        <w:tc>
          <w:tcPr>
            <w:tcW w:w="1380" w:type="dxa"/>
            <w:vAlign w:val="bottom"/>
          </w:tcPr>
          <w:p>
            <w:pPr>
              <w:jc w:val="right"/>
              <w:spacing w:after="0" w:line="197"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1"/>
        </w:trPr>
        <w:tc>
          <w:tcPr>
            <w:tcW w:w="4840" w:type="dxa"/>
            <w:vAlign w:val="bottom"/>
          </w:tcPr>
          <w:p>
            <w:pPr>
              <w:ind w:left="540"/>
              <w:spacing w:after="0" w:line="221"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2340" w:type="dxa"/>
            <w:vAlign w:val="bottom"/>
          </w:tcPr>
          <w:p>
            <w:pPr>
              <w:jc w:val="right"/>
              <w:spacing w:after="0"/>
              <w:rPr>
                <w:sz w:val="20"/>
                <w:szCs w:val="20"/>
                <w:color w:val="auto"/>
              </w:rPr>
            </w:pPr>
            <w:r>
              <w:rPr>
                <w:rFonts w:ascii="Arial" w:cs="Arial" w:eastAsia="Arial" w:hAnsi="Arial"/>
                <w:sz w:val="18"/>
                <w:szCs w:val="18"/>
                <w:color w:val="auto"/>
              </w:rPr>
              <w:t>$225</w:t>
            </w:r>
          </w:p>
        </w:tc>
        <w:tc>
          <w:tcPr>
            <w:tcW w:w="1420" w:type="dxa"/>
            <w:vAlign w:val="bottom"/>
          </w:tcPr>
          <w:p>
            <w:pPr>
              <w:jc w:val="right"/>
              <w:spacing w:after="0"/>
              <w:rPr>
                <w:sz w:val="20"/>
                <w:szCs w:val="20"/>
                <w:color w:val="auto"/>
              </w:rPr>
            </w:pPr>
            <w:r>
              <w:rPr>
                <w:rFonts w:ascii="Arial" w:cs="Arial" w:eastAsia="Arial" w:hAnsi="Arial"/>
                <w:sz w:val="18"/>
                <w:szCs w:val="18"/>
                <w:color w:val="auto"/>
              </w:rPr>
              <w:t>$234</w:t>
            </w:r>
          </w:p>
        </w:tc>
        <w:tc>
          <w:tcPr>
            <w:tcW w:w="1440" w:type="dxa"/>
            <w:vAlign w:val="bottom"/>
          </w:tcPr>
          <w:p>
            <w:pPr>
              <w:jc w:val="right"/>
              <w:spacing w:after="0"/>
              <w:rPr>
                <w:sz w:val="20"/>
                <w:szCs w:val="20"/>
                <w:color w:val="auto"/>
              </w:rPr>
            </w:pPr>
            <w:r>
              <w:rPr>
                <w:rFonts w:ascii="Arial" w:cs="Arial" w:eastAsia="Arial" w:hAnsi="Arial"/>
                <w:sz w:val="18"/>
                <w:szCs w:val="18"/>
                <w:color w:val="auto"/>
              </w:rPr>
              <w:t>$228</w:t>
            </w:r>
          </w:p>
        </w:tc>
        <w:tc>
          <w:tcPr>
            <w:tcW w:w="13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4840" w:type="dxa"/>
            <w:vAlign w:val="bottom"/>
          </w:tcPr>
          <w:p>
            <w:pPr>
              <w:ind w:left="540"/>
              <w:spacing w:after="0" w:line="202" w:lineRule="exact"/>
              <w:rPr>
                <w:sz w:val="20"/>
                <w:szCs w:val="20"/>
                <w:color w:val="auto"/>
              </w:rPr>
            </w:pPr>
            <w:r>
              <w:rPr>
                <w:rFonts w:ascii="Arial" w:cs="Arial" w:eastAsia="Arial" w:hAnsi="Arial"/>
                <w:sz w:val="18"/>
                <w:szCs w:val="18"/>
                <w:color w:val="auto"/>
              </w:rPr>
              <w:t>Average number of table games</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7"/>
        </w:trPr>
        <w:tc>
          <w:tcPr>
            <w:tcW w:w="48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2340" w:type="dxa"/>
            <w:vAlign w:val="bottom"/>
          </w:tcPr>
          <w:p>
            <w:pPr>
              <w:jc w:val="right"/>
              <w:spacing w:after="0"/>
              <w:rPr>
                <w:sz w:val="20"/>
                <w:szCs w:val="20"/>
                <w:color w:val="auto"/>
              </w:rPr>
            </w:pPr>
            <w:r>
              <w:rPr>
                <w:rFonts w:ascii="Arial" w:cs="Arial" w:eastAsia="Arial" w:hAnsi="Arial"/>
                <w:sz w:val="18"/>
                <w:szCs w:val="18"/>
                <w:color w:val="auto"/>
              </w:rPr>
              <w:t>1,956</w:t>
            </w:r>
          </w:p>
        </w:tc>
        <w:tc>
          <w:tcPr>
            <w:tcW w:w="1420" w:type="dxa"/>
            <w:vAlign w:val="bottom"/>
          </w:tcPr>
          <w:p>
            <w:pPr>
              <w:jc w:val="right"/>
              <w:spacing w:after="0"/>
              <w:rPr>
                <w:sz w:val="20"/>
                <w:szCs w:val="20"/>
                <w:color w:val="auto"/>
              </w:rPr>
            </w:pPr>
            <w:r>
              <w:rPr>
                <w:rFonts w:ascii="Arial" w:cs="Arial" w:eastAsia="Arial" w:hAnsi="Arial"/>
                <w:sz w:val="18"/>
                <w:szCs w:val="18"/>
                <w:color w:val="auto"/>
              </w:rPr>
              <w:t>1,977</w:t>
            </w:r>
          </w:p>
        </w:tc>
        <w:tc>
          <w:tcPr>
            <w:tcW w:w="1440" w:type="dxa"/>
            <w:vAlign w:val="bottom"/>
          </w:tcPr>
          <w:p>
            <w:pPr>
              <w:jc w:val="right"/>
              <w:spacing w:after="0"/>
              <w:rPr>
                <w:sz w:val="20"/>
                <w:szCs w:val="20"/>
                <w:color w:val="auto"/>
              </w:rPr>
            </w:pPr>
            <w:r>
              <w:rPr>
                <w:rFonts w:ascii="Arial" w:cs="Arial" w:eastAsia="Arial" w:hAnsi="Arial"/>
                <w:sz w:val="18"/>
                <w:szCs w:val="18"/>
                <w:color w:val="auto"/>
              </w:rPr>
              <w:t>1,950</w:t>
            </w:r>
          </w:p>
        </w:tc>
        <w:tc>
          <w:tcPr>
            <w:tcW w:w="138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color w:val="auto"/>
              </w:rPr>
              <w:t>Room Statistics for Wynn Macau:</w:t>
            </w:r>
          </w:p>
        </w:tc>
        <w:tc>
          <w:tcPr>
            <w:tcW w:w="2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40" w:type="dxa"/>
            <w:vAlign w:val="bottom"/>
          </w:tcPr>
          <w:p>
            <w:pPr>
              <w:ind w:left="640"/>
              <w:spacing w:after="0" w:line="197" w:lineRule="exact"/>
              <w:rPr>
                <w:sz w:val="20"/>
                <w:szCs w:val="20"/>
                <w:color w:val="auto"/>
              </w:rPr>
            </w:pPr>
            <w:r>
              <w:rPr>
                <w:rFonts w:ascii="Arial" w:cs="Arial" w:eastAsia="Arial" w:hAnsi="Arial"/>
                <w:sz w:val="18"/>
                <w:szCs w:val="18"/>
                <w:color w:val="auto"/>
              </w:rPr>
              <w:t>Occupancy %</w:t>
            </w:r>
          </w:p>
        </w:tc>
        <w:tc>
          <w:tcPr>
            <w:tcW w:w="2340" w:type="dxa"/>
            <w:vAlign w:val="bottom"/>
          </w:tcPr>
          <w:p>
            <w:pPr>
              <w:jc w:val="right"/>
              <w:spacing w:after="0" w:line="197" w:lineRule="exact"/>
              <w:rPr>
                <w:sz w:val="20"/>
                <w:szCs w:val="20"/>
                <w:color w:val="auto"/>
              </w:rPr>
            </w:pPr>
            <w:r>
              <w:rPr>
                <w:rFonts w:ascii="Arial" w:cs="Arial" w:eastAsia="Arial" w:hAnsi="Arial"/>
                <w:sz w:val="18"/>
                <w:szCs w:val="18"/>
                <w:color w:val="auto"/>
              </w:rPr>
              <w:t>86.2%</w:t>
            </w:r>
          </w:p>
        </w:tc>
        <w:tc>
          <w:tcPr>
            <w:tcW w:w="1420" w:type="dxa"/>
            <w:vAlign w:val="bottom"/>
          </w:tcPr>
          <w:p>
            <w:pPr>
              <w:jc w:val="right"/>
              <w:spacing w:after="0" w:line="197" w:lineRule="exact"/>
              <w:rPr>
                <w:sz w:val="20"/>
                <w:szCs w:val="20"/>
                <w:color w:val="auto"/>
              </w:rPr>
            </w:pPr>
            <w:r>
              <w:rPr>
                <w:rFonts w:ascii="Arial" w:cs="Arial" w:eastAsia="Arial" w:hAnsi="Arial"/>
                <w:sz w:val="18"/>
                <w:szCs w:val="18"/>
                <w:color w:val="auto"/>
              </w:rPr>
              <w:t>91.9%</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87.5%</w:t>
            </w:r>
          </w:p>
        </w:tc>
        <w:tc>
          <w:tcPr>
            <w:tcW w:w="1380" w:type="dxa"/>
            <w:vAlign w:val="bottom"/>
          </w:tcPr>
          <w:p>
            <w:pPr>
              <w:jc w:val="right"/>
              <w:spacing w:after="0" w:line="197"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4840" w:type="dxa"/>
            <w:vAlign w:val="bottom"/>
          </w:tcPr>
          <w:p>
            <w:pPr>
              <w:ind w:left="64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2340" w:type="dxa"/>
            <w:vAlign w:val="bottom"/>
          </w:tcPr>
          <w:p>
            <w:pPr>
              <w:jc w:val="right"/>
              <w:spacing w:after="0"/>
              <w:rPr>
                <w:sz w:val="20"/>
                <w:szCs w:val="20"/>
                <w:color w:val="auto"/>
              </w:rPr>
            </w:pPr>
            <w:r>
              <w:rPr>
                <w:rFonts w:ascii="Arial" w:cs="Arial" w:eastAsia="Arial" w:hAnsi="Arial"/>
                <w:sz w:val="18"/>
                <w:szCs w:val="18"/>
                <w:color w:val="auto"/>
              </w:rPr>
              <w:t>$272</w:t>
            </w: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1440" w:type="dxa"/>
            <w:vAlign w:val="bottom"/>
          </w:tcPr>
          <w:p>
            <w:pPr>
              <w:jc w:val="right"/>
              <w:spacing w:after="0"/>
              <w:rPr>
                <w:sz w:val="20"/>
                <w:szCs w:val="20"/>
                <w:color w:val="auto"/>
              </w:rPr>
            </w:pPr>
            <w:r>
              <w:rPr>
                <w:rFonts w:ascii="Arial" w:cs="Arial" w:eastAsia="Arial" w:hAnsi="Arial"/>
                <w:sz w:val="18"/>
                <w:szCs w:val="18"/>
                <w:color w:val="auto"/>
              </w:rPr>
              <w:t>$275</w:t>
            </w:r>
          </w:p>
        </w:tc>
        <w:tc>
          <w:tcPr>
            <w:tcW w:w="13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323"/>
        </w:trPr>
        <w:tc>
          <w:tcPr>
            <w:tcW w:w="4840" w:type="dxa"/>
            <w:vAlign w:val="bottom"/>
          </w:tcPr>
          <w:p>
            <w:pPr>
              <w:ind w:left="6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2340" w:type="dxa"/>
            <w:vAlign w:val="bottom"/>
          </w:tcPr>
          <w:p>
            <w:pPr>
              <w:jc w:val="right"/>
              <w:spacing w:after="0"/>
              <w:rPr>
                <w:sz w:val="20"/>
                <w:szCs w:val="20"/>
                <w:color w:val="auto"/>
              </w:rPr>
            </w:pPr>
            <w:r>
              <w:rPr>
                <w:rFonts w:ascii="Arial" w:cs="Arial" w:eastAsia="Arial" w:hAnsi="Arial"/>
                <w:sz w:val="18"/>
                <w:szCs w:val="18"/>
                <w:color w:val="auto"/>
              </w:rPr>
              <w:t>$234</w:t>
            </w: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c>
          <w:tcPr>
            <w:tcW w:w="1440" w:type="dxa"/>
            <w:vAlign w:val="bottom"/>
          </w:tcPr>
          <w:p>
            <w:pPr>
              <w:jc w:val="right"/>
              <w:spacing w:after="0"/>
              <w:rPr>
                <w:sz w:val="20"/>
                <w:szCs w:val="20"/>
                <w:color w:val="auto"/>
              </w:rPr>
            </w:pPr>
            <w:r>
              <w:rPr>
                <w:rFonts w:ascii="Arial" w:cs="Arial" w:eastAsia="Arial" w:hAnsi="Arial"/>
                <w:sz w:val="18"/>
                <w:szCs w:val="18"/>
                <w:color w:val="auto"/>
              </w:rPr>
              <w:t>$241</w:t>
            </w:r>
          </w:p>
        </w:tc>
        <w:tc>
          <w:tcPr>
            <w:tcW w:w="13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325"/>
        </w:trPr>
        <w:tc>
          <w:tcPr>
            <w:tcW w:w="4840" w:type="dxa"/>
            <w:vAlign w:val="bottom"/>
          </w:tcPr>
          <w:p>
            <w:pPr>
              <w:spacing w:after="0"/>
              <w:rPr>
                <w:sz w:val="20"/>
                <w:szCs w:val="20"/>
                <w:color w:val="auto"/>
              </w:rPr>
            </w:pPr>
            <w:r>
              <w:rPr>
                <w:rFonts w:ascii="Arial" w:cs="Arial" w:eastAsia="Arial" w:hAnsi="Arial"/>
                <w:sz w:val="18"/>
                <w:szCs w:val="18"/>
                <w:color w:val="auto"/>
              </w:rPr>
              <w:t>Other information for Wynn Macau:</w:t>
            </w:r>
          </w:p>
        </w:tc>
        <w:tc>
          <w:tcPr>
            <w:tcW w:w="2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54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2340" w:type="dxa"/>
            <w:vAlign w:val="bottom"/>
          </w:tcPr>
          <w:p>
            <w:pPr>
              <w:jc w:val="right"/>
              <w:spacing w:after="0"/>
              <w:rPr>
                <w:sz w:val="20"/>
                <w:szCs w:val="20"/>
                <w:color w:val="auto"/>
              </w:rPr>
            </w:pPr>
            <w:r>
              <w:rPr>
                <w:rFonts w:ascii="Arial" w:cs="Arial" w:eastAsia="Arial" w:hAnsi="Arial"/>
                <w:sz w:val="18"/>
                <w:szCs w:val="18"/>
                <w:color w:val="auto"/>
              </w:rPr>
              <w:t>$15,136</w:t>
            </w:r>
          </w:p>
        </w:tc>
        <w:tc>
          <w:tcPr>
            <w:tcW w:w="1420" w:type="dxa"/>
            <w:vAlign w:val="bottom"/>
          </w:tcPr>
          <w:p>
            <w:pPr>
              <w:jc w:val="right"/>
              <w:spacing w:after="0"/>
              <w:rPr>
                <w:sz w:val="20"/>
                <w:szCs w:val="20"/>
                <w:color w:val="auto"/>
              </w:rPr>
            </w:pPr>
            <w:r>
              <w:rPr>
                <w:rFonts w:ascii="Arial" w:cs="Arial" w:eastAsia="Arial" w:hAnsi="Arial"/>
                <w:sz w:val="18"/>
                <w:szCs w:val="18"/>
                <w:color w:val="auto"/>
              </w:rPr>
              <w:t>$16,686</w:t>
            </w:r>
          </w:p>
        </w:tc>
        <w:tc>
          <w:tcPr>
            <w:tcW w:w="1440" w:type="dxa"/>
            <w:vAlign w:val="bottom"/>
          </w:tcPr>
          <w:p>
            <w:pPr>
              <w:jc w:val="right"/>
              <w:spacing w:after="0"/>
              <w:rPr>
                <w:sz w:val="20"/>
                <w:szCs w:val="20"/>
                <w:color w:val="auto"/>
              </w:rPr>
            </w:pPr>
            <w:r>
              <w:rPr>
                <w:rFonts w:ascii="Arial" w:cs="Arial" w:eastAsia="Arial" w:hAnsi="Arial"/>
                <w:sz w:val="18"/>
                <w:szCs w:val="18"/>
                <w:color w:val="auto"/>
              </w:rPr>
              <w:t>$16,205</w:t>
            </w:r>
          </w:p>
        </w:tc>
        <w:tc>
          <w:tcPr>
            <w:tcW w:w="1380" w:type="dxa"/>
            <w:vAlign w:val="bottom"/>
          </w:tcPr>
          <w:p>
            <w:pPr>
              <w:jc w:val="right"/>
              <w:spacing w:after="0"/>
              <w:rPr>
                <w:sz w:val="20"/>
                <w:szCs w:val="20"/>
                <w:color w:val="auto"/>
              </w:rPr>
            </w:pPr>
            <w:r>
              <w:rPr>
                <w:rFonts w:ascii="Arial" w:cs="Arial" w:eastAsia="Arial" w:hAnsi="Arial"/>
                <w:sz w:val="18"/>
                <w:szCs w:val="18"/>
                <w:color w:val="auto"/>
              </w:rPr>
              <w:t>$16,478</w:t>
            </w:r>
          </w:p>
        </w:tc>
        <w:tc>
          <w:tcPr>
            <w:tcW w:w="0" w:type="dxa"/>
            <w:vAlign w:val="bottom"/>
          </w:tcPr>
          <w:p>
            <w:pPr>
              <w:spacing w:after="0"/>
              <w:rPr>
                <w:sz w:val="1"/>
                <w:szCs w:val="1"/>
                <w:color w:val="auto"/>
              </w:rPr>
            </w:pPr>
          </w:p>
        </w:tc>
      </w:tr>
      <w:tr>
        <w:trPr>
          <w:trHeight w:val="221"/>
        </w:trPr>
        <w:tc>
          <w:tcPr>
            <w:tcW w:w="4840" w:type="dxa"/>
            <w:vAlign w:val="bottom"/>
          </w:tcPr>
          <w:p>
            <w:pPr>
              <w:ind w:left="540"/>
              <w:spacing w:after="0" w:line="221"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2340" w:type="dxa"/>
            <w:vAlign w:val="bottom"/>
          </w:tcPr>
          <w:p>
            <w:pPr>
              <w:jc w:val="right"/>
              <w:spacing w:after="0"/>
              <w:rPr>
                <w:sz w:val="20"/>
                <w:szCs w:val="20"/>
                <w:color w:val="auto"/>
              </w:rPr>
            </w:pPr>
            <w:r>
              <w:rPr>
                <w:rFonts w:ascii="Arial" w:cs="Arial" w:eastAsia="Arial" w:hAnsi="Arial"/>
                <w:sz w:val="18"/>
                <w:szCs w:val="18"/>
                <w:color w:val="auto"/>
              </w:rPr>
              <w:t>$366</w:t>
            </w:r>
          </w:p>
        </w:tc>
        <w:tc>
          <w:tcPr>
            <w:tcW w:w="1420" w:type="dxa"/>
            <w:vAlign w:val="bottom"/>
          </w:tcPr>
          <w:p>
            <w:pPr>
              <w:jc w:val="right"/>
              <w:spacing w:after="0"/>
              <w:rPr>
                <w:sz w:val="20"/>
                <w:szCs w:val="20"/>
                <w:color w:val="auto"/>
              </w:rPr>
            </w:pPr>
            <w:r>
              <w:rPr>
                <w:rFonts w:ascii="Arial" w:cs="Arial" w:eastAsia="Arial" w:hAnsi="Arial"/>
                <w:sz w:val="18"/>
                <w:szCs w:val="18"/>
                <w:color w:val="auto"/>
              </w:rPr>
              <w:t>$456</w:t>
            </w: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13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4840" w:type="dxa"/>
            <w:vAlign w:val="bottom"/>
          </w:tcPr>
          <w:p>
            <w:pPr>
              <w:ind w:left="540"/>
              <w:spacing w:after="0" w:line="202" w:lineRule="exact"/>
              <w:rPr>
                <w:sz w:val="20"/>
                <w:szCs w:val="20"/>
                <w:color w:val="auto"/>
              </w:rPr>
            </w:pPr>
            <w:r>
              <w:rPr>
                <w:rFonts w:ascii="Arial" w:cs="Arial" w:eastAsia="Arial" w:hAnsi="Arial"/>
                <w:sz w:val="18"/>
                <w:szCs w:val="18"/>
                <w:color w:val="auto"/>
              </w:rPr>
              <w:t>Average number of table games</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7"/>
        </w:trPr>
        <w:tc>
          <w:tcPr>
            <w:tcW w:w="484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2340" w:type="dxa"/>
            <w:vAlign w:val="bottom"/>
          </w:tcPr>
          <w:p>
            <w:pPr>
              <w:jc w:val="right"/>
              <w:spacing w:after="0"/>
              <w:rPr>
                <w:sz w:val="20"/>
                <w:szCs w:val="20"/>
                <w:color w:val="auto"/>
              </w:rPr>
            </w:pPr>
            <w:r>
              <w:rPr>
                <w:rFonts w:ascii="Arial" w:cs="Arial" w:eastAsia="Arial" w:hAnsi="Arial"/>
                <w:sz w:val="18"/>
                <w:szCs w:val="18"/>
                <w:color w:val="auto"/>
              </w:rPr>
              <w:t>1,230</w:t>
            </w:r>
          </w:p>
        </w:tc>
        <w:tc>
          <w:tcPr>
            <w:tcW w:w="1420" w:type="dxa"/>
            <w:vAlign w:val="bottom"/>
          </w:tcPr>
          <w:p>
            <w:pPr>
              <w:jc w:val="right"/>
              <w:spacing w:after="0"/>
              <w:rPr>
                <w:sz w:val="20"/>
                <w:szCs w:val="20"/>
                <w:color w:val="auto"/>
              </w:rPr>
            </w:pPr>
            <w:r>
              <w:rPr>
                <w:rFonts w:ascii="Arial" w:cs="Arial" w:eastAsia="Arial" w:hAnsi="Arial"/>
                <w:sz w:val="18"/>
                <w:szCs w:val="18"/>
                <w:color w:val="auto"/>
              </w:rPr>
              <w:t>486</w:t>
            </w:r>
          </w:p>
        </w:tc>
        <w:tc>
          <w:tcPr>
            <w:tcW w:w="1440" w:type="dxa"/>
            <w:vAlign w:val="bottom"/>
          </w:tcPr>
          <w:p>
            <w:pPr>
              <w:jc w:val="right"/>
              <w:spacing w:after="0"/>
              <w:rPr>
                <w:sz w:val="20"/>
                <w:szCs w:val="20"/>
                <w:color w:val="auto"/>
              </w:rPr>
            </w:pPr>
            <w:r>
              <w:rPr>
                <w:rFonts w:ascii="Arial" w:cs="Arial" w:eastAsia="Arial" w:hAnsi="Arial"/>
                <w:sz w:val="18"/>
                <w:szCs w:val="18"/>
                <w:color w:val="auto"/>
              </w:rPr>
              <w:t>1,243</w:t>
            </w:r>
          </w:p>
        </w:tc>
        <w:tc>
          <w:tcPr>
            <w:tcW w:w="13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2019-12-11T15:41:40Z</dcterms:created>
  <dcterms:modified xsi:type="dcterms:W3CDTF">2019-12-11T15:41:40Z</dcterms:modified>
</cp:coreProperties>
</file>