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819"/>
        <w:spacing w:after="0"/>
        <w:rPr>
          <w:sz w:val="20"/>
          <w:szCs w:val="20"/>
          <w:color w:val="auto"/>
        </w:rPr>
      </w:pPr>
      <w:r>
        <w:rPr>
          <w:rFonts w:ascii="Arial" w:cs="Arial" w:eastAsia="Arial" w:hAnsi="Arial"/>
          <w:sz w:val="18"/>
          <w:szCs w:val="18"/>
          <w:color w:val="auto"/>
        </w:rPr>
        <w:t>Date of Report (Date of earliest event reported): March 3, 2008</w:t>
      </w:r>
    </w:p>
    <w:p>
      <w:pPr>
        <w:spacing w:after="0" w:line="13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3020" w:type="dxa"/>
            <w:vAlign w:val="bottom"/>
          </w:tcPr>
          <w:p>
            <w:pPr>
              <w:jc w:val="center"/>
              <w:ind w:right="1226"/>
              <w:spacing w:after="0"/>
              <w:rPr>
                <w:sz w:val="20"/>
                <w:szCs w:val="20"/>
                <w:color w:val="auto"/>
              </w:rPr>
            </w:pPr>
            <w:r>
              <w:rPr>
                <w:rFonts w:ascii="Arial" w:cs="Arial" w:eastAsia="Arial" w:hAnsi="Arial"/>
                <w:sz w:val="18"/>
                <w:szCs w:val="18"/>
                <w:b w:val="1"/>
                <w:bCs w:val="1"/>
                <w:color w:val="auto"/>
                <w:w w:val="87"/>
              </w:rPr>
              <w:t>Nevada</w:t>
            </w:r>
          </w:p>
        </w:tc>
        <w:tc>
          <w:tcPr>
            <w:tcW w:w="3520" w:type="dxa"/>
            <w:vAlign w:val="bottom"/>
          </w:tcPr>
          <w:p>
            <w:pPr>
              <w:ind w:left="134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302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2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20" w:type="dxa"/>
            <w:vAlign w:val="bottom"/>
          </w:tcPr>
          <w:p>
            <w:pPr>
              <w:jc w:val="center"/>
              <w:ind w:right="1226"/>
              <w:spacing w:after="0"/>
              <w:rPr>
                <w:sz w:val="20"/>
                <w:szCs w:val="20"/>
                <w:color w:val="auto"/>
              </w:rPr>
            </w:pPr>
            <w:r>
              <w:rPr>
                <w:rFonts w:ascii="Arial" w:cs="Arial" w:eastAsia="Arial" w:hAnsi="Arial"/>
                <w:sz w:val="14"/>
                <w:szCs w:val="14"/>
                <w:b w:val="1"/>
                <w:bCs w:val="1"/>
                <w:color w:val="auto"/>
                <w:w w:val="88"/>
              </w:rPr>
              <w:t>incorporation)</w:t>
            </w:r>
          </w:p>
        </w:tc>
        <w:tc>
          <w:tcPr>
            <w:tcW w:w="3520" w:type="dxa"/>
            <w:vAlign w:val="bottom"/>
          </w:tcPr>
          <w:p>
            <w:pPr>
              <w:ind w:left="13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3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WYNN LAS VEGAS, LLC</w:t>
      </w:r>
    </w:p>
    <w:p>
      <w:pPr>
        <w:spacing w:after="0" w:line="18"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597" w:right="105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597"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597" w:right="105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140"/>
          </w:cols>
          <w:pgMar w:left="240" w:top="597" w:right="1059" w:bottom="1440" w:gutter="0" w:footer="0" w:header="0"/>
          <w:type w:val="continuous"/>
        </w:sectPr>
      </w:pPr>
    </w:p>
    <w:p>
      <w:pPr>
        <w:ind w:left="122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220"/>
          </w:cols>
          <w:pgMar w:left="240" w:top="597"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597"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597"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Sisk Employment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3, 2008, Wynn Las Vegas, LLC (“WLV”) entered into an employment agreement with David Sisk, the Executive Vice President and Chief Financial Officer of WLV. The agreement supersedes Mr. Sisk’s previous employment agreement with WLV which expired in October 2007. The agreement is effective as of October 27, 2007, and terminates on October 27, 2010. The agreement provides for a base salary of $500,000 per year and a discretionary bonus in accordance with WLV’s bonus plan.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agreement provides that Mr. Sisk will be entitled to (i) participate in all employee benefit plans that WLV maintains for its employees, and (ii) receive reimbursement for reasonable business expenses. The agreement further provides that management of WLV will recommend to the Compensation Committee of the Board of Directors of Wynn Resorts, Limited (“WRL”) that Mr. Sisk be granted an option to purchase 50,000 shares of common stock of WRL pursuant to WRL’s 2002 Stock Incentive Plan, with such grant vesting in its entirety five years after the date of grant, provided, that in the event Mr. Sisk is terminated without “cause” (as such term is defined in the agreement), the grant will vest pro rata on a monthly basis from the date of grant to the effective date of Mr. Sisk’s termination of employment.</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Mr. Sisk is terminated without “cause,” or if he terminates his employment upon a material breach of the agreement by WLV, or for “good reason” following a “change of control” (as these terms are defined in the agreement), WLV will pay Mr. Sisk a separation payment in a lump sum equal to the sum of the following: (a) his base salary for 12 months following termination; (b) a pro-rated amount of any bonus that might otherwise have been paid to Mr. Sisk for any period that would have concluded during the 12 months following the preceding bonus period; (c) any accrued but unpaid vacation pay; plus (d) any tax “gross-up payment” (as such term is defined in the agreement) with respect to the separation payment required to be paid pursuant to the agreement. Additionally,</w:t>
      </w:r>
    </w:p>
    <w:p>
      <w:pPr>
        <w:spacing w:after="0" w:line="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Mr. Sisk will be entitled to receive, until the earlier of 12 months following termination and the date Mr. Sisk becomes covered under any other group health plan not maintained by WLV or any of its affiliates, health benefits coverage for himself and his dependents under the same plan(s) or arrangement(s) under which he was covered immediately before his termination, or plan(s) established or arrangement(s) provided by WLV or any of its affiliates thereafter.</w:t>
      </w:r>
    </w:p>
    <w:p>
      <w:pPr>
        <w:spacing w:after="0" w:line="109"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Mr. Sisk’s employment terminates for any other reason before the expiration of the term of the agreement (e.g., because of his death, disability, discharge for cause or revocation of gaming license), WLV will pay him only his base salary and any accrued but unpaid vacation pay through the termination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 D. Schorr Employment Agreement</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March 4, 2008, WRL entered into an employment agreement with Marc D. Schorr, the Chief Operating Officer of WRL. The agreement supersedes Mr. Schorr’s previous employment agreement with WRL which expired in October 2007. The agreement is effective as of October 31, 2007, and terminates on October 31, 2012. The agreement provides for a base salary of $1,750,000 per year and a discretionary bonus pursuant to WRL’s Annual Performance Based Incentive Plan for Executive Officers.</w:t>
      </w:r>
    </w:p>
    <w:p>
      <w:pPr>
        <w:sectPr>
          <w:pgSz w:w="11900" w:h="16838" w:orient="portrait"/>
          <w:cols w:equalWidth="0" w:num="1">
            <w:col w:w="11380"/>
          </w:cols>
          <w:pgMar w:left="240" w:top="274" w:right="279" w:bottom="1440" w:gutter="0" w:footer="0" w:header="0"/>
        </w:sectPr>
      </w:pPr>
    </w:p>
    <w:bookmarkStart w:id="2" w:name="page3"/>
    <w:bookmarkEnd w:id="2"/>
    <w:p>
      <w:pPr>
        <w:ind w:right="5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agreement provides that Mr. Schorr will be entitled to (i) participate in all employee benefit plans that WRL maintains for its executives; (ii) use WRL’s aircraft for himself and his family pursuant to a time sharing agreement; and (iii) receive reimbursement for reasonable business expenses.</w:t>
      </w:r>
    </w:p>
    <w:p>
      <w:pPr>
        <w:spacing w:after="0" w:line="8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Mr. Schorr is terminated without “cause,” or if he terminates his employment upon a material breach of the agreement by WRL, or for “good reason” following a “change in control” (as these terms are defined in the agreement), WRL will pay Mr. Schorr a separation payment in a lump sum equal to the sum of the following: (a) his base salary for the remainder of the term of the employment agreement, but not less than one year; (b) a pro-rated amount of any bonus that might otherwise have been paid to Mr. Schorr for any period that would have concluded during the remainder of the term of the agreement; (c) any accrued but unpaid vacation pay; plus (d) any tax “gross-up payment” (as such term is defined in the agreement) with respect to the separation payment required to be paid pursuant to the agreement. Additionally, Mr. Schorr will be entitled to receive, until the earlier of the remainder of the term of his employment agreement and the date Mr. Schorr becomes covered under any other group health plan not maintained by WRL or any of its affiliates, health benefits coverage for himself and his dependents under the same plan(s) or arrangement(s) under which he was covered immediately before his termination, or plan(s) established or arrangement(s) provided by WRL or any of its affiliates thereafter.</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Mr. Schorr’s employment terminates for any other reason before the expiration of the term of the agreement (e.g., because of his death, disability, discharge for cause or revocation of gaming license), WRL will pay him only his base salary and any accrued but unpaid vacation pay through the termination date.</w:t>
      </w:r>
    </w:p>
    <w:p>
      <w:pPr>
        <w:spacing w:after="0" w:line="256" w:lineRule="exact"/>
        <w:rPr>
          <w:sz w:val="20"/>
          <w:szCs w:val="20"/>
          <w:color w:val="auto"/>
        </w:rPr>
      </w:pPr>
    </w:p>
    <w:p>
      <w:pPr>
        <w:ind w:left="1040" w:right="5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5.02.</w:t>
        <w:tab/>
        <w:t>Departure of Directors of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in Item 1.01 of this report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Employment Agreement, dated as of March 3, 2008, by and between Wynn Las Vegas, LLC and David Sisk</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240" w:top="274"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7"/>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Employment Agreement, dated as of March 3, 2008, by and between Wynn Las Vegas, LLC and David Sisk</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77"/>
              <w:spacing w:after="0"/>
              <w:rPr>
                <w:sz w:val="20"/>
                <w:szCs w:val="20"/>
                <w:color w:val="auto"/>
              </w:rPr>
            </w:pPr>
            <w:r>
              <w:rPr>
                <w:rFonts w:ascii="Arial" w:cs="Arial" w:eastAsia="Arial" w:hAnsi="Arial"/>
                <w:sz w:val="18"/>
                <w:szCs w:val="18"/>
                <w:color w:val="auto"/>
              </w:rPr>
              <w:t>6</w:t>
            </w:r>
          </w:p>
        </w:tc>
      </w:tr>
    </w:tbl>
    <w:p>
      <w:pPr>
        <w:jc w:val="right"/>
        <w:ind w:right="5577"/>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3rd day of March 2008,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DAVID SISK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3131 Las Vegas Boulevard South, Las Vegas, Nevada, 89109 and is engaged in the business of developing, owning and operating a casino resort at such place of business; and,</w:t>
      </w:r>
    </w:p>
    <w:p>
      <w:pPr>
        <w:spacing w:after="0" w:line="13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Employer previously entered into an Employment Agreement dated as of David Sisk pursuant to which Employee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&amp; Chief Financial Officer of Employer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20"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terminated by its terms as of October 20, 2007 and Employee and Employer desire to enter into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the continued employment of Employee by Employer; and</w:t>
      </w:r>
    </w:p>
    <w:p>
      <w:pPr>
        <w:spacing w:after="0" w:line="126" w:lineRule="exact"/>
        <w:rPr>
          <w:sz w:val="20"/>
          <w:szCs w:val="20"/>
          <w:color w:val="auto"/>
        </w:rPr>
      </w:pPr>
    </w:p>
    <w:p>
      <w:pPr>
        <w:ind w:left="460" w:right="3140"/>
        <w:spacing w:after="0" w:line="526" w:lineRule="auto"/>
        <w:rPr>
          <w:sz w:val="20"/>
          <w:szCs w:val="20"/>
          <w:color w:val="auto"/>
        </w:rPr>
      </w:pPr>
      <w:r>
        <w:rPr>
          <w:rFonts w:ascii="Arial" w:cs="Arial" w:eastAsia="Arial" w:hAnsi="Arial"/>
          <w:sz w:val="15"/>
          <w:szCs w:val="15"/>
          <w:b w:val="1"/>
          <w:bCs w:val="1"/>
          <w:i w:val="1"/>
          <w:iCs w:val="1"/>
          <w:color w:val="auto"/>
        </w:rPr>
        <w:t xml:space="preserve">WHEREAS, </w:t>
      </w:r>
      <w:r>
        <w:rPr>
          <w:rFonts w:ascii="Arial" w:cs="Arial" w:eastAsia="Arial" w:hAnsi="Arial"/>
          <w:sz w:val="15"/>
          <w:szCs w:val="15"/>
          <w:color w:val="auto"/>
        </w:rPr>
        <w:t>in furtherance of its business, Employer has need of qualified, experienced personnel; and,</w:t>
      </w:r>
      <w:r>
        <w:rPr>
          <w:rFonts w:ascii="Arial" w:cs="Arial" w:eastAsia="Arial" w:hAnsi="Arial"/>
          <w:sz w:val="15"/>
          <w:szCs w:val="15"/>
          <w:b w:val="1"/>
          <w:bCs w:val="1"/>
          <w:i w:val="1"/>
          <w:iCs w:val="1"/>
          <w:color w:val="auto"/>
        </w:rPr>
        <w:t xml:space="preserve"> WHEREAS, </w:t>
      </w:r>
      <w:r>
        <w:rPr>
          <w:rFonts w:ascii="Arial" w:cs="Arial" w:eastAsia="Arial" w:hAnsi="Arial"/>
          <w:sz w:val="15"/>
          <w:szCs w:val="15"/>
          <w:color w:val="auto"/>
        </w:rPr>
        <w:t>Employee is an adult individual residing at 10008 Laurel Springs, Las Vegas, Nevada 89134; and,</w:t>
      </w: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continue to employ Employee, and Employee is desirous of accepting employment from Employer under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conditions set forth herein;</w:t>
      </w:r>
    </w:p>
    <w:p>
      <w:pPr>
        <w:spacing w:after="0" w:line="132"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ectPr>
          <w:pgSz w:w="11900" w:h="16838" w:orient="portrait"/>
          <w:cols w:equalWidth="0" w:num="1">
            <w:col w:w="11420"/>
          </w:cols>
          <w:pgMar w:left="240" w:top="125" w:right="239" w:bottom="1440" w:gutter="0" w:footer="0" w:header="0"/>
        </w:sectPr>
      </w:pPr>
    </w:p>
    <w:bookmarkStart w:id="7" w:name="page8"/>
    <w:bookmarkEnd w:id="7"/>
    <w:p>
      <w:pPr>
        <w:ind w:left="-80" w:right="140" w:firstLine="464"/>
        <w:spacing w:after="0" w:line="268" w:lineRule="auto"/>
        <w:tabs>
          <w:tab w:leader="none" w:pos="552"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44" w:lineRule="exact"/>
        <w:rPr>
          <w:rFonts w:ascii="Arial" w:cs="Arial" w:eastAsia="Arial" w:hAnsi="Arial"/>
          <w:sz w:val="18"/>
          <w:szCs w:val="18"/>
          <w:b w:val="1"/>
          <w:bCs w:val="1"/>
          <w:i w:val="1"/>
          <w:iCs w:val="1"/>
          <w:color w:val="auto"/>
        </w:rPr>
      </w:pPr>
    </w:p>
    <w:p>
      <w:pPr>
        <w:ind w:left="380" w:firstLine="443"/>
        <w:spacing w:after="0" w:line="254" w:lineRule="auto"/>
        <w:tabs>
          <w:tab w:leader="none" w:pos="1057"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60" w:lineRule="exact"/>
        <w:rPr>
          <w:rFonts w:ascii="Arial" w:cs="Arial" w:eastAsia="Arial" w:hAnsi="Arial"/>
          <w:sz w:val="18"/>
          <w:szCs w:val="18"/>
          <w:color w:val="auto"/>
        </w:rPr>
      </w:pPr>
    </w:p>
    <w:p>
      <w:pPr>
        <w:ind w:left="380" w:right="40" w:firstLine="443"/>
        <w:spacing w:after="0" w:line="310" w:lineRule="auto"/>
        <w:tabs>
          <w:tab w:leader="none" w:pos="1067"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Adjusted Property EBITDA</w:t>
      </w:r>
      <w:r>
        <w:rPr>
          <w:rFonts w:ascii="Arial" w:cs="Arial" w:eastAsia="Arial" w:hAnsi="Arial"/>
          <w:sz w:val="16"/>
          <w:szCs w:val="16"/>
          <w:color w:val="auto"/>
        </w:rPr>
        <w:t>” means earnings before interest, taxes, depreciation, amortization, pre-opening costs, property charges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expenses, stock-based compensation, contract termination fee, and other non-operating income and expenses calculated in the same manner as Employer calculated the Adjusted Property EBITDA for the calendar year ended December 31, 2007.</w:t>
      </w:r>
    </w:p>
    <w:p>
      <w:pPr>
        <w:spacing w:after="0" w:line="16" w:lineRule="exact"/>
        <w:rPr>
          <w:rFonts w:ascii="Arial" w:cs="Arial" w:eastAsia="Arial" w:hAnsi="Arial"/>
          <w:sz w:val="16"/>
          <w:szCs w:val="16"/>
          <w:color w:val="auto"/>
        </w:rPr>
      </w:pPr>
    </w:p>
    <w:p>
      <w:pPr>
        <w:ind w:left="1060" w:hanging="237"/>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5 hereof).</w:t>
      </w:r>
    </w:p>
    <w:p>
      <w:pPr>
        <w:spacing w:after="0" w:line="90" w:lineRule="exact"/>
        <w:rPr>
          <w:rFonts w:ascii="Arial" w:cs="Arial" w:eastAsia="Arial" w:hAnsi="Arial"/>
          <w:sz w:val="18"/>
          <w:szCs w:val="18"/>
          <w:color w:val="auto"/>
        </w:rPr>
      </w:pPr>
    </w:p>
    <w:p>
      <w:pPr>
        <w:ind w:left="1080" w:hanging="25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96" w:lineRule="exact"/>
        <w:rPr>
          <w:rFonts w:ascii="Arial" w:cs="Arial" w:eastAsia="Arial" w:hAnsi="Arial"/>
          <w:sz w:val="18"/>
          <w:szCs w:val="18"/>
          <w:color w:val="auto"/>
        </w:rPr>
      </w:pPr>
    </w:p>
    <w:p>
      <w:pPr>
        <w:ind w:left="1480" w:hanging="219"/>
        <w:spacing w:after="0"/>
        <w:tabs>
          <w:tab w:leader="none" w:pos="1480"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its Affiliate having a material value to Employer or such Affiliate;</w:t>
      </w:r>
    </w:p>
    <w:p>
      <w:pPr>
        <w:spacing w:after="0" w:line="113" w:lineRule="exact"/>
        <w:rPr>
          <w:rFonts w:ascii="Arial" w:cs="Arial" w:eastAsia="Arial" w:hAnsi="Arial"/>
          <w:sz w:val="16"/>
          <w:szCs w:val="16"/>
          <w:color w:val="auto"/>
        </w:rPr>
      </w:pPr>
    </w:p>
    <w:p>
      <w:pPr>
        <w:ind w:left="840" w:right="100" w:firstLine="421"/>
        <w:spacing w:after="0" w:line="268" w:lineRule="auto"/>
        <w:tabs>
          <w:tab w:leader="none" w:pos="1518"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and/or not related to Employer or its Affiliate);</w:t>
      </w:r>
    </w:p>
    <w:p>
      <w:pPr>
        <w:spacing w:after="0" w:line="50" w:lineRule="exact"/>
        <w:rPr>
          <w:rFonts w:ascii="Arial" w:cs="Arial" w:eastAsia="Arial" w:hAnsi="Arial"/>
          <w:sz w:val="18"/>
          <w:szCs w:val="18"/>
          <w:color w:val="auto"/>
        </w:rPr>
      </w:pPr>
    </w:p>
    <w:p>
      <w:pPr>
        <w:ind w:left="840" w:right="40" w:firstLine="421"/>
        <w:spacing w:after="0" w:line="332" w:lineRule="auto"/>
        <w:tabs>
          <w:tab w:leader="none" w:pos="1567" w:val="left"/>
        </w:tabs>
        <w:numPr>
          <w:ilvl w:val="2"/>
          <w:numId w:val="3"/>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and/or not related to Employer or its Affiliate);</w:t>
      </w:r>
    </w:p>
    <w:p>
      <w:pPr>
        <w:spacing w:after="0" w:line="4" w:lineRule="exact"/>
        <w:rPr>
          <w:rFonts w:ascii="Arial" w:cs="Arial" w:eastAsia="Arial" w:hAnsi="Arial"/>
          <w:sz w:val="16"/>
          <w:szCs w:val="16"/>
          <w:color w:val="auto"/>
        </w:rPr>
      </w:pPr>
    </w:p>
    <w:p>
      <w:pPr>
        <w:ind w:left="840" w:right="120" w:firstLine="421"/>
        <w:spacing w:after="0" w:line="259" w:lineRule="auto"/>
        <w:tabs>
          <w:tab w:leader="none" w:pos="1557" w:val="left"/>
        </w:tabs>
        <w:numPr>
          <w:ilvl w:val="2"/>
          <w:numId w:val="3"/>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Employee’s duties (other than due to physical or mental illness) commensurate with Employee’s title and function, or Employee’s failure to comply with the lawful directions of Employer, that is not cured within fifteen (15) days after Employee has received written notice thereof from Employer;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8" w:name="page9"/>
    <w:bookmarkEnd w:id="8"/>
    <w:p>
      <w:pPr>
        <w:ind w:left="677" w:hanging="239"/>
        <w:spacing w:after="0"/>
        <w:tabs>
          <w:tab w:leader="none" w:pos="67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willful and knowing material misrepresentation to Employer’s or its Affiliate’s Board of Directors;</w:t>
      </w:r>
    </w:p>
    <w:p>
      <w:pPr>
        <w:spacing w:after="0" w:line="90" w:lineRule="exact"/>
        <w:rPr>
          <w:rFonts w:ascii="Arial" w:cs="Arial" w:eastAsia="Arial" w:hAnsi="Arial"/>
          <w:sz w:val="18"/>
          <w:szCs w:val="18"/>
          <w:color w:val="auto"/>
        </w:rPr>
      </w:pPr>
    </w:p>
    <w:p>
      <w:pPr>
        <w:ind w:left="17" w:right="620" w:firstLine="421"/>
        <w:spacing w:after="0" w:line="268"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its Affiliate, which does or could result in material harm to Employer or to Employer’s reputation, or that of its Affiliate; or</w:t>
      </w:r>
    </w:p>
    <w:p>
      <w:pPr>
        <w:spacing w:after="0" w:line="50" w:lineRule="exact"/>
        <w:rPr>
          <w:rFonts w:ascii="Arial" w:cs="Arial" w:eastAsia="Arial" w:hAnsi="Arial"/>
          <w:sz w:val="18"/>
          <w:szCs w:val="18"/>
          <w:color w:val="auto"/>
        </w:rPr>
      </w:pPr>
    </w:p>
    <w:p>
      <w:pPr>
        <w:ind w:left="777" w:hanging="339"/>
        <w:spacing w:after="0"/>
        <w:tabs>
          <w:tab w:leader="none" w:pos="777"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its Affiliate,</w:t>
      </w:r>
    </w:p>
    <w:p>
      <w:pPr>
        <w:spacing w:after="0" w:line="90" w:lineRule="exact"/>
        <w:rPr>
          <w:sz w:val="20"/>
          <w:szCs w:val="20"/>
          <w:color w:val="auto"/>
        </w:rPr>
      </w:pPr>
    </w:p>
    <w:p>
      <w:pPr>
        <w:ind w:left="17" w:right="20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45" w:lineRule="exact"/>
        <w:rPr>
          <w:sz w:val="20"/>
          <w:szCs w:val="20"/>
          <w:color w:val="auto"/>
        </w:rPr>
      </w:pPr>
    </w:p>
    <w:p>
      <w:pPr>
        <w:ind w:left="237" w:hanging="237"/>
        <w:spacing w:after="0"/>
        <w:tabs>
          <w:tab w:leader="none" w:pos="2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96" w:lineRule="exact"/>
        <w:rPr>
          <w:rFonts w:ascii="Arial" w:cs="Arial" w:eastAsia="Arial" w:hAnsi="Arial"/>
          <w:sz w:val="18"/>
          <w:szCs w:val="18"/>
          <w:color w:val="auto"/>
        </w:rPr>
      </w:pPr>
    </w:p>
    <w:p>
      <w:pPr>
        <w:ind w:left="17" w:right="40" w:firstLine="421"/>
        <w:spacing w:after="0" w:line="255" w:lineRule="auto"/>
        <w:tabs>
          <w:tab w:leader="none" w:pos="64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61" w:lineRule="exact"/>
        <w:rPr>
          <w:rFonts w:ascii="Arial" w:cs="Arial" w:eastAsia="Arial" w:hAnsi="Arial"/>
          <w:sz w:val="18"/>
          <w:szCs w:val="18"/>
          <w:color w:val="auto"/>
        </w:rPr>
      </w:pPr>
    </w:p>
    <w:p>
      <w:pPr>
        <w:jc w:val="both"/>
        <w:ind w:left="17" w:firstLine="421"/>
        <w:spacing w:after="0" w:line="294" w:lineRule="auto"/>
        <w:tabs>
          <w:tab w:leader="none" w:pos="696"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individuals who, as of the Effective Date,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w:t>
      </w:r>
    </w:p>
    <w:p>
      <w:pPr>
        <w:spacing w:after="0" w:line="102"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17"/>
          </w:cols>
          <w:pgMar w:left="1143" w:top="280" w:right="339" w:bottom="1440" w:gutter="0" w:footer="0" w:header="0"/>
        </w:sectPr>
      </w:pPr>
    </w:p>
    <w:bookmarkStart w:id="9" w:name="page10"/>
    <w:bookmarkEnd w:id="9"/>
    <w:p>
      <w:pPr>
        <w:ind w:left="4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59" w:lineRule="exact"/>
        <w:rPr>
          <w:sz w:val="20"/>
          <w:szCs w:val="20"/>
          <w:color w:val="auto"/>
        </w:rPr>
      </w:pPr>
    </w:p>
    <w:p>
      <w:pPr>
        <w:ind w:left="460" w:firstLine="421"/>
        <w:spacing w:after="0" w:line="286" w:lineRule="auto"/>
        <w:tabs>
          <w:tab w:leader="none" w:pos="1187"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of Control” pursuant to subparagraph (i) of this definition of “Change of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of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53" w:lineRule="exact"/>
        <w:rPr>
          <w:sz w:val="20"/>
          <w:szCs w:val="20"/>
          <w:color w:val="auto"/>
        </w:rPr>
      </w:pPr>
    </w:p>
    <w:p>
      <w:pPr>
        <w:ind w:right="800" w:firstLine="443"/>
        <w:spacing w:after="0" w:line="339" w:lineRule="auto"/>
        <w:tabs>
          <w:tab w:leader="none" w:pos="657"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Complete Disability</w:t>
      </w:r>
      <w:r>
        <w:rPr>
          <w:rFonts w:ascii="Arial" w:cs="Arial" w:eastAsia="Arial" w:hAnsi="Arial"/>
          <w:sz w:val="16"/>
          <w:szCs w:val="16"/>
          <w:color w:val="auto"/>
        </w:rPr>
        <w:t>” - means the inability of Employee, due to illness or accident or other mental or physical incapacity, to perform Employee’s obligations under this Agreement for a period as defined by Employer’s local disability plan or plans.</w:t>
      </w:r>
    </w:p>
    <w:p>
      <w:pPr>
        <w:spacing w:after="0" w:line="6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700" w:top="280" w:right="319" w:bottom="1440" w:gutter="0" w:footer="0" w:header="0"/>
        </w:sectPr>
      </w:pPr>
    </w:p>
    <w:bookmarkStart w:id="10" w:name="page11"/>
    <w:bookmarkEnd w:id="10"/>
    <w:p>
      <w:pPr>
        <w:ind w:firstLine="443"/>
        <w:spacing w:after="0" w:line="288"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34" w:lineRule="exact"/>
        <w:rPr>
          <w:rFonts w:ascii="Arial" w:cs="Arial" w:eastAsia="Arial" w:hAnsi="Arial"/>
          <w:sz w:val="16"/>
          <w:szCs w:val="16"/>
          <w:color w:val="auto"/>
        </w:rPr>
      </w:pPr>
    </w:p>
    <w:p>
      <w:pPr>
        <w:ind w:left="700" w:hanging="25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October 27, 2007.</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 means the occurrence, of any of the following (except with Employee’s written consent or resulting from an isolated,</w:t>
      </w:r>
    </w:p>
    <w:p>
      <w:pPr>
        <w:spacing w:after="0" w:line="44"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insubstantial and inadvertent action not taken in bad faith and which is remedied by Employer or its Affiliate promptly after receipt of notice thereof from Employee):</w:t>
      </w:r>
    </w:p>
    <w:p>
      <w:pPr>
        <w:spacing w:after="0" w:line="56" w:lineRule="exact"/>
        <w:rPr>
          <w:rFonts w:ascii="Arial" w:cs="Arial" w:eastAsia="Arial" w:hAnsi="Arial"/>
          <w:sz w:val="16"/>
          <w:szCs w:val="16"/>
          <w:color w:val="auto"/>
        </w:rPr>
      </w:pPr>
    </w:p>
    <w:p>
      <w:pPr>
        <w:ind w:left="1100" w:hanging="219"/>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7(a) below);</w:t>
      </w:r>
    </w:p>
    <w:p>
      <w:pPr>
        <w:spacing w:after="0" w:line="90" w:lineRule="exact"/>
        <w:rPr>
          <w:rFonts w:ascii="Arial" w:cs="Arial" w:eastAsia="Arial" w:hAnsi="Arial"/>
          <w:sz w:val="18"/>
          <w:szCs w:val="18"/>
          <w:color w:val="auto"/>
        </w:rPr>
      </w:pPr>
    </w:p>
    <w:p>
      <w:pPr>
        <w:ind w:left="460" w:right="260" w:firstLine="421"/>
        <w:spacing w:after="0" w:line="259" w:lineRule="auto"/>
        <w:tabs>
          <w:tab w:leader="none" w:pos="1138"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1" w:name="page12"/>
    <w:bookmarkEnd w:id="11"/>
    <w:p>
      <w:pPr>
        <w:ind w:left="1180" w:hanging="299"/>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 materially reduces the aggregate benefits and perquisites to Employee from those being provided;</w:t>
      </w:r>
    </w:p>
    <w:p>
      <w:pPr>
        <w:spacing w:after="0" w:line="90" w:lineRule="exact"/>
        <w:rPr>
          <w:rFonts w:ascii="Arial" w:cs="Arial" w:eastAsia="Arial" w:hAnsi="Arial"/>
          <w:sz w:val="18"/>
          <w:szCs w:val="18"/>
          <w:color w:val="auto"/>
        </w:rPr>
      </w:pPr>
    </w:p>
    <w:p>
      <w:pPr>
        <w:ind w:left="460" w:firstLine="421"/>
        <w:spacing w:after="0" w:line="268" w:lineRule="auto"/>
        <w:tabs>
          <w:tab w:leader="none" w:pos="1177"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Employer or any of its Affiliates requires Employee to change the location of Employee’s job or office, so that Employee will be based at a location more than 25 miles from the location of Employee’s job or office;</w:t>
      </w:r>
    </w:p>
    <w:p>
      <w:pPr>
        <w:spacing w:after="0" w:line="50" w:lineRule="exact"/>
        <w:rPr>
          <w:rFonts w:ascii="Arial" w:cs="Arial" w:eastAsia="Arial" w:hAnsi="Arial"/>
          <w:sz w:val="18"/>
          <w:szCs w:val="18"/>
          <w:color w:val="auto"/>
        </w:rPr>
      </w:pPr>
    </w:p>
    <w:p>
      <w:pPr>
        <w:ind w:left="460" w:right="900" w:firstLine="421"/>
        <w:spacing w:after="0" w:line="268" w:lineRule="auto"/>
        <w:tabs>
          <w:tab w:leader="none" w:pos="11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or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45" w:lineRule="exact"/>
        <w:rPr>
          <w:sz w:val="20"/>
          <w:szCs w:val="20"/>
          <w:color w:val="auto"/>
        </w:rPr>
      </w:pPr>
    </w:p>
    <w:p>
      <w:pPr>
        <w:ind w:left="660" w:hanging="217"/>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Original Hire Date</w:t>
      </w:r>
      <w:r>
        <w:rPr>
          <w:rFonts w:ascii="Arial" w:cs="Arial" w:eastAsia="Arial" w:hAnsi="Arial"/>
          <w:sz w:val="18"/>
          <w:szCs w:val="18"/>
          <w:b w:val="1"/>
          <w:bCs w:val="1"/>
          <w:color w:val="auto"/>
        </w:rPr>
        <w:t xml:space="preserve">” </w:t>
      </w:r>
      <w:r>
        <w:rPr>
          <w:rFonts w:ascii="Arial" w:cs="Arial" w:eastAsia="Arial" w:hAnsi="Arial"/>
          <w:sz w:val="18"/>
          <w:szCs w:val="18"/>
          <w:color w:val="auto"/>
        </w:rPr>
        <w:t>– means October 27, 2003.</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color w:val="auto"/>
        </w:rPr>
        <w:t>” - means a sum equal to (A) Employee’s Base Salary (as defined in Subparagraph 7(a) of this Agreement) for the twelve</w:t>
      </w:r>
    </w:p>
    <w:p>
      <w:pPr>
        <w:spacing w:after="0" w:line="44" w:lineRule="exact"/>
        <w:rPr>
          <w:rFonts w:ascii="Arial" w:cs="Arial" w:eastAsia="Arial" w:hAnsi="Arial"/>
          <w:sz w:val="16"/>
          <w:szCs w:val="16"/>
          <w:color w:val="auto"/>
        </w:rPr>
      </w:pPr>
    </w:p>
    <w:p>
      <w:pPr>
        <w:ind w:right="20" w:firstLine="4"/>
        <w:spacing w:after="0" w:line="254" w:lineRule="auto"/>
        <w:tabs>
          <w:tab w:leader="none" w:pos="3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months following termination, plus (B) the bonus that was paid to Employee under Subparagraph 7(b) for the preceding bonus period, projected over the twelve (12) months following that bonus period, plus (C) any accrued but unpaid vacation pay, plus (D) any Gross-Up Payment required by Exhibit 1 to this Agreement, which is incorporated herein by reference, said sum to be paid out over twelve (12) months in such weekly, bi-weekly or semi-monthly installments as shall be convenient to Employer.</w:t>
      </w:r>
    </w:p>
    <w:p>
      <w:pPr>
        <w:spacing w:after="0" w:line="56" w:lineRule="exact"/>
        <w:rPr>
          <w:rFonts w:ascii="Arial" w:cs="Arial" w:eastAsia="Arial" w:hAnsi="Arial"/>
          <w:sz w:val="18"/>
          <w:szCs w:val="18"/>
          <w:color w:val="auto"/>
        </w:rPr>
      </w:pPr>
    </w:p>
    <w:p>
      <w:pPr>
        <w:ind w:right="40" w:firstLine="443"/>
        <w:spacing w:after="0" w:line="256" w:lineRule="auto"/>
        <w:tabs>
          <w:tab w:leader="none" w:pos="6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2" w:name="page13"/>
    <w:bookmarkEnd w:id="12"/>
    <w:p>
      <w:pPr>
        <w:ind w:left="460" w:right="40" w:firstLine="443"/>
        <w:spacing w:after="0" w:line="296" w:lineRule="auto"/>
        <w:tabs>
          <w:tab w:leader="none" w:pos="1196"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firstLine="464"/>
        <w:spacing w:after="0" w:line="294" w:lineRule="auto"/>
        <w:tabs>
          <w:tab w:leader="none" w:pos="632"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AGREEMENT/TERMINATION OF PRIOR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forth, 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the Effective Date, this Agreement supersedes and replaces any and all prior employment agreements (including, but not limited to, the Prior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43" w:lineRule="exact"/>
        <w:rPr>
          <w:sz w:val="20"/>
          <w:szCs w:val="20"/>
          <w:color w:val="auto"/>
        </w:rPr>
      </w:pPr>
    </w:p>
    <w:p>
      <w:pPr>
        <w:ind w:right="180" w:firstLine="464"/>
        <w:spacing w:after="0" w:line="290" w:lineRule="auto"/>
        <w:tabs>
          <w:tab w:leader="none" w:pos="632"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Executive Vice President &amp; Chief Financial Officer </w:t>
      </w:r>
      <w:r>
        <w:rPr>
          <w:rFonts w:ascii="Arial" w:cs="Arial" w:eastAsia="Arial" w:hAnsi="Arial"/>
          <w:sz w:val="16"/>
          <w:szCs w:val="16"/>
          <w:color w:val="auto"/>
        </w:rPr>
        <w:t>for Employer or such similar duties as may be assigned to Employee by Employer as Employer may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 w:name="page14"/>
    <w:bookmarkEnd w:id="13"/>
    <w:p>
      <w:pPr>
        <w:ind w:right="160" w:firstLine="464"/>
        <w:spacing w:after="0" w:line="255" w:lineRule="auto"/>
        <w:tabs>
          <w:tab w:leader="none" w:pos="632"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36" w:lineRule="exact"/>
        <w:rPr>
          <w:rFonts w:ascii="Arial" w:cs="Arial" w:eastAsia="Arial" w:hAnsi="Arial"/>
          <w:sz w:val="18"/>
          <w:szCs w:val="18"/>
          <w:b w:val="1"/>
          <w:bCs w:val="1"/>
          <w:i w:val="1"/>
          <w:iCs w:val="1"/>
          <w:color w:val="auto"/>
        </w:rPr>
      </w:pPr>
    </w:p>
    <w:p>
      <w:pPr>
        <w:ind w:firstLine="464"/>
        <w:spacing w:after="0" w:line="255" w:lineRule="auto"/>
        <w:tabs>
          <w:tab w:leader="none" w:pos="632"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three (3) years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Effective Date of this Agreement and terminating on October 27, 2010 at which time the terms of this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3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any of the following events:</w:t>
      </w:r>
    </w:p>
    <w:p>
      <w:pPr>
        <w:spacing w:after="0" w:line="45"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13"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 (Employer’s right to terminate for Cause (as defined in Section 1(d) shall survive the expiration of this Agreement);</w:t>
      </w:r>
    </w:p>
    <w:p>
      <w:pPr>
        <w:spacing w:after="0" w:line="4" w:lineRule="exact"/>
        <w:rPr>
          <w:rFonts w:ascii="Arial" w:cs="Arial" w:eastAsia="Arial" w:hAnsi="Arial"/>
          <w:sz w:val="16"/>
          <w:szCs w:val="16"/>
          <w:color w:val="auto"/>
        </w:rPr>
      </w:pPr>
    </w:p>
    <w:p>
      <w:pPr>
        <w:ind w:left="460" w:right="380" w:firstLine="443"/>
        <w:spacing w:after="0" w:line="332" w:lineRule="auto"/>
        <w:tabs>
          <w:tab w:leader="none" w:pos="11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4" w:lineRule="exact"/>
        <w:rPr>
          <w:rFonts w:ascii="Arial" w:cs="Arial" w:eastAsia="Arial" w:hAnsi="Arial"/>
          <w:sz w:val="16"/>
          <w:szCs w:val="16"/>
          <w:color w:val="auto"/>
        </w:rPr>
      </w:pPr>
    </w:p>
    <w:p>
      <w:pPr>
        <w:ind w:left="460" w:right="34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after such notice, Employer must make the Separation Payment to Employee;</w:t>
      </w:r>
    </w:p>
    <w:p>
      <w:pPr>
        <w:spacing w:after="0" w:line="50" w:lineRule="exact"/>
        <w:rPr>
          <w:rFonts w:ascii="Arial" w:cs="Arial" w:eastAsia="Arial" w:hAnsi="Arial"/>
          <w:sz w:val="18"/>
          <w:szCs w:val="18"/>
          <w:color w:val="auto"/>
        </w:rPr>
      </w:pPr>
    </w:p>
    <w:p>
      <w:pPr>
        <w:jc w:val="both"/>
        <w:ind w:left="460" w:right="340" w:firstLine="443"/>
        <w:spacing w:after="0" w:line="259" w:lineRule="auto"/>
        <w:tabs>
          <w:tab w:leader="none" w:pos="11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after the expiration of such cure period without the cure having been effected, Employer must make the Separation Payment to Employee;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 w:name="page15"/>
    <w:bookmarkEnd w:id="14"/>
    <w:p>
      <w:pPr>
        <w:jc w:val="both"/>
        <w:ind w:left="460" w:right="60" w:firstLine="443"/>
        <w:spacing w:after="0" w:line="259"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Employee’s sole election in writing as provided in Paragraph 17 of this Agreement, within ten (10) days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after Employer’s receipt of Employee’s written election, Employer must make the Separation Payment to Employee.</w:t>
      </w:r>
    </w:p>
    <w:p>
      <w:pPr>
        <w:spacing w:after="0" w:line="14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6(a), (b), (c) or (d), Employer shall not be required to make any payments to Employee other than payment of Base Salary and vacation pay accrued but unpaid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6 shall continue (but not beyond the period described in clause</w:t>
      </w:r>
    </w:p>
    <w:p>
      <w:pPr>
        <w:spacing w:after="0" w:line="5" w:lineRule="exact"/>
        <w:rPr>
          <w:sz w:val="20"/>
          <w:szCs w:val="20"/>
          <w:color w:val="auto"/>
        </w:rPr>
      </w:pPr>
    </w:p>
    <w:p>
      <w:pPr>
        <w:ind w:firstLine="8"/>
        <w:spacing w:after="0" w:line="29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16" w:lineRule="exact"/>
        <w:rPr>
          <w:rFonts w:ascii="Arial" w:cs="Arial" w:eastAsia="Arial" w:hAnsi="Arial"/>
          <w:sz w:val="16"/>
          <w:szCs w:val="16"/>
          <w:color w:val="auto"/>
        </w:rPr>
      </w:pPr>
    </w:p>
    <w:p>
      <w:pPr>
        <w:ind w:right="200" w:firstLine="464"/>
        <w:spacing w:after="0" w:line="259" w:lineRule="auto"/>
        <w:tabs>
          <w:tab w:leader="none" w:pos="632" w:val="left"/>
        </w:tabs>
        <w:numPr>
          <w:ilvl w:val="1"/>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60" w:right="20" w:firstLine="443"/>
        <w:spacing w:after="0" w:line="339" w:lineRule="auto"/>
        <w:tabs>
          <w:tab w:leader="none" w:pos="1137" w:val="left"/>
        </w:tabs>
        <w:numPr>
          <w:ilvl w:val="2"/>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Five Hundred Thousand Dollars ($500,000) per annum, payable in such weekly, bi-weekly or semi-monthly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 w:name="page16"/>
    <w:bookmarkEnd w:id="15"/>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Such Base Salary may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bonus plan, stock incentive plan, profit sharing plan, pension plan, retirement plan, disability or life insurance plan, medical and/or hospitalization plan, or any other benefit plan which may be in effect during the Term.</w:t>
      </w:r>
    </w:p>
    <w:p>
      <w:pPr>
        <w:spacing w:after="0" w:line="22" w:lineRule="exact"/>
        <w:rPr>
          <w:sz w:val="20"/>
          <w:szCs w:val="20"/>
          <w:color w:val="auto"/>
        </w:rPr>
      </w:pPr>
    </w:p>
    <w:p>
      <w:pPr>
        <w:ind w:firstLine="443"/>
        <w:spacing w:after="0" w:line="256"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will be eligible to receive a bonus at such times and in such amounts as Employer may determine in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discretion in accordance with the Employer bonus plan; provided however, that so long as the Employer achieves an annual Adjusted Property EBITDA in an amount equal to or greater than Four Hundred Seventeen Million Dollars ($417,000,000.00), Employee’s annual bonus shall not be less than the bonus Employee received for the 2007 calendar year (which bonus was actually paid in the first quarter of 2008). Employer retains the discretion to adopt or amend any bonus plan at any time.</w:t>
      </w:r>
    </w:p>
    <w:p>
      <w:pPr>
        <w:spacing w:after="0" w:line="57" w:lineRule="exact"/>
        <w:rPr>
          <w:rFonts w:ascii="Arial" w:cs="Arial" w:eastAsia="Arial" w:hAnsi="Arial"/>
          <w:sz w:val="18"/>
          <w:szCs w:val="18"/>
          <w:color w:val="auto"/>
        </w:rPr>
      </w:pPr>
    </w:p>
    <w:p>
      <w:pPr>
        <w:ind w:firstLine="443"/>
        <w:spacing w:after="0" w:line="256"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 any profit sharing plan,</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plan, retirement plan, disability or life insurance plan, medical and/or hospitalization plan, and any other benefit plan which may be placed in effect by Employer or any of its Affiliates and generally available to Employer’s employees during the Term. Nothing in this Agreement shall limit Employer’s or any of its Affiliates’ ability to exercise the discretion provided to it under any employee benefit plan, or to adopt, amend or terminate any benefit plan at any time.</w:t>
      </w:r>
    </w:p>
    <w:p>
      <w:pPr>
        <w:spacing w:after="0" w:line="57" w:lineRule="exact"/>
        <w:rPr>
          <w:rFonts w:ascii="Arial" w:cs="Arial" w:eastAsia="Arial" w:hAnsi="Arial"/>
          <w:sz w:val="18"/>
          <w:szCs w:val="18"/>
          <w:color w:val="auto"/>
        </w:rPr>
      </w:pPr>
    </w:p>
    <w:p>
      <w:pPr>
        <w:ind w:right="20" w:firstLine="443"/>
        <w:spacing w:after="0" w:line="293"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Grant</w:t>
      </w:r>
      <w:r>
        <w:rPr>
          <w:rFonts w:ascii="Arial" w:cs="Arial" w:eastAsia="Arial" w:hAnsi="Arial"/>
          <w:sz w:val="16"/>
          <w:szCs w:val="16"/>
          <w:color w:val="auto"/>
        </w:rPr>
        <w:t>. Following the Effective Date, management of the Employer shall recommend to the Compensation Committee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Resorts, Limited that Employee be granted an option to purchase 50,000 shares of common stock of Wynn Resorts, Limited pursuant to the Wynn Resorts, Limited 2002 Stock Incentive Plan. Such grant shall vest in its entirety five years after the date of grant; provided that in the event the Employee is terminated without Cause, the grant will vest pro rata on a monthly basis from the date of grant to the effective date of Employee’s termination of employment. Upon approval of the grant by the Compensation Committee the Employer and Wynn Resorts, Limited will enter into a separate stock option agreement incorporating such terms and conditions.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6" w:name="page17"/>
    <w:bookmarkEnd w:id="16"/>
    <w:p>
      <w:pPr>
        <w:ind w:right="40" w:firstLine="443"/>
        <w:spacing w:after="0" w:line="255"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in advance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modified from time to time. Employer specifically agrees to reimburse Employee for Employee’s professional dues and continuing professional education expenses, up to a total of Two Thousand Five Hundred Dollars ($2,500.00) per year of the Term, non-cumulative. Prior to such any payment or reimbursement of expenses, Employee shall provide Employer with sufficient detailed invoices of such expenses as may be required by Employer’s policy.</w:t>
      </w:r>
    </w:p>
    <w:p>
      <w:pPr>
        <w:spacing w:after="0" w:line="58" w:lineRule="exact"/>
        <w:rPr>
          <w:rFonts w:ascii="Arial" w:cs="Arial" w:eastAsia="Arial" w:hAnsi="Arial"/>
          <w:sz w:val="18"/>
          <w:szCs w:val="18"/>
          <w:color w:val="auto"/>
        </w:rPr>
      </w:pPr>
    </w:p>
    <w:p>
      <w:pPr>
        <w:ind w:right="420" w:firstLine="443"/>
        <w:spacing w:after="0" w:line="262"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however, in no event shall Employee receive less than three (3) weeks’ paid vacation during any full year of the Term.</w:t>
      </w:r>
    </w:p>
    <w:p>
      <w:pPr>
        <w:spacing w:after="0" w:line="51" w:lineRule="exact"/>
        <w:rPr>
          <w:rFonts w:ascii="Arial" w:cs="Arial" w:eastAsia="Arial" w:hAnsi="Arial"/>
          <w:sz w:val="18"/>
          <w:szCs w:val="18"/>
          <w:color w:val="auto"/>
        </w:rPr>
      </w:pPr>
    </w:p>
    <w:p>
      <w:pPr>
        <w:ind w:left="700" w:hanging="25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Original Hire Date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Original Hire Date shall be used for determining vacation and other benefits.</w:t>
      </w:r>
    </w:p>
    <w:p>
      <w:pPr>
        <w:spacing w:after="0" w:line="90" w:lineRule="exact"/>
        <w:rPr>
          <w:rFonts w:ascii="Arial" w:cs="Arial" w:eastAsia="Arial" w:hAnsi="Arial"/>
          <w:sz w:val="18"/>
          <w:szCs w:val="18"/>
          <w:color w:val="auto"/>
        </w:rPr>
      </w:pPr>
    </w:p>
    <w:p>
      <w:pPr>
        <w:jc w:val="both"/>
        <w:ind w:firstLine="443"/>
        <w:spacing w:after="0" w:line="262"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43"/>
        <w:spacing w:after="0" w:line="291" w:lineRule="auto"/>
        <w:tabs>
          <w:tab w:leader="none" w:pos="677" w:val="left"/>
        </w:tabs>
        <w:numPr>
          <w:ilvl w:val="0"/>
          <w:numId w:val="21"/>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 and all approvals required by the Gaming Acts and/or Gaming Regulations. In the event that (i) an approval of this Agreement by the Authorities is required for Employee to carry out Employee’s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7" w:name="page18"/>
    <w:bookmarkEnd w:id="17"/>
    <w:p>
      <w:pPr>
        <w:ind w:right="80" w:firstLine="443"/>
        <w:spacing w:after="0" w:line="289" w:lineRule="auto"/>
        <w:tabs>
          <w:tab w:leader="none" w:pos="687"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1(d) of this Agreement, then Employer’s obligations under this Section 8 also shall not be operative and Employee shall promptly reimburse Employer upon demand for any expenses incurred by Employer pursuant to this Section 8.</w:t>
      </w:r>
    </w:p>
    <w:p>
      <w:pPr>
        <w:spacing w:after="0" w:line="37" w:lineRule="exact"/>
        <w:rPr>
          <w:rFonts w:ascii="Arial" w:cs="Arial" w:eastAsia="Arial" w:hAnsi="Arial"/>
          <w:sz w:val="16"/>
          <w:szCs w:val="16"/>
          <w:color w:val="auto"/>
        </w:rPr>
      </w:pPr>
    </w:p>
    <w:p>
      <w:pPr>
        <w:ind w:right="180" w:firstLine="443"/>
        <w:spacing w:after="0" w:line="268"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25" w:lineRule="exact"/>
        <w:rPr>
          <w:rFonts w:ascii="Arial" w:cs="Arial" w:eastAsia="Arial" w:hAnsi="Arial"/>
          <w:sz w:val="18"/>
          <w:szCs w:val="18"/>
          <w:color w:val="auto"/>
        </w:rPr>
      </w:pPr>
    </w:p>
    <w:p>
      <w:pPr>
        <w:ind w:left="180" w:hanging="176"/>
        <w:spacing w:after="0"/>
        <w:tabs>
          <w:tab w:leader="none" w:pos="1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i w:val="1"/>
          <w:iCs w:val="1"/>
          <w:color w:val="auto"/>
        </w:rPr>
      </w:pPr>
    </w:p>
    <w:p>
      <w:pPr>
        <w:ind w:right="100" w:firstLine="443"/>
        <w:spacing w:after="0" w:line="294" w:lineRule="auto"/>
        <w:tabs>
          <w:tab w:leader="none" w:pos="6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34" w:lineRule="exact"/>
        <w:rPr>
          <w:rFonts w:ascii="Arial" w:cs="Arial" w:eastAsia="Arial" w:hAnsi="Arial"/>
          <w:sz w:val="16"/>
          <w:szCs w:val="16"/>
          <w:color w:val="auto"/>
        </w:rPr>
      </w:pPr>
    </w:p>
    <w:p>
      <w:pPr>
        <w:ind w:firstLine="443"/>
        <w:spacing w:after="0" w:line="256" w:lineRule="auto"/>
        <w:tabs>
          <w:tab w:leader="none" w:pos="68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62" w:lineRule="exact"/>
        <w:rPr>
          <w:rFonts w:ascii="Arial" w:cs="Arial" w:eastAsia="Arial" w:hAnsi="Arial"/>
          <w:sz w:val="18"/>
          <w:szCs w:val="18"/>
          <w:color w:val="auto"/>
        </w:rPr>
      </w:pPr>
    </w:p>
    <w:p>
      <w:pPr>
        <w:ind w:right="220" w:firstLine="443"/>
        <w:spacing w:after="0" w:line="332" w:lineRule="auto"/>
        <w:tabs>
          <w:tab w:leader="none" w:pos="6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62" w:lineRule="exact"/>
        <w:rPr>
          <w:sz w:val="20"/>
          <w:szCs w:val="20"/>
          <w:color w:val="auto"/>
        </w:rPr>
      </w:pPr>
    </w:p>
    <w:p>
      <w:pPr>
        <w:ind w:right="80" w:firstLine="443"/>
        <w:spacing w:after="0" w:line="294"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In the event, Employer requests Restricted Information from Employee, Employee shall advise Employer that the information requested is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Information and may not be disclosed by Employee.</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obligations of this Section 9 are continuing and shall survive the termination of Employee’s employment with Employer.</w:t>
      </w:r>
    </w:p>
    <w:p>
      <w:pPr>
        <w:spacing w:after="0" w:line="165" w:lineRule="exact"/>
        <w:rPr>
          <w:rFonts w:ascii="Arial" w:cs="Arial" w:eastAsia="Arial" w:hAnsi="Arial"/>
          <w:sz w:val="18"/>
          <w:szCs w:val="18"/>
          <w:color w:val="auto"/>
        </w:rPr>
      </w:pPr>
    </w:p>
    <w:p>
      <w:pPr>
        <w:ind w:left="260" w:hanging="256"/>
        <w:spacing w:after="0"/>
        <w:tabs>
          <w:tab w:leader="none" w:pos="2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i w:val="1"/>
          <w:iCs w:val="1"/>
          <w:color w:val="auto"/>
        </w:rPr>
      </w:pPr>
    </w:p>
    <w:p>
      <w:pPr>
        <w:ind w:right="120" w:firstLine="443"/>
        <w:spacing w:after="0" w:line="291" w:lineRule="auto"/>
        <w:tabs>
          <w:tab w:leader="none" w:pos="6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whichever is longer,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39" w:lineRule="exact"/>
        <w:rPr>
          <w:rFonts w:ascii="Arial" w:cs="Arial" w:eastAsia="Arial" w:hAnsi="Arial"/>
          <w:sz w:val="16"/>
          <w:szCs w:val="16"/>
          <w:color w:val="auto"/>
        </w:rPr>
      </w:pPr>
    </w:p>
    <w:p>
      <w:pPr>
        <w:ind w:right="80" w:firstLine="443"/>
        <w:spacing w:after="0" w:line="298"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9" w:name="page20"/>
    <w:bookmarkEnd w:id="19"/>
    <w:p>
      <w:pPr>
        <w:ind w:left="-4" w:right="60" w:firstLine="443"/>
        <w:spacing w:after="0" w:line="294" w:lineRule="auto"/>
        <w:tabs>
          <w:tab w:leader="none" w:pos="673"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15" w:lineRule="exact"/>
        <w:rPr>
          <w:rFonts w:ascii="Arial" w:cs="Arial" w:eastAsia="Arial" w:hAnsi="Arial"/>
          <w:sz w:val="16"/>
          <w:szCs w:val="16"/>
          <w:color w:val="auto"/>
        </w:rPr>
      </w:pPr>
    </w:p>
    <w:p>
      <w:pPr>
        <w:ind w:left="-464" w:firstLine="464"/>
        <w:spacing w:after="0" w:line="286" w:lineRule="auto"/>
        <w:tabs>
          <w:tab w:leader="none" w:pos="246"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127" w:lineRule="exact"/>
        <w:rPr>
          <w:rFonts w:ascii="Arial" w:cs="Arial" w:eastAsia="Arial" w:hAnsi="Arial"/>
          <w:sz w:val="16"/>
          <w:szCs w:val="16"/>
          <w:b w:val="1"/>
          <w:bCs w:val="1"/>
          <w:i w:val="1"/>
          <w:iCs w:val="1"/>
          <w:color w:val="auto"/>
        </w:rPr>
      </w:pPr>
    </w:p>
    <w:p>
      <w:pPr>
        <w:ind w:left="-464" w:right="180" w:firstLine="464"/>
        <w:spacing w:after="0" w:line="268" w:lineRule="auto"/>
        <w:tabs>
          <w:tab w:leader="none" w:pos="25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31" w:lineRule="exact"/>
        <w:rPr>
          <w:rFonts w:ascii="Arial" w:cs="Arial" w:eastAsia="Arial" w:hAnsi="Arial"/>
          <w:sz w:val="18"/>
          <w:szCs w:val="18"/>
          <w:b w:val="1"/>
          <w:bCs w:val="1"/>
          <w:i w:val="1"/>
          <w:iCs w:val="1"/>
          <w:color w:val="auto"/>
        </w:rPr>
      </w:pPr>
    </w:p>
    <w:p>
      <w:pPr>
        <w:ind w:left="5156" w:right="40" w:hanging="5156"/>
        <w:spacing w:after="0" w:line="440" w:lineRule="auto"/>
        <w:tabs>
          <w:tab w:leader="none" w:pos="257"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binding upon and inure to the benefit of Employer and Employee and their respective successors and assigns.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w:t>
      </w:r>
    </w:p>
    <w:p>
      <w:pPr>
        <w:sectPr>
          <w:pgSz w:w="11900" w:h="16838" w:orient="portrait"/>
          <w:cols w:equalWidth="0" w:num="1">
            <w:col w:w="10936"/>
          </w:cols>
          <w:pgMar w:left="704" w:top="280" w:right="259" w:bottom="1440" w:gutter="0" w:footer="0" w:header="0"/>
        </w:sectPr>
      </w:pPr>
    </w:p>
    <w:bookmarkStart w:id="20" w:name="page21"/>
    <w:bookmarkEnd w:id="20"/>
    <w:p>
      <w:pPr>
        <w:ind w:firstLine="464"/>
        <w:spacing w:after="0" w:line="294" w:lineRule="auto"/>
        <w:tabs>
          <w:tab w:leader="none" w:pos="72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not assign this Agreement or delegate Employee’s duties hereunder without the express written prior consent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thereto. Any purported assignment by Employee in violation of this Section 14 shall be null and void and of no force or effect. Employer shall have the right to assign this Agreement freely, including without limitation Employee’s obligations under Section 10, and Employee hereby acknowledges receipt of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115" w:lineRule="exact"/>
        <w:rPr>
          <w:rFonts w:ascii="Arial" w:cs="Arial" w:eastAsia="Arial" w:hAnsi="Arial"/>
          <w:sz w:val="16"/>
          <w:szCs w:val="16"/>
          <w:b w:val="1"/>
          <w:bCs w:val="1"/>
          <w:i w:val="1"/>
          <w:iCs w:val="1"/>
          <w:color w:val="auto"/>
        </w:rPr>
      </w:pPr>
    </w:p>
    <w:p>
      <w:pPr>
        <w:ind w:right="540" w:firstLine="464"/>
        <w:spacing w:after="0" w:line="268" w:lineRule="auto"/>
        <w:tabs>
          <w:tab w:leader="none" w:pos="7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right="540" w:firstLine="464"/>
        <w:spacing w:after="0" w:line="268" w:lineRule="auto"/>
        <w:tabs>
          <w:tab w:leader="none" w:pos="7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 of laws principles.</w:t>
      </w:r>
    </w:p>
    <w:p>
      <w:pPr>
        <w:spacing w:after="0" w:line="131" w:lineRule="exact"/>
        <w:rPr>
          <w:rFonts w:ascii="Arial" w:cs="Arial" w:eastAsia="Arial" w:hAnsi="Arial"/>
          <w:sz w:val="18"/>
          <w:szCs w:val="18"/>
          <w:b w:val="1"/>
          <w:bCs w:val="1"/>
          <w:i w:val="1"/>
          <w:iCs w:val="1"/>
          <w:color w:val="auto"/>
        </w:rPr>
      </w:pPr>
    </w:p>
    <w:p>
      <w:pPr>
        <w:ind w:right="260" w:firstLine="464"/>
        <w:spacing w:after="0" w:line="268" w:lineRule="auto"/>
        <w:tabs>
          <w:tab w:leader="none" w:pos="7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auto"/>
              </w:rPr>
              <w:t>TO EMPLOYER:</w:t>
            </w:r>
          </w:p>
        </w:tc>
        <w:tc>
          <w:tcPr>
            <w:tcW w:w="2580" w:type="dxa"/>
            <w:vAlign w:val="bottom"/>
          </w:tcPr>
          <w:p>
            <w:pPr>
              <w:ind w:left="240"/>
              <w:spacing w:after="0"/>
              <w:rPr>
                <w:sz w:val="20"/>
                <w:szCs w:val="20"/>
                <w:color w:val="auto"/>
              </w:rPr>
            </w:pPr>
            <w:r>
              <w:rPr>
                <w:rFonts w:ascii="Arial" w:cs="Arial" w:eastAsia="Arial" w:hAnsi="Arial"/>
                <w:sz w:val="18"/>
                <w:szCs w:val="18"/>
                <w:color w:val="auto"/>
              </w:rPr>
              <w:t>Wynn Las Vegas, LLC</w:t>
            </w:r>
          </w:p>
        </w:tc>
      </w:tr>
      <w:tr>
        <w:trPr>
          <w:trHeight w:val="228"/>
        </w:trPr>
        <w:tc>
          <w:tcPr>
            <w:tcW w:w="1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Las Vegas, Nevada 89109</w:t>
            </w:r>
          </w:p>
        </w:tc>
      </w:tr>
      <w:tr>
        <w:trPr>
          <w:trHeight w:val="222"/>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Attn: Legal Department</w:t>
            </w:r>
          </w:p>
        </w:tc>
      </w:tr>
      <w:tr>
        <w:trPr>
          <w:trHeight w:val="394"/>
        </w:trPr>
        <w:tc>
          <w:tcPr>
            <w:tcW w:w="150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2580" w:type="dxa"/>
            <w:vAlign w:val="bottom"/>
          </w:tcPr>
          <w:p>
            <w:pPr>
              <w:ind w:left="240"/>
              <w:spacing w:after="0"/>
              <w:rPr>
                <w:sz w:val="20"/>
                <w:szCs w:val="20"/>
                <w:color w:val="auto"/>
              </w:rPr>
            </w:pPr>
            <w:r>
              <w:rPr>
                <w:rFonts w:ascii="Arial" w:cs="Arial" w:eastAsia="Arial" w:hAnsi="Arial"/>
                <w:sz w:val="18"/>
                <w:szCs w:val="18"/>
                <w:color w:val="auto"/>
              </w:rPr>
              <w:t>David Sisk</w:t>
            </w:r>
          </w:p>
        </w:tc>
      </w:tr>
      <w:tr>
        <w:trPr>
          <w:trHeight w:val="228"/>
        </w:trPr>
        <w:tc>
          <w:tcPr>
            <w:tcW w:w="1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10008 Laurel Springs</w:t>
            </w:r>
          </w:p>
        </w:tc>
      </w:tr>
      <w:tr>
        <w:trPr>
          <w:trHeight w:val="222"/>
        </w:trPr>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Las Vegas, Nevada 89134</w:t>
            </w:r>
          </w:p>
        </w:tc>
      </w:tr>
    </w:tbl>
    <w:p>
      <w:pPr>
        <w:spacing w:after="0" w:line="15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85" w:lineRule="exact"/>
        <w:rPr>
          <w:sz w:val="20"/>
          <w:szCs w:val="20"/>
          <w:color w:val="auto"/>
        </w:rPr>
      </w:pPr>
    </w:p>
    <w:p>
      <w:pPr>
        <w:ind w:right="300" w:firstLine="464"/>
        <w:spacing w:after="0" w:line="268" w:lineRule="auto"/>
        <w:tabs>
          <w:tab w:leader="none" w:pos="7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31" w:lineRule="exact"/>
        <w:rPr>
          <w:rFonts w:ascii="Arial" w:cs="Arial" w:eastAsia="Arial" w:hAnsi="Arial"/>
          <w:sz w:val="18"/>
          <w:szCs w:val="18"/>
          <w:b w:val="1"/>
          <w:bCs w:val="1"/>
          <w:i w:val="1"/>
          <w:iCs w:val="1"/>
          <w:color w:val="auto"/>
        </w:rPr>
      </w:pPr>
    </w:p>
    <w:p>
      <w:pPr>
        <w:ind w:right="140" w:firstLine="464"/>
        <w:spacing w:after="0" w:line="332" w:lineRule="auto"/>
        <w:tabs>
          <w:tab w:leader="none" w:pos="72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1" w:name="page22"/>
    <w:bookmarkEnd w:id="21"/>
    <w:p>
      <w:pPr>
        <w:ind w:right="40" w:firstLine="464"/>
        <w:spacing w:after="0" w:line="291" w:lineRule="auto"/>
        <w:tabs>
          <w:tab w:leader="none" w:pos="72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10 and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its Affiliates’ arbitration policy governing employment disputes, or, in the absence of any such policy, as conducted by and in accordance with the employment dispute rules of the American Arbitration Association. This agreement to arbitrate shall be specifically enforceable in any court of competent jurisdiction</w:t>
      </w:r>
    </w:p>
    <w:p>
      <w:pPr>
        <w:spacing w:after="0" w:line="120" w:lineRule="exact"/>
        <w:rPr>
          <w:rFonts w:ascii="Arial" w:cs="Arial" w:eastAsia="Arial" w:hAnsi="Arial"/>
          <w:sz w:val="16"/>
          <w:szCs w:val="16"/>
          <w:b w:val="1"/>
          <w:bCs w:val="1"/>
          <w:i w:val="1"/>
          <w:iCs w:val="1"/>
          <w:color w:val="auto"/>
        </w:rPr>
      </w:pPr>
    </w:p>
    <w:p>
      <w:pPr>
        <w:jc w:val="both"/>
        <w:ind w:right="100" w:firstLine="464"/>
        <w:spacing w:after="0" w:line="259" w:lineRule="auto"/>
        <w:tabs>
          <w:tab w:leader="none" w:pos="7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21,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right="140" w:firstLine="464"/>
        <w:spacing w:after="0" w:line="259" w:lineRule="auto"/>
        <w:tabs>
          <w:tab w:leader="none" w:pos="7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or severance policies or plans by and between Employer or Employer’s Affiliates, on the one side, and Employee, on the other side, with respect to its subject matter or Employee’s employment with Employer or Employer’s Affiliates.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WYNN LAS VEGAS, LLC</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Pascal</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Sisk</w:t>
            </w:r>
          </w:p>
        </w:tc>
      </w:tr>
      <w:tr>
        <w:trPr>
          <w:trHeight w:val="202"/>
        </w:trPr>
        <w:tc>
          <w:tcPr>
            <w:tcW w:w="5380" w:type="dxa"/>
            <w:vAlign w:val="bottom"/>
          </w:tcPr>
          <w:p>
            <w:pPr>
              <w:spacing w:after="0" w:line="202" w:lineRule="exact"/>
              <w:rPr>
                <w:sz w:val="20"/>
                <w:szCs w:val="20"/>
                <w:color w:val="auto"/>
              </w:rPr>
            </w:pPr>
            <w:r>
              <w:rPr>
                <w:rFonts w:ascii="Arial" w:cs="Arial" w:eastAsia="Arial" w:hAnsi="Arial"/>
                <w:sz w:val="18"/>
                <w:szCs w:val="18"/>
                <w:color w:val="auto"/>
              </w:rPr>
              <w:t>Andrew Pascal</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Sisk</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President</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5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171" w:lineRule="exact"/>
        <w:rPr>
          <w:sz w:val="20"/>
          <w:szCs w:val="20"/>
          <w:color w:val="auto"/>
        </w:rPr>
      </w:pPr>
    </w:p>
    <w:p>
      <w:pPr>
        <w:ind w:left="-8" w:firstLine="8"/>
        <w:spacing w:after="0" w:line="285" w:lineRule="auto"/>
        <w:tabs>
          <w:tab w:leader="none" w:pos="23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or any similar provision of state or local income tax law (the “</w:t>
      </w:r>
      <w:r>
        <w:rPr>
          <w:rFonts w:ascii="Arial" w:cs="Arial" w:eastAsia="Arial" w:hAnsi="Arial"/>
          <w:sz w:val="16"/>
          <w:szCs w:val="16"/>
          <w:b w:val="1"/>
          <w:bCs w:val="1"/>
          <w:color w:val="auto"/>
        </w:rPr>
        <w:t>Excise Tax</w:t>
      </w:r>
      <w:r>
        <w:rPr>
          <w:rFonts w:ascii="Arial" w:cs="Arial" w:eastAsia="Arial" w:hAnsi="Arial"/>
          <w:sz w:val="16"/>
          <w:szCs w:val="16"/>
          <w:color w:val="auto"/>
        </w:rPr>
        <w:t>”),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w:t>
      </w:r>
      <w:r>
        <w:rPr>
          <w:rFonts w:ascii="Arial" w:cs="Arial" w:eastAsia="Arial" w:hAnsi="Arial"/>
          <w:sz w:val="16"/>
          <w:szCs w:val="16"/>
          <w:b w:val="1"/>
          <w:bCs w:val="1"/>
          <w:color w:val="auto"/>
        </w:rPr>
        <w:t>Gross-Up</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in an amount such that, after payment by Employee of all taxes, including income taxes and the Excise Tax imposed on the Gross-Up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w:t>
      </w:r>
      <w:r>
        <w:rPr>
          <w:rFonts w:ascii="Arial" w:cs="Arial" w:eastAsia="Arial" w:hAnsi="Arial"/>
          <w:sz w:val="16"/>
          <w:szCs w:val="16"/>
          <w:b w:val="1"/>
          <w:bCs w:val="1"/>
          <w:color w:val="auto"/>
        </w:rPr>
        <w:t>Excess Parachute Payments</w:t>
      </w:r>
      <w:r>
        <w:rPr>
          <w:rFonts w:ascii="Arial" w:cs="Arial" w:eastAsia="Arial" w:hAnsi="Arial"/>
          <w:sz w:val="16"/>
          <w:szCs w:val="16"/>
          <w:color w:val="auto"/>
        </w:rPr>
        <w:t>”). If, through a determination of the Internal Revenue Service or any state or local taxing authority (a “</w:t>
      </w:r>
      <w:r>
        <w:rPr>
          <w:rFonts w:ascii="Arial" w:cs="Arial" w:eastAsia="Arial" w:hAnsi="Arial"/>
          <w:sz w:val="16"/>
          <w:szCs w:val="16"/>
          <w:b w:val="1"/>
          <w:bCs w:val="1"/>
          <w:color w:val="auto"/>
        </w:rPr>
        <w:t>Taxing Authority</w:t>
      </w:r>
      <w:r>
        <w:rPr>
          <w:rFonts w:ascii="Arial" w:cs="Arial" w:eastAsia="Arial" w:hAnsi="Arial"/>
          <w:sz w:val="16"/>
          <w:szCs w:val="16"/>
          <w:color w:val="auto"/>
        </w:rPr>
        <w:t>”),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(c) of this Exhibit 1,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121" w:lineRule="exact"/>
        <w:rPr>
          <w:rFonts w:ascii="Arial" w:cs="Arial" w:eastAsia="Arial" w:hAnsi="Arial"/>
          <w:sz w:val="16"/>
          <w:szCs w:val="16"/>
          <w:color w:val="auto"/>
        </w:rPr>
      </w:pPr>
    </w:p>
    <w:p>
      <w:pPr>
        <w:ind w:left="-8" w:right="20" w:firstLine="8"/>
        <w:spacing w:after="0" w:line="294"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3" w:name="page24"/>
    <w:bookmarkEnd w:id="23"/>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provisions of Section (a) of this Exhibit 1,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(b).</w:t>
      </w:r>
    </w:p>
    <w:p>
      <w:pPr>
        <w:spacing w:after="0" w:line="140" w:lineRule="exact"/>
        <w:rPr>
          <w:sz w:val="20"/>
          <w:szCs w:val="20"/>
          <w:color w:val="auto"/>
        </w:rPr>
      </w:pPr>
    </w:p>
    <w:p>
      <w:pPr>
        <w:ind w:right="20" w:firstLine="8"/>
        <w:spacing w:after="0" w:line="286"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w:t>
      </w:r>
      <w:r>
        <w:rPr>
          <w:rFonts w:ascii="Arial" w:cs="Arial" w:eastAsia="Arial" w:hAnsi="Arial"/>
          <w:sz w:val="16"/>
          <w:szCs w:val="16"/>
          <w:b w:val="1"/>
          <w:bCs w:val="1"/>
          <w:color w:val="auto"/>
        </w:rPr>
        <w:t>Controversy</w:t>
      </w:r>
      <w:r>
        <w:rPr>
          <w:rFonts w:ascii="Arial" w:cs="Arial" w:eastAsia="Arial" w:hAnsi="Arial"/>
          <w:sz w:val="16"/>
          <w:szCs w:val="16"/>
          <w:color w:val="auto"/>
        </w:rPr>
        <w:t xml:space="preserve">”),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20" w:lineRule="exact"/>
        <w:rPr>
          <w:rFonts w:ascii="Arial" w:cs="Arial" w:eastAsia="Arial" w:hAnsi="Arial"/>
          <w:sz w:val="16"/>
          <w:szCs w:val="16"/>
          <w:color w:val="auto"/>
        </w:rPr>
      </w:pPr>
    </w:p>
    <w:p>
      <w:pPr>
        <w:ind w:firstLine="8"/>
        <w:spacing w:after="0" w:line="253"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4th day of March, 2008,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Marc D. Schorr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3131 Las Vegas Blvd. South, Las Vegas, Nevada 89109, and is engaged in the business of developing, constructing and operating a casino resorts; and,</w:t>
      </w:r>
    </w:p>
    <w:p>
      <w:pPr>
        <w:spacing w:after="0" w:line="85" w:lineRule="exact"/>
        <w:rPr>
          <w:sz w:val="20"/>
          <w:szCs w:val="20"/>
          <w:color w:val="auto"/>
        </w:rPr>
      </w:pPr>
    </w:p>
    <w:p>
      <w:pPr>
        <w:ind w:left="460" w:right="2120"/>
        <w:spacing w:after="0" w:line="526" w:lineRule="auto"/>
        <w:rPr>
          <w:sz w:val="20"/>
          <w:szCs w:val="20"/>
          <w:color w:val="auto"/>
        </w:rPr>
      </w:pPr>
      <w:r>
        <w:rPr>
          <w:rFonts w:ascii="Arial" w:cs="Arial" w:eastAsia="Arial" w:hAnsi="Arial"/>
          <w:sz w:val="15"/>
          <w:szCs w:val="15"/>
          <w:b w:val="1"/>
          <w:bCs w:val="1"/>
          <w:i w:val="1"/>
          <w:iCs w:val="1"/>
          <w:color w:val="auto"/>
        </w:rPr>
        <w:t xml:space="preserve">WHEREAS, </w:t>
      </w:r>
      <w:r>
        <w:rPr>
          <w:rFonts w:ascii="Arial" w:cs="Arial" w:eastAsia="Arial" w:hAnsi="Arial"/>
          <w:sz w:val="15"/>
          <w:szCs w:val="15"/>
          <w:color w:val="auto"/>
        </w:rPr>
        <w:t>in furtherance of its business, Employer has need of qualified, experienced executive management; and,</w:t>
      </w:r>
      <w:r>
        <w:rPr>
          <w:rFonts w:ascii="Arial" w:cs="Arial" w:eastAsia="Arial" w:hAnsi="Arial"/>
          <w:sz w:val="15"/>
          <w:szCs w:val="15"/>
          <w:b w:val="1"/>
          <w:bCs w:val="1"/>
          <w:i w:val="1"/>
          <w:iCs w:val="1"/>
          <w:color w:val="auto"/>
        </w:rPr>
        <w:t xml:space="preserve"> WHEREAS, </w:t>
      </w:r>
      <w:r>
        <w:rPr>
          <w:rFonts w:ascii="Arial" w:cs="Arial" w:eastAsia="Arial" w:hAnsi="Arial"/>
          <w:sz w:val="15"/>
          <w:szCs w:val="15"/>
          <w:color w:val="auto"/>
        </w:rPr>
        <w:t>Employee is an adult individual residing at One Hughes Center Drive, PH 1904, Las Vegas, Nevada 89109; and,</w:t>
      </w: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been employed by Employer since April 2, 2001 and both parties are desirous of continuing such employment under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pursuant to the conditions set forth herein;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40" w:lineRule="exact"/>
        <w:rPr>
          <w:sz w:val="20"/>
          <w:szCs w:val="20"/>
          <w:color w:val="auto"/>
        </w:rPr>
      </w:pPr>
    </w:p>
    <w:p>
      <w:pPr>
        <w:ind w:right="360" w:firstLine="464"/>
        <w:spacing w:after="0" w:line="268" w:lineRule="auto"/>
        <w:tabs>
          <w:tab w:leader="none" w:pos="632"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44" w:lineRule="exact"/>
        <w:rPr>
          <w:rFonts w:ascii="Arial" w:cs="Arial" w:eastAsia="Arial" w:hAnsi="Arial"/>
          <w:sz w:val="18"/>
          <w:szCs w:val="18"/>
          <w:b w:val="1"/>
          <w:bCs w:val="1"/>
          <w:i w:val="1"/>
          <w:iCs w:val="1"/>
          <w:color w:val="auto"/>
        </w:rPr>
      </w:pPr>
    </w:p>
    <w:p>
      <w:pPr>
        <w:ind w:left="460" w:right="220" w:firstLine="443"/>
        <w:spacing w:after="0" w:line="301" w:lineRule="auto"/>
        <w:tabs>
          <w:tab w:leader="none" w:pos="11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w:t>
      </w:r>
    </w:p>
    <w:p>
      <w:pPr>
        <w:sectPr>
          <w:pgSz w:w="11900" w:h="16838" w:orient="portrait"/>
          <w:cols w:equalWidth="0" w:num="1">
            <w:col w:w="11420"/>
          </w:cols>
          <w:pgMar w:left="240" w:top="125" w:right="239" w:bottom="1440" w:gutter="0" w:footer="0" w:header="0"/>
        </w:sectPr>
      </w:pPr>
    </w:p>
    <w:bookmarkStart w:id="25" w:name="page26"/>
    <w:bookmarkEnd w:id="25"/>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53" w:lineRule="exact"/>
        <w:rPr>
          <w:sz w:val="20"/>
          <w:szCs w:val="20"/>
          <w:color w:val="auto"/>
        </w:rPr>
      </w:pPr>
    </w:p>
    <w:p>
      <w:pPr>
        <w:ind w:left="700" w:hanging="257"/>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Anniversary</w:t>
      </w:r>
      <w:r>
        <w:rPr>
          <w:rFonts w:ascii="Arial" w:cs="Arial" w:eastAsia="Arial" w:hAnsi="Arial"/>
          <w:sz w:val="16"/>
          <w:szCs w:val="16"/>
          <w:color w:val="auto"/>
        </w:rPr>
        <w:t>” - means each anniversary date of the Effective Date during the Term of this Agreement (as defined in Paragraph 6 hereof).</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96" w:lineRule="exact"/>
        <w:rPr>
          <w:rFonts w:ascii="Arial" w:cs="Arial" w:eastAsia="Arial" w:hAnsi="Arial"/>
          <w:sz w:val="18"/>
          <w:szCs w:val="18"/>
          <w:color w:val="auto"/>
        </w:rPr>
      </w:pPr>
    </w:p>
    <w:p>
      <w:pPr>
        <w:ind w:left="1100" w:hanging="219"/>
        <w:spacing w:after="0"/>
        <w:tabs>
          <w:tab w:leader="none" w:pos="11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113" w:lineRule="exact"/>
        <w:rPr>
          <w:rFonts w:ascii="Arial" w:cs="Arial" w:eastAsia="Arial" w:hAnsi="Arial"/>
          <w:sz w:val="16"/>
          <w:szCs w:val="16"/>
          <w:color w:val="auto"/>
        </w:rPr>
      </w:pPr>
    </w:p>
    <w:p>
      <w:pPr>
        <w:ind w:left="460" w:right="60" w:firstLine="421"/>
        <w:spacing w:after="0" w:line="268" w:lineRule="auto"/>
        <w:tabs>
          <w:tab w:leader="none" w:pos="113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50" w:lineRule="exact"/>
        <w:rPr>
          <w:rFonts w:ascii="Arial" w:cs="Arial" w:eastAsia="Arial" w:hAnsi="Arial"/>
          <w:sz w:val="18"/>
          <w:szCs w:val="18"/>
          <w:color w:val="auto"/>
        </w:rPr>
      </w:pPr>
    </w:p>
    <w:p>
      <w:pPr>
        <w:ind w:left="460" w:firstLine="421"/>
        <w:spacing w:after="0" w:line="332" w:lineRule="auto"/>
        <w:tabs>
          <w:tab w:leader="none" w:pos="1187"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4" w:lineRule="exact"/>
        <w:rPr>
          <w:rFonts w:ascii="Arial" w:cs="Arial" w:eastAsia="Arial" w:hAnsi="Arial"/>
          <w:sz w:val="16"/>
          <w:szCs w:val="16"/>
          <w:color w:val="auto"/>
        </w:rPr>
      </w:pPr>
    </w:p>
    <w:p>
      <w:pPr>
        <w:ind w:left="460" w:right="140" w:firstLine="421"/>
        <w:spacing w:after="0" w:line="259" w:lineRule="auto"/>
        <w:tabs>
          <w:tab w:leader="none" w:pos="11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willful violation of a material policy of Employer, which does or could result in material harm to Employer or to Employer’s reputation;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1220" w:hanging="339"/>
        <w:spacing w:after="0"/>
        <w:tabs>
          <w:tab w:leader="none" w:pos="12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26" w:name="page27"/>
    <w:bookmarkEnd w:id="26"/>
    <w:p>
      <w:pPr>
        <w:ind w:left="257" w:hanging="257"/>
        <w:spacing w:after="0"/>
        <w:tabs>
          <w:tab w:leader="none" w:pos="25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96" w:lineRule="exact"/>
        <w:rPr>
          <w:rFonts w:ascii="Arial" w:cs="Arial" w:eastAsia="Arial" w:hAnsi="Arial"/>
          <w:sz w:val="18"/>
          <w:szCs w:val="18"/>
          <w:color w:val="auto"/>
        </w:rPr>
      </w:pPr>
    </w:p>
    <w:p>
      <w:pPr>
        <w:ind w:left="17" w:right="120" w:firstLine="421"/>
        <w:spacing w:after="0" w:line="255" w:lineRule="auto"/>
        <w:tabs>
          <w:tab w:leader="none" w:pos="6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61"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individuals who, as of the Effective Date,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37" w:lineRule="exact"/>
        <w:rPr>
          <w:rFonts w:ascii="Arial" w:cs="Arial" w:eastAsia="Arial" w:hAnsi="Arial"/>
          <w:sz w:val="16"/>
          <w:szCs w:val="16"/>
          <w:color w:val="auto"/>
        </w:rPr>
      </w:pPr>
    </w:p>
    <w:p>
      <w:pPr>
        <w:ind w:left="17" w:right="80" w:firstLine="421"/>
        <w:spacing w:after="0" w:line="255" w:lineRule="auto"/>
        <w:tabs>
          <w:tab w:leader="none" w:pos="7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w:t>
      </w:r>
    </w:p>
    <w:p>
      <w:pPr>
        <w:spacing w:after="0" w:line="129"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17"/>
          </w:cols>
          <w:pgMar w:left="1143" w:top="274" w:right="239" w:bottom="1440" w:gutter="0" w:footer="0" w:header="0"/>
        </w:sectPr>
      </w:pPr>
    </w:p>
    <w:bookmarkStart w:id="27" w:name="page28"/>
    <w:bookmarkEnd w:id="27"/>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subparagraph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53" w:lineRule="exact"/>
        <w:rPr>
          <w:sz w:val="20"/>
          <w:szCs w:val="20"/>
          <w:color w:val="auto"/>
        </w:rPr>
      </w:pPr>
    </w:p>
    <w:p>
      <w:pPr>
        <w:ind w:right="800" w:firstLine="443"/>
        <w:spacing w:after="0" w:line="334" w:lineRule="auto"/>
        <w:tabs>
          <w:tab w:leader="none" w:pos="6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Complete Disability</w:t>
      </w:r>
      <w:r>
        <w:rPr>
          <w:rFonts w:ascii="Arial" w:cs="Arial" w:eastAsia="Arial" w:hAnsi="Arial"/>
          <w:sz w:val="16"/>
          <w:szCs w:val="16"/>
          <w:color w:val="auto"/>
        </w:rPr>
        <w:t>” - means the inability of Employee, due to illness or accident or other mental or physical incapacity, to perform Employee’s obligations under this Agreement for a period as defined by Employer’s disability plan or plans.</w:t>
      </w:r>
    </w:p>
    <w:p>
      <w:pPr>
        <w:spacing w:after="0" w:line="1" w:lineRule="exact"/>
        <w:rPr>
          <w:rFonts w:ascii="Arial" w:cs="Arial" w:eastAsia="Arial" w:hAnsi="Arial"/>
          <w:sz w:val="16"/>
          <w:szCs w:val="16"/>
          <w:color w:val="auto"/>
        </w:rPr>
      </w:pPr>
    </w:p>
    <w:p>
      <w:pPr>
        <w:ind w:right="20" w:firstLine="443"/>
        <w:spacing w:after="0" w:line="290" w:lineRule="auto"/>
        <w:tabs>
          <w:tab w:leader="none" w:pos="657"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any information that is possessed or developed by or for Employer or its Affiliate and which relates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80" w:right="299" w:bottom="1440" w:gutter="0" w:footer="0" w:header="0"/>
        </w:sectPr>
      </w:pPr>
    </w:p>
    <w:bookmarkStart w:id="28" w:name="page29"/>
    <w:bookmarkEnd w:id="28"/>
    <w:p>
      <w:pPr>
        <w:jc w:val="both"/>
        <w:ind w:righ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53" w:lineRule="exact"/>
        <w:rPr>
          <w:sz w:val="20"/>
          <w:szCs w:val="20"/>
          <w:color w:val="auto"/>
        </w:rPr>
      </w:pPr>
    </w:p>
    <w:p>
      <w:pPr>
        <w:ind w:left="700" w:hanging="25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October 31, 2007.</w:t>
      </w:r>
    </w:p>
    <w:p>
      <w:pPr>
        <w:spacing w:after="0" w:line="90" w:lineRule="exact"/>
        <w:rPr>
          <w:rFonts w:ascii="Arial" w:cs="Arial" w:eastAsia="Arial" w:hAnsi="Arial"/>
          <w:sz w:val="18"/>
          <w:szCs w:val="18"/>
          <w:color w:val="auto"/>
        </w:rPr>
      </w:pPr>
    </w:p>
    <w:p>
      <w:pPr>
        <w:ind w:right="120" w:firstLine="443"/>
        <w:spacing w:after="0" w:line="262" w:lineRule="auto"/>
        <w:tabs>
          <w:tab w:leader="none" w:pos="6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57" w:lineRule="exact"/>
        <w:rPr>
          <w:rFonts w:ascii="Arial" w:cs="Arial" w:eastAsia="Arial" w:hAnsi="Arial"/>
          <w:sz w:val="18"/>
          <w:szCs w:val="18"/>
          <w:color w:val="auto"/>
        </w:rPr>
      </w:pPr>
    </w:p>
    <w:p>
      <w:pPr>
        <w:ind w:left="1100" w:hanging="219"/>
        <w:spacing w:after="0"/>
        <w:tabs>
          <w:tab w:leader="none" w:pos="11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90" w:lineRule="exact"/>
        <w:rPr>
          <w:rFonts w:ascii="Arial" w:cs="Arial" w:eastAsia="Arial" w:hAnsi="Arial"/>
          <w:sz w:val="18"/>
          <w:szCs w:val="18"/>
          <w:color w:val="auto"/>
        </w:rPr>
      </w:pPr>
    </w:p>
    <w:p>
      <w:pPr>
        <w:ind w:left="460" w:right="160" w:firstLine="421"/>
        <w:spacing w:after="0" w:line="306" w:lineRule="auto"/>
        <w:tabs>
          <w:tab w:leader="none" w:pos="11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5" w:lineRule="exact"/>
        <w:rPr>
          <w:rFonts w:ascii="Arial" w:cs="Arial" w:eastAsia="Arial" w:hAnsi="Arial"/>
          <w:sz w:val="16"/>
          <w:szCs w:val="16"/>
          <w:color w:val="auto"/>
        </w:rPr>
      </w:pPr>
    </w:p>
    <w:p>
      <w:pPr>
        <w:ind w:left="460" w:right="540" w:firstLine="421"/>
        <w:spacing w:after="0" w:line="268" w:lineRule="auto"/>
        <w:tabs>
          <w:tab w:leader="none" w:pos="11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50" w:lineRule="exact"/>
        <w:rPr>
          <w:rFonts w:ascii="Arial" w:cs="Arial" w:eastAsia="Arial" w:hAnsi="Arial"/>
          <w:sz w:val="18"/>
          <w:szCs w:val="18"/>
          <w:color w:val="auto"/>
        </w:rPr>
      </w:pPr>
    </w:p>
    <w:p>
      <w:pPr>
        <w:ind w:left="460" w:firstLine="421"/>
        <w:spacing w:after="0" w:line="332" w:lineRule="auto"/>
        <w:tabs>
          <w:tab w:leader="none" w:pos="11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4" w:lineRule="exact"/>
        <w:rPr>
          <w:rFonts w:ascii="Arial" w:cs="Arial" w:eastAsia="Arial" w:hAnsi="Arial"/>
          <w:sz w:val="16"/>
          <w:szCs w:val="16"/>
          <w:color w:val="auto"/>
        </w:rPr>
      </w:pPr>
    </w:p>
    <w:p>
      <w:pPr>
        <w:ind w:left="460" w:right="900" w:firstLine="421"/>
        <w:spacing w:after="0" w:line="268" w:lineRule="auto"/>
        <w:tabs>
          <w:tab w:leader="none" w:pos="11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29" w:name="page30"/>
    <w:bookmarkEnd w:id="29"/>
    <w:p>
      <w:pPr>
        <w:ind w:left="4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a determination by Employee that Employee has “Good Reason” shall be final and binding on Employer and Employee absent a showing of bad faith on Employee’s part.</w:t>
      </w:r>
    </w:p>
    <w:p>
      <w:pPr>
        <w:spacing w:after="0" w:line="45" w:lineRule="exact"/>
        <w:rPr>
          <w:sz w:val="20"/>
          <w:szCs w:val="20"/>
          <w:color w:val="auto"/>
        </w:rPr>
      </w:pPr>
    </w:p>
    <w:p>
      <w:pPr>
        <w:ind w:left="400" w:right="220" w:firstLine="443"/>
        <w:spacing w:after="0" w:line="301" w:lineRule="auto"/>
        <w:tabs>
          <w:tab w:leader="none" w:pos="1048"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 lump sum equal to (A) Employee’s Base Salary (as defined in Subparagraph 8(a) of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remainder of the Term, but not less than one (1) year of Base Salary, plus (B) the bonus that was paid to Employee under Subparagraph 8(b)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22" w:lineRule="exact"/>
        <w:rPr>
          <w:rFonts w:ascii="Arial" w:cs="Arial" w:eastAsia="Arial" w:hAnsi="Arial"/>
          <w:sz w:val="16"/>
          <w:szCs w:val="16"/>
          <w:color w:val="auto"/>
        </w:rPr>
      </w:pPr>
    </w:p>
    <w:p>
      <w:pPr>
        <w:ind w:left="400" w:firstLine="443"/>
        <w:spacing w:after="0" w:line="256" w:lineRule="auto"/>
        <w:tabs>
          <w:tab w:leader="none" w:pos="10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57" w:lineRule="exact"/>
        <w:rPr>
          <w:rFonts w:ascii="Arial" w:cs="Arial" w:eastAsia="Arial" w:hAnsi="Arial"/>
          <w:sz w:val="18"/>
          <w:szCs w:val="18"/>
          <w:color w:val="auto"/>
        </w:rPr>
      </w:pPr>
    </w:p>
    <w:p>
      <w:pPr>
        <w:ind w:left="400" w:firstLine="443"/>
        <w:spacing w:after="0" w:line="296" w:lineRule="auto"/>
        <w:tabs>
          <w:tab w:leader="none" w:pos="10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left="-60" w:right="160" w:firstLine="464"/>
        <w:spacing w:after="0" w:line="255" w:lineRule="auto"/>
        <w:tabs>
          <w:tab w:leader="none" w:pos="572"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From and after the Effective Date, Employee shall be the employee of Employer under the terms and pursuant to the conditions set forth in this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00" w:top="280" w:right="279" w:bottom="1440" w:gutter="0" w:footer="0" w:header="0"/>
        </w:sectPr>
      </w:pPr>
    </w:p>
    <w:bookmarkStart w:id="30" w:name="page31"/>
    <w:bookmarkEnd w:id="30"/>
    <w:p>
      <w:pPr>
        <w:ind w:left="-20" w:right="80" w:firstLine="464"/>
        <w:spacing w:after="0" w:line="298" w:lineRule="auto"/>
        <w:tabs>
          <w:tab w:leader="none" w:pos="612"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06" w:lineRule="exact"/>
        <w:rPr>
          <w:rFonts w:ascii="Arial" w:cs="Arial" w:eastAsia="Arial" w:hAnsi="Arial"/>
          <w:sz w:val="16"/>
          <w:szCs w:val="16"/>
          <w:b w:val="1"/>
          <w:bCs w:val="1"/>
          <w:i w:val="1"/>
          <w:iCs w:val="1"/>
          <w:color w:val="auto"/>
        </w:rPr>
      </w:pPr>
    </w:p>
    <w:p>
      <w:pPr>
        <w:ind w:left="-20" w:right="160" w:firstLine="464"/>
        <w:spacing w:after="0" w:line="254" w:lineRule="auto"/>
        <w:tabs>
          <w:tab w:leader="none" w:pos="612"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the duties of Chief Operating Officer of Employer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shall hold such offices with Employer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such other similar duties as may be assigned to Employee by Employer as its Board of Directors may determine,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other Affiliates as may be required by Employer, provided such duties are not inconsistent with Employee’s primary duties to Employer hereunder.</w:t>
      </w:r>
    </w:p>
    <w:p>
      <w:pPr>
        <w:spacing w:after="0" w:line="147" w:lineRule="exact"/>
        <w:rPr>
          <w:rFonts w:ascii="Arial" w:cs="Arial" w:eastAsia="Arial" w:hAnsi="Arial"/>
          <w:sz w:val="18"/>
          <w:szCs w:val="18"/>
          <w:b w:val="1"/>
          <w:bCs w:val="1"/>
          <w:i w:val="1"/>
          <w:iCs w:val="1"/>
          <w:color w:val="auto"/>
        </w:rPr>
      </w:pPr>
    </w:p>
    <w:p>
      <w:pPr>
        <w:ind w:left="-20" w:right="200" w:firstLine="464"/>
        <w:spacing w:after="0" w:line="294" w:lineRule="auto"/>
        <w:tabs>
          <w:tab w:leader="none" w:pos="612"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09" w:lineRule="exact"/>
        <w:rPr>
          <w:rFonts w:ascii="Arial" w:cs="Arial" w:eastAsia="Arial" w:hAnsi="Arial"/>
          <w:sz w:val="16"/>
          <w:szCs w:val="16"/>
          <w:b w:val="1"/>
          <w:bCs w:val="1"/>
          <w:i w:val="1"/>
          <w:iCs w:val="1"/>
          <w:color w:val="auto"/>
        </w:rPr>
      </w:pPr>
    </w:p>
    <w:p>
      <w:pPr>
        <w:ind w:left="-20" w:firstLine="464"/>
        <w:spacing w:after="0" w:line="293" w:lineRule="auto"/>
        <w:tabs>
          <w:tab w:leader="none" w:pos="612"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consist of five (5) years commencing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Effective Date of this Agreement and terminating on the fifth Anniversary Date of the Effective Date at which time the terms of this Agreement shall expire and shall not apply to any continued employment of Employee by Employer, except for those obligations under Paragraphs 10 and 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16" w:lineRule="exact"/>
        <w:rPr>
          <w:rFonts w:ascii="Arial" w:cs="Arial" w:eastAsia="Arial" w:hAnsi="Arial"/>
          <w:sz w:val="16"/>
          <w:szCs w:val="16"/>
          <w:b w:val="1"/>
          <w:bCs w:val="1"/>
          <w:i w:val="1"/>
          <w:iCs w:val="1"/>
          <w:color w:val="auto"/>
        </w:rPr>
      </w:pPr>
    </w:p>
    <w:p>
      <w:pPr>
        <w:ind w:left="-20" w:right="100" w:firstLine="464"/>
        <w:spacing w:after="0" w:line="268" w:lineRule="auto"/>
        <w:tabs>
          <w:tab w:leader="none" w:pos="612"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Paragraph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50" w:lineRule="exact"/>
        <w:rPr>
          <w:rFonts w:ascii="Arial" w:cs="Arial" w:eastAsia="Arial" w:hAnsi="Arial"/>
          <w:sz w:val="18"/>
          <w:szCs w:val="18"/>
          <w:b w:val="1"/>
          <w:bCs w:val="1"/>
          <w:i w:val="1"/>
          <w:iCs w:val="1"/>
          <w:color w:val="auto"/>
        </w:rPr>
      </w:pPr>
    </w:p>
    <w:p>
      <w:pPr>
        <w:ind w:left="1120" w:hanging="2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31" w:name="page32"/>
    <w:bookmarkEnd w:id="31"/>
    <w:p>
      <w:pPr>
        <w:ind w:left="1160" w:hanging="257"/>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giving of written notice from Employer to Employee of the termination of this Agreement upon the Complete Disability of Employee;</w:t>
      </w:r>
    </w:p>
    <w:p>
      <w:pPr>
        <w:spacing w:after="0" w:line="113"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 (Employer’s right to terminate for cause (as defined in this Agreement, shall survive the expiration of this Agreement);</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within ten</w:t>
      </w:r>
    </w:p>
    <w:p>
      <w:pPr>
        <w:spacing w:after="0" w:line="38" w:lineRule="exact"/>
        <w:rPr>
          <w:rFonts w:ascii="Arial" w:cs="Arial" w:eastAsia="Arial" w:hAnsi="Arial"/>
          <w:sz w:val="16"/>
          <w:szCs w:val="16"/>
          <w:color w:val="auto"/>
        </w:rPr>
      </w:pPr>
    </w:p>
    <w:p>
      <w:pPr>
        <w:ind w:left="800" w:hanging="33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83" w:lineRule="exact"/>
        <w:rPr>
          <w:rFonts w:ascii="Arial" w:cs="Arial" w:eastAsia="Arial" w:hAnsi="Arial"/>
          <w:sz w:val="18"/>
          <w:szCs w:val="18"/>
          <w:color w:val="auto"/>
        </w:rPr>
      </w:pPr>
    </w:p>
    <w:p>
      <w:pPr>
        <w:ind w:left="460" w:firstLine="443"/>
        <w:spacing w:after="0" w:line="259" w:lineRule="auto"/>
        <w:tabs>
          <w:tab w:leader="none" w:pos="111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 or</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18 of this Agreement,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within ten (10) calendar days after Employer’s receipt of Employee’s written election, Employer must tender the Separation Payment to Employee.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2" w:name="page33"/>
    <w:bookmarkEnd w:id="32"/>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w:t>
      </w:r>
    </w:p>
    <w:p>
      <w:pPr>
        <w:spacing w:after="0" w:line="1" w:lineRule="exact"/>
        <w:rPr>
          <w:sz w:val="20"/>
          <w:szCs w:val="20"/>
          <w:color w:val="auto"/>
        </w:rPr>
      </w:pPr>
    </w:p>
    <w:p>
      <w:pPr>
        <w:ind w:firstLine="8"/>
        <w:spacing w:after="0" w:line="292"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16" w:lineRule="exact"/>
        <w:rPr>
          <w:rFonts w:ascii="Arial" w:cs="Arial" w:eastAsia="Arial" w:hAnsi="Arial"/>
          <w:sz w:val="16"/>
          <w:szCs w:val="16"/>
          <w:color w:val="auto"/>
        </w:rPr>
      </w:pPr>
    </w:p>
    <w:p>
      <w:pPr>
        <w:ind w:right="200" w:firstLine="464"/>
        <w:spacing w:after="0" w:line="259" w:lineRule="auto"/>
        <w:tabs>
          <w:tab w:leader="none" w:pos="632" w:val="left"/>
        </w:tabs>
        <w:numPr>
          <w:ilvl w:val="1"/>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9" w:lineRule="exact"/>
        <w:rPr>
          <w:rFonts w:ascii="Arial" w:cs="Arial" w:eastAsia="Arial" w:hAnsi="Arial"/>
          <w:sz w:val="18"/>
          <w:szCs w:val="18"/>
          <w:b w:val="1"/>
          <w:bCs w:val="1"/>
          <w:i w:val="1"/>
          <w:iCs w:val="1"/>
          <w:color w:val="auto"/>
        </w:rPr>
      </w:pPr>
    </w:p>
    <w:p>
      <w:pPr>
        <w:ind w:left="460" w:right="40" w:firstLine="443"/>
        <w:spacing w:after="0" w:line="291" w:lineRule="auto"/>
        <w:tabs>
          <w:tab w:leader="none" w:pos="1137"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Employer hereby covenants and agrees to pay to Employee, and Employee hereby covenants and agrees to accept from Employer, a base salary at the rate of One Million Seven Hundred Fifty Thousand Dollars ($1,750,000) per annum, payable in such weekly, bi-weekly or semi-monthly installments as shall be convenient to Employer (the “Base Salary”). Employee’s Base Salary shall be exclusive of and in addition to any other benefits which Employer, in its sole discretion, may make available to Employee, including, but not limited to, those benefits described in Subparagraphs 8(b) through (f) of this Agreement. Employee’s Base Salary shall be subject to merit review by Employer’s Board of Directors from time to time and may be increased, but not decreased, as a result of any such review.</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BONUS COMPENSATION</w:t>
      </w:r>
      <w:r>
        <w:rPr>
          <w:rFonts w:ascii="Arial" w:cs="Arial" w:eastAsia="Arial" w:hAnsi="Arial"/>
          <w:sz w:val="16"/>
          <w:szCs w:val="16"/>
          <w:color w:val="auto"/>
        </w:rPr>
        <w:t>. Employee also will be eligible to receive a bonus at such times and in such amounts as Employer’s Board of Directors, in its sole and exclusive discretion, in accordance with Employer’s Annual Performance Based Incentive Plan. Nothing in this Agreement shall limit the Board’s discretion to adopt, amend or terminate any performance-based bonus plan at any time prior to a Change of Control.</w:t>
      </w:r>
    </w:p>
    <w:p>
      <w:pPr>
        <w:spacing w:after="0" w:line="25" w:lineRule="exact"/>
        <w:rPr>
          <w:rFonts w:ascii="Arial" w:cs="Arial" w:eastAsia="Arial" w:hAnsi="Arial"/>
          <w:sz w:val="16"/>
          <w:szCs w:val="16"/>
          <w:color w:val="auto"/>
        </w:rPr>
      </w:pPr>
    </w:p>
    <w:p>
      <w:pPr>
        <w:jc w:val="both"/>
        <w:ind w:left="460" w:right="540" w:firstLine="443"/>
        <w:spacing w:after="0" w:line="332" w:lineRule="auto"/>
        <w:tabs>
          <w:tab w:leader="none" w:pos="1137"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Employer hereby covenants and agrees that it shall include Employee, if otherwise eligible, in any profit sharing plan, executive stock option plan, pension plan, retirement plan, disability or life insurance plan, medical and/or hospitalization plan, and/or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3" w:name="page34"/>
    <w:bookmarkEnd w:id="3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32" w:lineRule="exact"/>
        <w:rPr>
          <w:sz w:val="20"/>
          <w:szCs w:val="20"/>
          <w:color w:val="auto"/>
        </w:rPr>
      </w:pPr>
    </w:p>
    <w:p>
      <w:pPr>
        <w:ind w:firstLine="443"/>
        <w:spacing w:after="0" w:line="291"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During the Term and provided the same are 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39" w:lineRule="exact"/>
        <w:rPr>
          <w:rFonts w:ascii="Arial" w:cs="Arial" w:eastAsia="Arial" w:hAnsi="Arial"/>
          <w:sz w:val="16"/>
          <w:szCs w:val="16"/>
          <w:color w:val="auto"/>
        </w:rPr>
      </w:pPr>
    </w:p>
    <w:p>
      <w:pPr>
        <w:ind w:firstLine="443"/>
        <w:spacing w:after="0" w:line="256" w:lineRule="auto"/>
        <w:tabs>
          <w:tab w:leader="none" w:pos="67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CORPORATE AIRCRAFT</w:t>
      </w:r>
      <w:r>
        <w:rPr>
          <w:rFonts w:ascii="Arial" w:cs="Arial" w:eastAsia="Arial" w:hAnsi="Arial"/>
          <w:sz w:val="18"/>
          <w:szCs w:val="18"/>
          <w:color w:val="auto"/>
        </w:rPr>
        <w:t>. Employee shall have the right to the personal use of Employer’s aircraft by Employee and his family. Employer and Employee shall enter into a separate time-sharing agreement for such personal use, which agreement shall provide, among other things, that Employee shall pay Employer the lesser of Employee’s and his family’s share of the direct costs incurred by Employer in operating the aircraft or the amount required by applicable federal aviation regulations to be paid by Employee.</w:t>
      </w:r>
    </w:p>
    <w:p>
      <w:pPr>
        <w:spacing w:after="0" w:line="62" w:lineRule="exact"/>
        <w:rPr>
          <w:rFonts w:ascii="Arial" w:cs="Arial" w:eastAsia="Arial" w:hAnsi="Arial"/>
          <w:sz w:val="18"/>
          <w:szCs w:val="18"/>
          <w:color w:val="auto"/>
        </w:rPr>
      </w:pPr>
    </w:p>
    <w:p>
      <w:pPr>
        <w:ind w:right="100" w:firstLine="443"/>
        <w:spacing w:after="0" w:line="256"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VACATIONS AND HOLIDAYS</w:t>
      </w:r>
      <w:r>
        <w:rPr>
          <w:rFonts w:ascii="Arial" w:cs="Arial" w:eastAsia="Arial" w:hAnsi="Arial"/>
          <w:sz w:val="18"/>
          <w:szCs w:val="18"/>
          <w:color w:val="auto"/>
        </w:rPr>
        <w:t>. Commencing as of the Effective Date of this Agreement, Employee shall be entitled to (i) annual 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62" w:lineRule="exact"/>
        <w:rPr>
          <w:rFonts w:ascii="Arial" w:cs="Arial" w:eastAsia="Arial" w:hAnsi="Arial"/>
          <w:sz w:val="18"/>
          <w:szCs w:val="18"/>
          <w:color w:val="auto"/>
        </w:rPr>
      </w:pPr>
    </w:p>
    <w:p>
      <w:pPr>
        <w:ind w:right="160" w:firstLine="443"/>
        <w:spacing w:after="0" w:line="259"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WITHHOLDINGS</w:t>
      </w:r>
      <w:r>
        <w:rPr>
          <w:rFonts w:ascii="Arial" w:cs="Arial" w:eastAsia="Arial" w:hAnsi="Arial"/>
          <w:sz w:val="18"/>
          <w:szCs w:val="18"/>
          <w:color w:val="auto"/>
        </w:rPr>
        <w:t>. All compensation to Employee identified in this Paragraph 8 shall be subject to applicable withholdings for federal, state or local income or other taxes, Social Security Tax, Medicare Tax, State Unemployment Insurance, State Disability Insurance, voluntary charitable contributions and the like.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4" w:name="page35"/>
    <w:bookmarkEnd w:id="34"/>
    <w:p>
      <w:pPr>
        <w:ind w:left="640" w:hanging="176"/>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LICENSING REQUIREMENTS</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left="460" w:firstLine="443"/>
        <w:spacing w:after="0" w:line="253"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“Gaming Authorities</w:t>
      </w:r>
      <w:r>
        <w:rPr>
          <w:rFonts w:ascii="Arial" w:cs="Arial" w:eastAsia="Arial" w:hAnsi="Arial"/>
          <w:sz w:val="18"/>
          <w:szCs w:val="18"/>
          <w:color w:val="auto"/>
        </w:rPr>
        <w:t xml:space="preserve">”) pursuant to the provisions of the applicable gaming regulatory statutes and the regulations promulgated thereunder (the </w:t>
      </w:r>
      <w:r>
        <w:rPr>
          <w:rFonts w:ascii="Arial" w:cs="Arial" w:eastAsia="Arial" w:hAnsi="Arial"/>
          <w:sz w:val="18"/>
          <w:szCs w:val="18"/>
          <w:b w:val="1"/>
          <w:bCs w:val="1"/>
          <w:color w:val="auto"/>
        </w:rPr>
        <w:t>“Gaming Laws</w:t>
      </w:r>
      <w:r>
        <w:rPr>
          <w:rFonts w:ascii="Arial" w:cs="Arial" w:eastAsia="Arial" w:hAnsi="Arial"/>
          <w:sz w:val="18"/>
          <w:szCs w:val="18"/>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66" w:lineRule="exact"/>
        <w:rPr>
          <w:rFonts w:ascii="Arial" w:cs="Arial" w:eastAsia="Arial" w:hAnsi="Arial"/>
          <w:sz w:val="18"/>
          <w:szCs w:val="18"/>
          <w:color w:val="auto"/>
        </w:rPr>
      </w:pPr>
    </w:p>
    <w:p>
      <w:pPr>
        <w:ind w:left="460" w:right="40" w:firstLine="443"/>
        <w:spacing w:after="0" w:line="288" w:lineRule="auto"/>
        <w:tabs>
          <w:tab w:leader="none" w:pos="11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38" w:lineRule="exact"/>
        <w:rPr>
          <w:rFonts w:ascii="Arial" w:cs="Arial" w:eastAsia="Arial" w:hAnsi="Arial"/>
          <w:sz w:val="16"/>
          <w:szCs w:val="16"/>
          <w:color w:val="auto"/>
        </w:rPr>
      </w:pPr>
    </w:p>
    <w:p>
      <w:pPr>
        <w:ind w:left="460" w:right="40" w:firstLine="443"/>
        <w:spacing w:after="0" w:line="268"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90" w:lineRule="exact"/>
        <w:rPr>
          <w:sz w:val="20"/>
          <w:szCs w:val="20"/>
          <w:color w:val="auto"/>
        </w:rPr>
      </w:pPr>
    </w:p>
    <w:p>
      <w:pPr>
        <w:ind w:right="320" w:firstLine="464"/>
        <w:spacing w:after="0" w:line="294"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5" w:name="page36"/>
    <w:bookmarkEnd w:id="35"/>
    <w:p>
      <w:pPr>
        <w:ind w:right="40" w:firstLine="443"/>
        <w:spacing w:after="0" w:line="256"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62" w:lineRule="exact"/>
        <w:rPr>
          <w:rFonts w:ascii="Arial" w:cs="Arial" w:eastAsia="Arial" w:hAnsi="Arial"/>
          <w:sz w:val="18"/>
          <w:szCs w:val="18"/>
          <w:color w:val="auto"/>
        </w:rPr>
      </w:pPr>
    </w:p>
    <w:p>
      <w:pPr>
        <w:ind w:right="220" w:firstLine="443"/>
        <w:spacing w:after="0" w:line="253" w:lineRule="auto"/>
        <w:tabs>
          <w:tab w:leader="none" w:pos="6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66" w:lineRule="exact"/>
        <w:rPr>
          <w:rFonts w:ascii="Arial" w:cs="Arial" w:eastAsia="Arial" w:hAnsi="Arial"/>
          <w:sz w:val="18"/>
          <w:szCs w:val="18"/>
          <w:color w:val="auto"/>
        </w:rPr>
      </w:pPr>
    </w:p>
    <w:p>
      <w:pPr>
        <w:ind w:right="80" w:firstLine="443"/>
        <w:spacing w:after="0" w:line="294" w:lineRule="auto"/>
        <w:tabs>
          <w:tab w:leader="none" w:pos="68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In the event, Employer requests Restricted Information from Employee, Employee shall advise Employer that the information requested is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Information and may not be disclosed by Employee.</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obligations of this Section 10 are continuing and shall survive the termination of Employee’s employment with Employer.</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firstLine="443"/>
        <w:spacing w:after="0" w:line="291" w:lineRule="auto"/>
        <w:tabs>
          <w:tab w:leader="none" w:pos="67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whichever is longer,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36" w:name="page37"/>
    <w:bookmarkEnd w:id="36"/>
    <w:p>
      <w:pPr>
        <w:ind w:left="420" w:right="40" w:firstLine="443"/>
        <w:spacing w:after="0" w:line="256" w:lineRule="auto"/>
        <w:tabs>
          <w:tab w:leader="none" w:pos="1107"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62" w:lineRule="exact"/>
        <w:rPr>
          <w:rFonts w:ascii="Arial" w:cs="Arial" w:eastAsia="Arial" w:hAnsi="Arial"/>
          <w:sz w:val="18"/>
          <w:szCs w:val="18"/>
          <w:color w:val="auto"/>
        </w:rPr>
      </w:pPr>
    </w:p>
    <w:p>
      <w:pPr>
        <w:ind w:left="420" w:right="60" w:firstLine="443"/>
        <w:spacing w:after="0" w:line="294" w:lineRule="auto"/>
        <w:tabs>
          <w:tab w:leader="none" w:pos="10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the restrictive covenants contained in this Section 11 are reasonable as to duration, terms and geographical area and that they protect the legitimate interests of Employer, impose no undue hardship on Employee, and are not injurious to the public. In the event that any of the restrictions and limitations contained in this Section 11 are deemed to exceed the time, geographic or other limitations permitted by Nevada law, the parties agree that a court of competent jurisdiction shall revise any offending provisions so as to bring this Section 11 within the maximum time, geographical or other limitations permitted by Nevada law.</w:t>
      </w:r>
    </w:p>
    <w:p>
      <w:pPr>
        <w:spacing w:after="0" w:line="115" w:lineRule="exact"/>
        <w:rPr>
          <w:rFonts w:ascii="Arial" w:cs="Arial" w:eastAsia="Arial" w:hAnsi="Arial"/>
          <w:sz w:val="16"/>
          <w:szCs w:val="16"/>
          <w:color w:val="auto"/>
        </w:rPr>
      </w:pPr>
    </w:p>
    <w:p>
      <w:pPr>
        <w:ind w:left="-40" w:firstLine="464"/>
        <w:spacing w:after="0" w:line="286" w:lineRule="auto"/>
        <w:tabs>
          <w:tab w:leader="none" w:pos="680"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37" w:name="page38"/>
    <w:bookmarkEnd w:id="37"/>
    <w:p>
      <w:pPr>
        <w:ind w:right="16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31" w:lineRule="exact"/>
        <w:rPr>
          <w:rFonts w:ascii="Arial" w:cs="Arial" w:eastAsia="Arial" w:hAnsi="Arial"/>
          <w:sz w:val="18"/>
          <w:szCs w:val="18"/>
          <w:b w:val="1"/>
          <w:bCs w:val="1"/>
          <w:i w:val="1"/>
          <w:iCs w:val="1"/>
          <w:color w:val="auto"/>
        </w:rPr>
      </w:pPr>
    </w:p>
    <w:p>
      <w:pPr>
        <w:ind w:left="720" w:hanging="256"/>
        <w:spacing w:after="0"/>
        <w:tabs>
          <w:tab w:leader="none" w:pos="720" w:val="left"/>
        </w:tabs>
        <w:numPr>
          <w:ilvl w:val="0"/>
          <w:numId w:val="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firstLine="464"/>
        <w:spacing w:after="0" w:line="255"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15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42" w:lineRule="exact"/>
        <w:rPr>
          <w:rFonts w:ascii="Arial" w:cs="Arial" w:eastAsia="Arial" w:hAnsi="Arial"/>
          <w:sz w:val="18"/>
          <w:szCs w:val="18"/>
          <w:b w:val="1"/>
          <w:bCs w:val="1"/>
          <w:i w:val="1"/>
          <w:iCs w:val="1"/>
          <w:color w:val="auto"/>
        </w:rPr>
      </w:pPr>
    </w:p>
    <w:p>
      <w:pPr>
        <w:ind w:right="54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right="16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31" w:lineRule="exact"/>
        <w:rPr>
          <w:rFonts w:ascii="Arial" w:cs="Arial" w:eastAsia="Arial" w:hAnsi="Arial"/>
          <w:sz w:val="18"/>
          <w:szCs w:val="18"/>
          <w:b w:val="1"/>
          <w:bCs w:val="1"/>
          <w:i w:val="1"/>
          <w:iCs w:val="1"/>
          <w:color w:val="auto"/>
        </w:rPr>
      </w:pPr>
    </w:p>
    <w:p>
      <w:pPr>
        <w:ind w:right="260" w:firstLine="464"/>
        <w:spacing w:after="0" w:line="268" w:lineRule="auto"/>
        <w:tabs>
          <w:tab w:leader="none" w:pos="7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640" w:type="dxa"/>
            <w:vAlign w:val="bottom"/>
          </w:tcPr>
          <w:p>
            <w:pPr>
              <w:ind w:left="300"/>
              <w:spacing w:after="0"/>
              <w:rPr>
                <w:sz w:val="20"/>
                <w:szCs w:val="20"/>
                <w:color w:val="auto"/>
              </w:rPr>
            </w:pPr>
            <w:r>
              <w:rPr>
                <w:rFonts w:ascii="Arial" w:cs="Arial" w:eastAsia="Arial" w:hAnsi="Arial"/>
                <w:sz w:val="18"/>
                <w:szCs w:val="18"/>
                <w:color w:val="auto"/>
              </w:rPr>
              <w:t>Wynn Resorts, Limited</w:t>
            </w:r>
          </w:p>
        </w:tc>
      </w:tr>
      <w:tr>
        <w:trPr>
          <w:trHeight w:val="228"/>
        </w:trPr>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w w:val="86"/>
              </w:rPr>
              <w:t>3131 Las Vegas Boulevard South</w:t>
            </w:r>
          </w:p>
        </w:tc>
      </w:tr>
      <w:tr>
        <w:trPr>
          <w:trHeight w:val="222"/>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89109</w:t>
            </w:r>
          </w:p>
        </w:tc>
      </w:tr>
      <w:tr>
        <w:trPr>
          <w:trHeight w:val="286"/>
        </w:trPr>
        <w:tc>
          <w:tcPr>
            <w:tcW w:w="202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640" w:type="dxa"/>
            <w:vAlign w:val="bottom"/>
          </w:tcPr>
          <w:p>
            <w:pPr>
              <w:ind w:left="300"/>
              <w:spacing w:after="0"/>
              <w:rPr>
                <w:sz w:val="20"/>
                <w:szCs w:val="20"/>
                <w:color w:val="auto"/>
              </w:rPr>
            </w:pPr>
            <w:r>
              <w:rPr>
                <w:rFonts w:ascii="Arial" w:cs="Arial" w:eastAsia="Arial" w:hAnsi="Arial"/>
                <w:sz w:val="18"/>
                <w:szCs w:val="18"/>
                <w:color w:val="auto"/>
              </w:rPr>
              <w:t>Wynn Resorts, Limited</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02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w w:val="86"/>
              </w:rPr>
              <w:t>3131 Las Vegas Boulevard South</w:t>
            </w:r>
          </w:p>
        </w:tc>
      </w:tr>
      <w:tr>
        <w:trPr>
          <w:trHeight w:val="196"/>
        </w:trPr>
        <w:tc>
          <w:tcPr>
            <w:tcW w:w="1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300" w:type="dxa"/>
            <w:vAlign w:val="bottom"/>
          </w:tcPr>
          <w:p>
            <w:pPr>
              <w:spacing w:after="0"/>
              <w:rPr>
                <w:sz w:val="17"/>
                <w:szCs w:val="17"/>
                <w:color w:val="auto"/>
              </w:rPr>
            </w:pPr>
          </w:p>
        </w:tc>
        <w:tc>
          <w:tcPr>
            <w:tcW w:w="2640" w:type="dxa"/>
            <w:vAlign w:val="bottom"/>
          </w:tcPr>
          <w:p>
            <w:pPr>
              <w:ind w:left="30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Attn: Legal Department</w:t>
            </w:r>
          </w:p>
        </w:tc>
      </w:tr>
      <w:tr>
        <w:trPr>
          <w:trHeight w:val="286"/>
        </w:trPr>
        <w:tc>
          <w:tcPr>
            <w:tcW w:w="202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2640" w:type="dxa"/>
            <w:vAlign w:val="bottom"/>
          </w:tcPr>
          <w:p>
            <w:pPr>
              <w:ind w:left="300"/>
              <w:spacing w:after="0"/>
              <w:rPr>
                <w:sz w:val="20"/>
                <w:szCs w:val="20"/>
                <w:color w:val="auto"/>
              </w:rPr>
            </w:pPr>
            <w:r>
              <w:rPr>
                <w:rFonts w:ascii="Arial" w:cs="Arial" w:eastAsia="Arial" w:hAnsi="Arial"/>
                <w:sz w:val="18"/>
                <w:szCs w:val="18"/>
                <w:color w:val="auto"/>
              </w:rPr>
              <w:t>Marc D. Schorr</w:t>
            </w:r>
          </w:p>
        </w:tc>
      </w:tr>
      <w:tr>
        <w:trPr>
          <w:trHeight w:val="228"/>
        </w:trPr>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One Hughes Center Drive</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PH 1904</w:t>
            </w:r>
          </w:p>
        </w:tc>
      </w:tr>
      <w:tr>
        <w:trPr>
          <w:trHeight w:val="222"/>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NV 89109</w:t>
            </w:r>
          </w:p>
        </w:tc>
      </w:tr>
    </w:tbl>
    <w:p>
      <w:pPr>
        <w:spacing w:after="0" w:line="15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18.</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38" w:name="page39"/>
    <w:bookmarkEnd w:id="38"/>
    <w:p>
      <w:pPr>
        <w:ind w:right="340" w:firstLine="464"/>
        <w:spacing w:after="0" w:line="268"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31" w:lineRule="exact"/>
        <w:rPr>
          <w:rFonts w:ascii="Arial" w:cs="Arial" w:eastAsia="Arial" w:hAnsi="Arial"/>
          <w:sz w:val="18"/>
          <w:szCs w:val="18"/>
          <w:b w:val="1"/>
          <w:bCs w:val="1"/>
          <w:i w:val="1"/>
          <w:iCs w:val="1"/>
          <w:color w:val="auto"/>
        </w:rPr>
      </w:pPr>
    </w:p>
    <w:p>
      <w:pPr>
        <w:ind w:right="180" w:firstLine="464"/>
        <w:spacing w:after="0" w:line="332"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right="60" w:firstLine="464"/>
        <w:spacing w:after="0" w:line="291"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 in Paragraph 10, 11 or 12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20" w:lineRule="exact"/>
        <w:rPr>
          <w:rFonts w:ascii="Arial" w:cs="Arial" w:eastAsia="Arial" w:hAnsi="Arial"/>
          <w:sz w:val="16"/>
          <w:szCs w:val="16"/>
          <w:b w:val="1"/>
          <w:bCs w:val="1"/>
          <w:i w:val="1"/>
          <w:iCs w:val="1"/>
          <w:color w:val="auto"/>
        </w:rPr>
      </w:pPr>
    </w:p>
    <w:p>
      <w:pPr>
        <w:jc w:val="both"/>
        <w:ind w:right="300" w:firstLine="464"/>
        <w:spacing w:after="0" w:line="259" w:lineRule="auto"/>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Paragraph 22,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right="200" w:firstLine="464"/>
        <w:spacing w:after="0" w:line="298" w:lineRule="auto"/>
        <w:tabs>
          <w:tab w:leader="none" w:pos="720"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except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56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42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56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 Marc D. Schorr</w:t>
            </w:r>
          </w:p>
        </w:tc>
      </w:tr>
      <w:tr>
        <w:trPr>
          <w:trHeight w:val="202"/>
        </w:trPr>
        <w:tc>
          <w:tcPr>
            <w:tcW w:w="28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Stephen A. Wynn</w:t>
            </w:r>
          </w:p>
        </w:tc>
        <w:tc>
          <w:tcPr>
            <w:tcW w:w="560" w:type="dxa"/>
            <w:vAlign w:val="bottom"/>
          </w:tcPr>
          <w:p>
            <w:pPr>
              <w:spacing w:after="0"/>
              <w:rPr>
                <w:sz w:val="17"/>
                <w:szCs w:val="17"/>
                <w:color w:val="auto"/>
              </w:rPr>
            </w:pPr>
          </w:p>
        </w:tc>
        <w:tc>
          <w:tcPr>
            <w:tcW w:w="54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Marc D. Schorr</w:t>
            </w:r>
          </w:p>
        </w:tc>
      </w:tr>
      <w:tr>
        <w:trPr>
          <w:trHeight w:val="222"/>
        </w:trPr>
        <w:tc>
          <w:tcPr>
            <w:tcW w:w="28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19"/>
                <w:szCs w:val="19"/>
                <w:color w:val="auto"/>
              </w:rPr>
            </w:pPr>
          </w:p>
        </w:tc>
        <w:tc>
          <w:tcPr>
            <w:tcW w:w="544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54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171" w:lineRule="exact"/>
        <w:rPr>
          <w:sz w:val="20"/>
          <w:szCs w:val="20"/>
          <w:color w:val="auto"/>
        </w:rPr>
      </w:pPr>
    </w:p>
    <w:p>
      <w:pPr>
        <w:ind w:right="20" w:firstLine="8"/>
        <w:spacing w:after="0" w:line="285" w:lineRule="auto"/>
        <w:tabs>
          <w:tab w:leader="none" w:pos="2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21" w:lineRule="exact"/>
        <w:rPr>
          <w:rFonts w:ascii="Arial" w:cs="Arial" w:eastAsia="Arial" w:hAnsi="Arial"/>
          <w:sz w:val="16"/>
          <w:szCs w:val="16"/>
          <w:color w:val="auto"/>
        </w:rPr>
      </w:pPr>
    </w:p>
    <w:p>
      <w:pPr>
        <w:ind w:firstLine="8"/>
        <w:spacing w:after="0" w:line="302" w:lineRule="auto"/>
        <w:tabs>
          <w:tab w:leader="none" w:pos="249" w:val="left"/>
        </w:tabs>
        <w:numPr>
          <w:ilvl w:val="0"/>
          <w:numId w:val="53"/>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2.3(a), Employer shall not be obligated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40" w:name="page41"/>
    <w:bookmarkEnd w:id="40"/>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85" w:lineRule="exact"/>
        <w:rPr>
          <w:sz w:val="20"/>
          <w:szCs w:val="20"/>
          <w:color w:val="auto"/>
        </w:rPr>
      </w:pPr>
    </w:p>
    <w:p>
      <w:pPr>
        <w:ind w:right="40" w:firstLine="8"/>
        <w:spacing w:after="0" w:line="286" w:lineRule="auto"/>
        <w:tabs>
          <w:tab w:leader="none" w:pos="2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20" w:lineRule="exact"/>
        <w:rPr>
          <w:rFonts w:ascii="Arial" w:cs="Arial" w:eastAsia="Arial" w:hAnsi="Arial"/>
          <w:sz w:val="16"/>
          <w:szCs w:val="16"/>
          <w:color w:val="auto"/>
        </w:rPr>
      </w:pPr>
    </w:p>
    <w:p>
      <w:pPr>
        <w:ind w:firstLine="8"/>
        <w:spacing w:after="0" w:line="253"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4"/>
    </w:lvl>
  </w:abstractNum>
  <w:abstractNum w:abstractNumId="2">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901D82"/>
    <w:multiLevelType w:val="hybridMultilevel"/>
    <w:lvl w:ilvl="0">
      <w:lvlJc w:val="left"/>
      <w:lvlText w:val="(%1)"/>
      <w:numFmt w:val="lowerRoman"/>
      <w:start w:val="5"/>
    </w:lvl>
  </w:abstractNum>
  <w:abstractNum w:abstractNumId="4">
    <w:nsid w:val="3A95F874"/>
    <w:multiLevelType w:val="hybridMultilevel"/>
    <w:lvl w:ilvl="0">
      <w:lvlJc w:val="left"/>
      <w:lvlText w:val="(%1)"/>
      <w:numFmt w:val="lowerLetter"/>
      <w:start w:val="5"/>
    </w:lvl>
    <w:lvl w:ilvl="1">
      <w:lvlJc w:val="left"/>
      <w:lvlText w:val="(%2)"/>
      <w:numFmt w:val="lowerRoman"/>
      <w:start w:val="1"/>
    </w:lvl>
  </w:abstractNum>
  <w:abstractNum w:abstractNumId="5">
    <w:nsid w:val="8138641"/>
    <w:multiLevelType w:val="hybridMultilevel"/>
    <w:lvl w:ilvl="0">
      <w:lvlJc w:val="left"/>
      <w:lvlText w:val="(%1)"/>
      <w:numFmt w:val="lowerRoman"/>
      <w:start w:val="3"/>
    </w:lvl>
  </w:abstractNum>
  <w:abstractNum w:abstractNumId="6">
    <w:nsid w:val="1E7FF521"/>
    <w:multiLevelType w:val="hybridMultilevel"/>
    <w:lvl w:ilvl="0">
      <w:lvlJc w:val="left"/>
      <w:lvlText w:val="(%1)"/>
      <w:numFmt w:val="lowerLetter"/>
      <w:start w:val="6"/>
    </w:lvl>
  </w:abstractNum>
  <w:abstractNum w:abstractNumId="7">
    <w:nsid w:val="7C3DBD3D"/>
    <w:multiLevelType w:val="hybridMultilevel"/>
    <w:lvl w:ilvl="0">
      <w:lvlJc w:val="left"/>
      <w:lvlText w:val="(%1)"/>
      <w:numFmt w:val="lowerLetter"/>
      <w:start w:val="7"/>
    </w:lvl>
    <w:lvl w:ilvl="1">
      <w:lvlJc w:val="left"/>
      <w:lvlText w:val="(%2)"/>
      <w:numFmt w:val="lowerRoman"/>
      <w:start w:val="1"/>
    </w:lvl>
  </w:abstractNum>
  <w:abstractNum w:abstractNumId="8">
    <w:nsid w:val="737B8DDC"/>
    <w:multiLevelType w:val="hybridMultilevel"/>
    <w:lvl w:ilvl="0">
      <w:lvlJc w:val="left"/>
      <w:lvlText w:val="(%1)"/>
      <w:numFmt w:val="lowerRoman"/>
      <w:start w:val="3"/>
    </w:lvl>
  </w:abstractNum>
  <w:abstractNum w:abstractNumId="9">
    <w:nsid w:val="6CEAF087"/>
    <w:multiLevelType w:val="hybridMultilevel"/>
    <w:lvl w:ilvl="0">
      <w:lvlJc w:val="left"/>
      <w:lvlText w:val="%1"/>
      <w:numFmt w:val="decimal"/>
      <w:start w:val="1"/>
    </w:lvl>
    <w:lvl w:ilvl="1">
      <w:lvlJc w:val="left"/>
      <w:lvlText w:val="(%2)"/>
      <w:numFmt w:val="lowerLetter"/>
      <w:start w:val="10"/>
    </w:lvl>
  </w:abstractNum>
  <w:abstractNum w:abstractNumId="10">
    <w:nsid w:val="22221A70"/>
    <w:multiLevelType w:val="hybridMultilevel"/>
    <w:lvl w:ilvl="0">
      <w:lvlJc w:val="left"/>
      <w:lvlText w:val="(%1)"/>
      <w:numFmt w:val="decimal"/>
      <w:start w:val="12"/>
    </w:lvl>
    <w:lvl w:ilvl="1">
      <w:lvlJc w:val="left"/>
      <w:lvlText w:val="(%2)"/>
      <w:numFmt w:val="lowerLetter"/>
      <w:start w:val="12"/>
    </w:lvl>
  </w:abstractNum>
  <w:abstractNum w:abstractNumId="11">
    <w:nsid w:val="4516DDE9"/>
    <w:multiLevelType w:val="hybridMultilevel"/>
    <w:lvl w:ilvl="0">
      <w:lvlJc w:val="left"/>
      <w:lvlText w:val="%1"/>
      <w:numFmt w:val="decimal"/>
      <w:start w:val="1"/>
    </w:lvl>
    <w:lvl w:ilvl="1">
      <w:lvlJc w:val="left"/>
      <w:lvlText w:val="(%2)"/>
      <w:numFmt w:val="lowerLetter"/>
      <w:start w:val="13"/>
    </w:lvl>
  </w:abstractNum>
  <w:abstractNum w:abstractNumId="12">
    <w:nsid w:val="3006C83E"/>
    <w:multiLevelType w:val="hybridMultilevel"/>
    <w:lvl w:ilvl="0">
      <w:lvlJc w:val="left"/>
      <w:lvlText w:val="%1."/>
      <w:numFmt w:val="decimal"/>
      <w:start w:val="2"/>
    </w:lvl>
    <w:lvl w:ilvl="1">
      <w:lvlJc w:val="left"/>
      <w:lvlText w:val="%2"/>
      <w:numFmt w:val="lowerLetter"/>
      <w:start w:val="1"/>
    </w:lvl>
  </w:abstractNum>
  <w:abstractNum w:abstractNumId="13">
    <w:nsid w:val="614FD4A1"/>
    <w:multiLevelType w:val="hybridMultilevel"/>
    <w:lvl w:ilvl="0">
      <w:lvlJc w:val="left"/>
      <w:lvlText w:val="%1."/>
      <w:numFmt w:val="decimal"/>
      <w:start w:val="3"/>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7"/>
    </w:lvl>
  </w:abstractNum>
  <w:abstractNum w:abstractNumId="17">
    <w:nsid w:val="5072367"/>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abstractNum>
  <w:abstractNum w:abstractNumId="18">
    <w:nsid w:val="3804823E"/>
    <w:multiLevelType w:val="hybridMultilevel"/>
    <w:lvl w:ilvl="0">
      <w:lvlJc w:val="left"/>
      <w:lvlText w:val="(%1)"/>
      <w:numFmt w:val="lowerLetter"/>
      <w:start w:val="2"/>
    </w:lvl>
  </w:abstractNum>
  <w:abstractNum w:abstractNumId="19">
    <w:nsid w:val="77465F01"/>
    <w:multiLevelType w:val="hybridMultilevel"/>
    <w:lvl w:ilvl="0">
      <w:lvlJc w:val="left"/>
      <w:lvlText w:val="(%1)"/>
      <w:numFmt w:val="lowerLetter"/>
      <w:start w:val="5"/>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decimal"/>
      <w:start w:val="1"/>
    </w:lvl>
    <w:lvl w:ilvl="1">
      <w:lvlJc w:val="left"/>
      <w:lvlText w:val="(%2)"/>
      <w:numFmt w:val="lowerLetter"/>
      <w:start w:val="2"/>
    </w:lvl>
  </w:abstractNum>
  <w:abstractNum w:abstractNumId="22">
    <w:nsid w:val="2463B9EA"/>
    <w:multiLevelType w:val="hybridMultilevel"/>
    <w:lvl w:ilvl="0">
      <w:lvlJc w:val="left"/>
      <w:lvlText w:val="%1."/>
      <w:numFmt w:val="decimal"/>
      <w:start w:val="9"/>
    </w:lvl>
    <w:lvl w:ilvl="1">
      <w:lvlJc w:val="left"/>
      <w:lvlText w:val="(%2)"/>
      <w:numFmt w:val="lowerLetter"/>
      <w:start w:val="1"/>
    </w:lvl>
  </w:abstractNum>
  <w:abstractNum w:abstractNumId="23">
    <w:nsid w:val="5E884ADC"/>
    <w:multiLevelType w:val="hybridMultilevel"/>
    <w:lvl w:ilvl="0">
      <w:lvlJc w:val="left"/>
      <w:lvlText w:val="%1"/>
      <w:numFmt w:val="decimal"/>
      <w:start w:val="1"/>
    </w:lvl>
    <w:lvl w:ilvl="1">
      <w:lvlJc w:val="left"/>
      <w:lvlText w:val="(%2)"/>
      <w:numFmt w:val="lowerLetter"/>
      <w:start w:val="4"/>
    </w:lvl>
  </w:abstractNum>
  <w:abstractNum w:abstractNumId="24">
    <w:nsid w:val="51EAD36B"/>
    <w:multiLevelType w:val="hybridMultilevel"/>
    <w:lvl w:ilvl="0">
      <w:lvlJc w:val="left"/>
      <w:lvlText w:val="%1."/>
      <w:numFmt w:val="decimal"/>
      <w:start w:val="10"/>
    </w:lvl>
    <w:lvl w:ilvl="1">
      <w:lvlJc w:val="left"/>
      <w:lvlText w:val="(%2)"/>
      <w:numFmt w:val="lowerLetter"/>
      <w:start w:val="1"/>
    </w:lvl>
  </w:abstractNum>
  <w:abstractNum w:abstractNumId="25">
    <w:nsid w:val="2D517796"/>
    <w:multiLevelType w:val="hybridMultilevel"/>
    <w:lvl w:ilvl="0">
      <w:lvlJc w:val="left"/>
      <w:lvlText w:val="%1"/>
      <w:numFmt w:val="decimal"/>
      <w:start w:val="1"/>
    </w:lvl>
    <w:lvl w:ilvl="1">
      <w:lvlJc w:val="left"/>
      <w:lvlText w:val="(%2)"/>
      <w:numFmt w:val="lowerLetter"/>
      <w:start w:val="3"/>
    </w:lvl>
  </w:abstractNum>
  <w:abstractNum w:abstractNumId="26">
    <w:nsid w:val="580BD78F"/>
    <w:multiLevelType w:val="hybridMultilevel"/>
    <w:lvl w:ilvl="0">
      <w:lvlJc w:val="left"/>
      <w:lvlText w:val="%1."/>
      <w:numFmt w:val="decimal"/>
      <w:start w:val="11"/>
    </w:lvl>
    <w:lvl w:ilvl="1">
      <w:lvlJc w:val="left"/>
      <w:lvlText w:val="%2"/>
      <w:numFmt w:val="lowerLetter"/>
      <w:start w:val="1"/>
    </w:lvl>
  </w:abstractNum>
  <w:abstractNum w:abstractNumId="27">
    <w:nsid w:val="153EA438"/>
    <w:multiLevelType w:val="hybridMultilevel"/>
    <w:lvl w:ilvl="0">
      <w:lvlJc w:val="left"/>
      <w:lvlText w:val="%1."/>
      <w:numFmt w:val="decimal"/>
      <w:start w:val="14"/>
    </w:lvl>
  </w:abstractNum>
  <w:abstractNum w:abstractNumId="28">
    <w:nsid w:val="3855585C"/>
    <w:multiLevelType w:val="hybridMultilevel"/>
    <w:lvl w:ilvl="0">
      <w:lvlJc w:val="left"/>
      <w:lvlText w:val="%1."/>
      <w:numFmt w:val="decimal"/>
      <w:start w:val="18"/>
    </w:lvl>
  </w:abstractNum>
  <w:abstractNum w:abstractNumId="29">
    <w:nsid w:val="70A64E2A"/>
    <w:multiLevelType w:val="hybridMultilevel"/>
    <w:lvl w:ilvl="0">
      <w:lvlJc w:val="left"/>
      <w:lvlText w:val="%1."/>
      <w:numFmt w:val="decimal"/>
      <w:start w:val="20"/>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decimal"/>
      <w:start w:val="1"/>
    </w:lvl>
    <w:lvl w:ilvl="1">
      <w:lvlJc w:val="left"/>
      <w:lvlText w:val="(%2)"/>
      <w:numFmt w:val="lowerLetter"/>
      <w:start w:val="1"/>
    </w:lvl>
  </w:abstractNum>
  <w:abstractNum w:abstractNumId="33">
    <w:nsid w:val="725A06FB"/>
    <w:multiLevelType w:val="hybridMultilevel"/>
    <w:lvl w:ilvl="0">
      <w:lvlJc w:val="left"/>
      <w:lvlText w:val="(%1)"/>
      <w:numFmt w:val="lowerLetter"/>
      <w:start w:val="2"/>
    </w:lvl>
    <w:lvl w:ilvl="1">
      <w:lvlJc w:val="left"/>
      <w:lvlText w:val="(%2)"/>
      <w:numFmt w:val="lowerRoman"/>
      <w:start w:val="1"/>
    </w:lvl>
  </w:abstractNum>
  <w:abstractNum w:abstractNumId="34">
    <w:nsid w:val="2CD89A32"/>
    <w:multiLevelType w:val="hybridMultilevel"/>
    <w:lvl w:ilvl="0">
      <w:lvlJc w:val="left"/>
      <w:lvlText w:val="(%1)"/>
      <w:numFmt w:val="lowerLetter"/>
      <w:start w:val="4"/>
    </w:lvl>
    <w:lvl w:ilvl="1">
      <w:lvlJc w:val="left"/>
      <w:lvlText w:val="(%2)"/>
      <w:numFmt w:val="lowerRoman"/>
      <w:start w:val="1"/>
    </w:lvl>
  </w:abstractNum>
  <w:abstractNum w:abstractNumId="35">
    <w:nsid w:val="57E4CCAF"/>
    <w:multiLevelType w:val="hybridMultilevel"/>
    <w:lvl w:ilvl="0">
      <w:lvlJc w:val="left"/>
      <w:lvlText w:val="(%1)"/>
      <w:numFmt w:val="lowerLetter"/>
      <w:start w:val="5"/>
    </w:lvl>
  </w:abstractNum>
  <w:abstractNum w:abstractNumId="36">
    <w:nsid w:val="7A6D8D3C"/>
    <w:multiLevelType w:val="hybridMultilevel"/>
    <w:lvl w:ilvl="0">
      <w:lvlJc w:val="left"/>
      <w:lvlText w:val="(%1)"/>
      <w:numFmt w:val="lowerLetter"/>
      <w:start w:val="7"/>
    </w:lvl>
    <w:lvl w:ilvl="1">
      <w:lvlJc w:val="left"/>
      <w:lvlText w:val="(%2)"/>
      <w:numFmt w:val="lowerRoman"/>
      <w:start w:val="1"/>
    </w:lvl>
  </w:abstractNum>
  <w:abstractNum w:abstractNumId="37">
    <w:nsid w:val="4B588F54"/>
    <w:multiLevelType w:val="hybridMultilevel"/>
    <w:lvl w:ilvl="0">
      <w:lvlJc w:val="left"/>
      <w:lvlText w:val="%1"/>
      <w:numFmt w:val="decimal"/>
      <w:start w:val="1"/>
    </w:lvl>
    <w:lvl w:ilvl="1">
      <w:lvlJc w:val="left"/>
      <w:lvlText w:val="(%2)"/>
      <w:numFmt w:val="lowerLetter"/>
      <w:start w:val="9"/>
    </w:lvl>
  </w:abstractNum>
  <w:abstractNum w:abstractNumId="38">
    <w:nsid w:val="542289EC"/>
    <w:multiLevelType w:val="hybridMultilevel"/>
    <w:lvl w:ilvl="0">
      <w:lvlJc w:val="left"/>
      <w:lvlText w:val="%1."/>
      <w:numFmt w:val="decimal"/>
      <w:start w:val="2"/>
    </w:lvl>
    <w:lvl w:ilvl="1">
      <w:lvlJc w:val="left"/>
      <w:lvlText w:val="%2"/>
      <w:numFmt w:val="lowerLetter"/>
      <w:start w:val="1"/>
    </w:lvl>
  </w:abstractNum>
  <w:abstractNum w:abstractNumId="39">
    <w:nsid w:val="6DE91B18"/>
    <w:multiLevelType w:val="hybridMultilevel"/>
    <w:lvl w:ilvl="0">
      <w:lvlJc w:val="left"/>
      <w:lvlText w:val="%1."/>
      <w:numFmt w:val="decimal"/>
      <w:start w:val="3"/>
    </w:lvl>
    <w:lvl w:ilvl="1">
      <w:lvlJc w:val="left"/>
      <w:lvlText w:val="(%2)"/>
      <w:numFmt w:val="lowerLetter"/>
      <w:start w:val="1"/>
    </w:lvl>
  </w:abstractNum>
  <w:abstractNum w:abstractNumId="40">
    <w:nsid w:val="38437FDB"/>
    <w:multiLevelType w:val="hybridMultilevel"/>
    <w:lvl w:ilvl="0">
      <w:lvlJc w:val="left"/>
      <w:lvlText w:val="%1"/>
      <w:numFmt w:val="decimal"/>
      <w:start w:val="1"/>
    </w:lvl>
    <w:lvl w:ilvl="1">
      <w:lvlJc w:val="left"/>
      <w:lvlText w:val="(%2)"/>
      <w:numFmt w:val="lowerLetter"/>
      <w:start w:val="2"/>
    </w:lvl>
  </w:abstractNum>
  <w:abstractNum w:abstractNumId="41">
    <w:nsid w:val="7644A45C"/>
    <w:multiLevelType w:val="hybridMultilevel"/>
    <w:lvl w:ilvl="0">
      <w:lvlJc w:val="left"/>
      <w:lvlText w:val="(%1)"/>
      <w:numFmt w:val="decimal"/>
      <w:start w:val="10"/>
    </w:lvl>
    <w:lvl w:ilvl="1">
      <w:lvlJc w:val="left"/>
      <w:lvlText w:val="(%2)"/>
      <w:numFmt w:val="lowerLetter"/>
      <w:start w:val="6"/>
    </w:lvl>
  </w:abstractNum>
  <w:abstractNum w:abstractNumId="42">
    <w:nsid w:val="32FFF902"/>
    <w:multiLevelType w:val="hybridMultilevel"/>
    <w:lvl w:ilvl="0">
      <w:lvlJc w:val="left"/>
      <w:lvlText w:val="(%1)"/>
      <w:numFmt w:val="lowerLetter"/>
      <w:start w:val="24"/>
    </w:lvl>
    <w:lvl w:ilvl="1">
      <w:lvlJc w:val="left"/>
      <w:lvlText w:val="%2."/>
      <w:numFmt w:val="decimal"/>
      <w:start w:val="8"/>
    </w:lvl>
    <w:lvl w:ilvl="2">
      <w:lvlJc w:val="left"/>
      <w:lvlText w:val="(%3)"/>
      <w:numFmt w:val="lowerLetter"/>
      <w:start w:val="1"/>
    </w:lvl>
  </w:abstractNum>
  <w:abstractNum w:abstractNumId="43">
    <w:nsid w:val="684A481A"/>
    <w:multiLevelType w:val="hybridMultilevel"/>
    <w:lvl w:ilvl="0">
      <w:lvlJc w:val="left"/>
      <w:lvlText w:val="(%1)"/>
      <w:numFmt w:val="lowerLetter"/>
      <w:start w:val="4"/>
    </w:lvl>
  </w:abstractNum>
  <w:abstractNum w:abstractNumId="44">
    <w:nsid w:val="579478FE"/>
    <w:multiLevelType w:val="hybridMultilevel"/>
    <w:lvl w:ilvl="0">
      <w:lvlJc w:val="left"/>
      <w:lvlText w:val="%1."/>
      <w:numFmt w:val="decimal"/>
      <w:start w:val="9"/>
    </w:lvl>
    <w:lvl w:ilvl="1">
      <w:lvlJc w:val="left"/>
      <w:lvlText w:val="(%2)"/>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2"/>
    </w:lvl>
  </w:abstractNum>
  <w:abstractNum w:abstractNumId="47">
    <w:nsid w:val="1BA026FA"/>
    <w:multiLevelType w:val="hybridMultilevel"/>
    <w:lvl w:ilvl="0">
      <w:lvlJc w:val="left"/>
      <w:lvlText w:val="%1."/>
      <w:numFmt w:val="decimal"/>
      <w:start w:val="11"/>
    </w:lvl>
    <w:lvl w:ilvl="1">
      <w:lvlJc w:val="left"/>
      <w:lvlText w:val="(%2)"/>
      <w:numFmt w:val="lowerLetter"/>
      <w:start w:val="1"/>
    </w:lvl>
  </w:abstractNum>
  <w:abstractNum w:abstractNumId="48">
    <w:nsid w:val="79A1DEAA"/>
    <w:multiLevelType w:val="hybridMultilevel"/>
    <w:lvl w:ilvl="0">
      <w:lvlJc w:val="left"/>
      <w:lvlText w:val="%1"/>
      <w:numFmt w:val="decimal"/>
      <w:start w:val="1"/>
    </w:lvl>
    <w:lvl w:ilvl="1">
      <w:lvlJc w:val="left"/>
      <w:lvlText w:val="(%2)"/>
      <w:numFmt w:val="lowerLetter"/>
      <w:start w:val="2"/>
    </w:lvl>
  </w:abstractNum>
  <w:abstractNum w:abstractNumId="49">
    <w:nsid w:val="75C6C33A"/>
    <w:multiLevelType w:val="hybridMultilevel"/>
    <w:lvl w:ilvl="0">
      <w:lvlJc w:val="left"/>
      <w:lvlText w:val="%1."/>
      <w:numFmt w:val="decimal"/>
      <w:start w:val="12"/>
    </w:lvl>
    <w:lvl w:ilvl="1">
      <w:lvlJc w:val="left"/>
      <w:lvlText w:val="%2"/>
      <w:numFmt w:val="lowerLetter"/>
      <w:start w:val="1"/>
    </w:lvl>
  </w:abstractNum>
  <w:abstractNum w:abstractNumId="50">
    <w:nsid w:val="12E685FB"/>
    <w:multiLevelType w:val="hybridMultilevel"/>
    <w:lvl w:ilvl="0">
      <w:lvlJc w:val="left"/>
      <w:lvlText w:val="%1."/>
      <w:numFmt w:val="decimal"/>
      <w:start w:val="13"/>
    </w:lvl>
  </w:abstractNum>
  <w:abstractNum w:abstractNumId="51">
    <w:nsid w:val="70C6A529"/>
    <w:multiLevelType w:val="hybridMultilevel"/>
    <w:lvl w:ilvl="0">
      <w:lvlJc w:val="left"/>
      <w:lvlText w:val="%1."/>
      <w:numFmt w:val="decimal"/>
      <w:start w:val="19"/>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2019-12-15T08:07:53Z</dcterms:created>
  <dcterms:modified xsi:type="dcterms:W3CDTF">2019-12-15T08:07:53Z</dcterms:modified>
</cp:coreProperties>
</file>