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171450</wp:posOffset>
            </wp:positionV>
            <wp:extent cx="2891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38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59690</wp:posOffset>
            </wp:positionV>
            <wp:extent cx="2891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November 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81280</wp:posOffset>
            </wp:positionV>
            <wp:extent cx="2891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WYNN RESORTS, LIMITED</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73"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248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7"/>
              </w:rPr>
              <w:t>Nevada</w:t>
            </w:r>
          </w:p>
        </w:tc>
        <w:tc>
          <w:tcPr>
            <w:tcW w:w="3720" w:type="dxa"/>
            <w:vAlign w:val="bottom"/>
            <w:gridSpan w:val="3"/>
          </w:tcPr>
          <w:p>
            <w:pPr>
              <w:ind w:left="1780"/>
              <w:spacing w:after="0"/>
              <w:rPr>
                <w:sz w:val="20"/>
                <w:szCs w:val="20"/>
                <w:color w:val="auto"/>
              </w:rPr>
            </w:pPr>
            <w:r>
              <w:rPr>
                <w:rFonts w:ascii="Arial" w:cs="Arial" w:eastAsia="Arial" w:hAnsi="Arial"/>
                <w:sz w:val="18"/>
                <w:szCs w:val="18"/>
                <w:b w:val="1"/>
                <w:bCs w:val="1"/>
                <w:color w:val="auto"/>
              </w:rPr>
              <w:t>000-50028</w:t>
            </w:r>
          </w:p>
        </w:tc>
        <w:tc>
          <w:tcPr>
            <w:tcW w:w="326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46-0484987</w:t>
            </w:r>
          </w:p>
        </w:tc>
        <w:tc>
          <w:tcPr>
            <w:tcW w:w="920" w:type="dxa"/>
            <w:vAlign w:val="bottom"/>
          </w:tcPr>
          <w:p>
            <w:pPr>
              <w:spacing w:after="0"/>
              <w:rPr>
                <w:sz w:val="19"/>
                <w:szCs w:val="19"/>
                <w:color w:val="auto"/>
              </w:rPr>
            </w:pPr>
          </w:p>
        </w:tc>
      </w:tr>
      <w:tr>
        <w:trPr>
          <w:trHeight w:val="145"/>
        </w:trPr>
        <w:tc>
          <w:tcPr>
            <w:tcW w:w="860" w:type="dxa"/>
            <w:vAlign w:val="bottom"/>
          </w:tcPr>
          <w:p>
            <w:pPr>
              <w:spacing w:after="0"/>
              <w:rPr>
                <w:sz w:val="12"/>
                <w:szCs w:val="12"/>
                <w:color w:val="auto"/>
              </w:rPr>
            </w:pPr>
          </w:p>
        </w:tc>
        <w:tc>
          <w:tcPr>
            <w:tcW w:w="2480" w:type="dxa"/>
            <w:vAlign w:val="bottom"/>
            <w:gridSpan w:val="2"/>
          </w:tcPr>
          <w:p>
            <w:pPr>
              <w:jc w:val="center"/>
              <w:ind w:right="600"/>
              <w:spacing w:after="0" w:line="145" w:lineRule="exact"/>
              <w:rPr>
                <w:sz w:val="20"/>
                <w:szCs w:val="20"/>
                <w:color w:val="auto"/>
              </w:rPr>
            </w:pPr>
            <w:r>
              <w:rPr>
                <w:rFonts w:ascii="Arial" w:cs="Arial" w:eastAsia="Arial" w:hAnsi="Arial"/>
                <w:sz w:val="14"/>
                <w:szCs w:val="14"/>
                <w:b w:val="1"/>
                <w:bCs w:val="1"/>
                <w:color w:val="auto"/>
                <w:w w:val="91"/>
              </w:rPr>
              <w:t>(State or other jurisdiction</w:t>
            </w:r>
          </w:p>
        </w:tc>
        <w:tc>
          <w:tcPr>
            <w:tcW w:w="520" w:type="dxa"/>
            <w:vAlign w:val="bottom"/>
          </w:tcPr>
          <w:p>
            <w:pPr>
              <w:spacing w:after="0"/>
              <w:rPr>
                <w:sz w:val="12"/>
                <w:szCs w:val="12"/>
                <w:color w:val="auto"/>
              </w:rPr>
            </w:pPr>
          </w:p>
        </w:tc>
        <w:tc>
          <w:tcPr>
            <w:tcW w:w="3200" w:type="dxa"/>
            <w:vAlign w:val="bottom"/>
            <w:gridSpan w:val="2"/>
          </w:tcPr>
          <w:p>
            <w:pPr>
              <w:ind w:left="1260"/>
              <w:spacing w:after="0" w:line="145" w:lineRule="exact"/>
              <w:rPr>
                <w:sz w:val="20"/>
                <w:szCs w:val="20"/>
                <w:color w:val="auto"/>
              </w:rPr>
            </w:pPr>
            <w:r>
              <w:rPr>
                <w:rFonts w:ascii="Arial" w:cs="Arial" w:eastAsia="Arial" w:hAnsi="Arial"/>
                <w:sz w:val="14"/>
                <w:szCs w:val="14"/>
                <w:b w:val="1"/>
                <w:bCs w:val="1"/>
                <w:color w:val="auto"/>
              </w:rPr>
              <w:t>(Commission</w:t>
            </w:r>
          </w:p>
        </w:tc>
        <w:tc>
          <w:tcPr>
            <w:tcW w:w="840" w:type="dxa"/>
            <w:vAlign w:val="bottom"/>
          </w:tcPr>
          <w:p>
            <w:pPr>
              <w:spacing w:after="0"/>
              <w:rPr>
                <w:sz w:val="12"/>
                <w:szCs w:val="12"/>
                <w:color w:val="auto"/>
              </w:rPr>
            </w:pPr>
          </w:p>
        </w:tc>
        <w:tc>
          <w:tcPr>
            <w:tcW w:w="3340" w:type="dxa"/>
            <w:vAlign w:val="bottom"/>
            <w:gridSpan w:val="2"/>
          </w:tcPr>
          <w:p>
            <w:pPr>
              <w:jc w:val="center"/>
              <w:ind w:right="480"/>
              <w:spacing w:after="0" w:line="145" w:lineRule="exact"/>
              <w:rPr>
                <w:sz w:val="20"/>
                <w:szCs w:val="20"/>
                <w:color w:val="auto"/>
              </w:rPr>
            </w:pPr>
            <w:r>
              <w:rPr>
                <w:rFonts w:ascii="Arial" w:cs="Arial" w:eastAsia="Arial" w:hAnsi="Arial"/>
                <w:sz w:val="14"/>
                <w:szCs w:val="14"/>
                <w:b w:val="1"/>
                <w:bCs w:val="1"/>
                <w:color w:val="auto"/>
                <w:w w:val="94"/>
              </w:rPr>
              <w:t>(I.R.S. Employer</w:t>
            </w:r>
          </w:p>
        </w:tc>
      </w:tr>
      <w:tr>
        <w:trPr>
          <w:trHeight w:val="183"/>
        </w:trPr>
        <w:tc>
          <w:tcPr>
            <w:tcW w:w="860" w:type="dxa"/>
            <w:vAlign w:val="bottom"/>
          </w:tcPr>
          <w:p>
            <w:pPr>
              <w:spacing w:after="0"/>
              <w:rPr>
                <w:sz w:val="15"/>
                <w:szCs w:val="15"/>
                <w:color w:val="auto"/>
              </w:rPr>
            </w:pPr>
          </w:p>
        </w:tc>
        <w:tc>
          <w:tcPr>
            <w:tcW w:w="24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of incorporation)</w:t>
            </w:r>
          </w:p>
        </w:tc>
        <w:tc>
          <w:tcPr>
            <w:tcW w:w="520" w:type="dxa"/>
            <w:vAlign w:val="bottom"/>
          </w:tcPr>
          <w:p>
            <w:pPr>
              <w:spacing w:after="0"/>
              <w:rPr>
                <w:sz w:val="15"/>
                <w:szCs w:val="15"/>
                <w:color w:val="auto"/>
              </w:rPr>
            </w:pPr>
          </w:p>
        </w:tc>
        <w:tc>
          <w:tcPr>
            <w:tcW w:w="3200" w:type="dxa"/>
            <w:vAlign w:val="bottom"/>
            <w:gridSpan w:val="2"/>
          </w:tcPr>
          <w:p>
            <w:pPr>
              <w:ind w:left="1240"/>
              <w:spacing w:after="0"/>
              <w:rPr>
                <w:sz w:val="20"/>
                <w:szCs w:val="20"/>
                <w:color w:val="auto"/>
              </w:rPr>
            </w:pPr>
            <w:r>
              <w:rPr>
                <w:rFonts w:ascii="Arial" w:cs="Arial" w:eastAsia="Arial" w:hAnsi="Arial"/>
                <w:sz w:val="14"/>
                <w:szCs w:val="14"/>
                <w:b w:val="1"/>
                <w:bCs w:val="1"/>
                <w:color w:val="auto"/>
              </w:rPr>
              <w:t>File Number)</w:t>
            </w:r>
          </w:p>
        </w:tc>
        <w:tc>
          <w:tcPr>
            <w:tcW w:w="840" w:type="dxa"/>
            <w:vAlign w:val="bottom"/>
          </w:tcPr>
          <w:p>
            <w:pPr>
              <w:spacing w:after="0"/>
              <w:rPr>
                <w:sz w:val="15"/>
                <w:szCs w:val="15"/>
                <w:color w:val="auto"/>
              </w:rPr>
            </w:pPr>
          </w:p>
        </w:tc>
        <w:tc>
          <w:tcPr>
            <w:tcW w:w="3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Identification No.)</w:t>
            </w:r>
          </w:p>
        </w:tc>
      </w:tr>
      <w:tr>
        <w:trPr>
          <w:trHeight w:val="229"/>
        </w:trPr>
        <w:tc>
          <w:tcPr>
            <w:tcW w:w="3340" w:type="dxa"/>
            <w:vAlign w:val="bottom"/>
            <w:gridSpan w:val="3"/>
          </w:tcPr>
          <w:p>
            <w:pPr>
              <w:jc w:val="center"/>
              <w:ind w:left="177"/>
              <w:spacing w:after="0"/>
              <w:rPr>
                <w:sz w:val="20"/>
                <w:szCs w:val="20"/>
                <w:color w:val="auto"/>
              </w:rPr>
            </w:pPr>
            <w:r>
              <w:rPr>
                <w:rFonts w:ascii="Arial" w:cs="Arial" w:eastAsia="Arial" w:hAnsi="Arial"/>
                <w:sz w:val="18"/>
                <w:szCs w:val="18"/>
                <w:b w:val="1"/>
                <w:bCs w:val="1"/>
                <w:color w:val="auto"/>
                <w:w w:val="86"/>
              </w:rPr>
              <w:t>3131 Las Vegas Boulevard South</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860" w:type="dxa"/>
            <w:vAlign w:val="bottom"/>
          </w:tcPr>
          <w:p>
            <w:pPr>
              <w:spacing w:after="0"/>
              <w:rPr>
                <w:sz w:val="19"/>
                <w:szCs w:val="19"/>
                <w:color w:val="auto"/>
              </w:rPr>
            </w:pPr>
          </w:p>
        </w:tc>
        <w:tc>
          <w:tcPr>
            <w:tcW w:w="2480" w:type="dxa"/>
            <w:vAlign w:val="bottom"/>
            <w:gridSpan w:val="2"/>
          </w:tcPr>
          <w:p>
            <w:pPr>
              <w:ind w:left="120"/>
              <w:spacing w:after="0"/>
              <w:rPr>
                <w:sz w:val="20"/>
                <w:szCs w:val="20"/>
                <w:color w:val="auto"/>
              </w:rPr>
            </w:pPr>
            <w:r>
              <w:rPr>
                <w:rFonts w:ascii="Arial" w:cs="Arial" w:eastAsia="Arial" w:hAnsi="Arial"/>
                <w:sz w:val="18"/>
                <w:szCs w:val="18"/>
                <w:b w:val="1"/>
                <w:bCs w:val="1"/>
                <w:color w:val="auto"/>
              </w:rPr>
              <w:t>Las Vegas, Nevada</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26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89109</w:t>
            </w:r>
          </w:p>
        </w:tc>
        <w:tc>
          <w:tcPr>
            <w:tcW w:w="920" w:type="dxa"/>
            <w:vAlign w:val="bottom"/>
          </w:tcPr>
          <w:p>
            <w:pPr>
              <w:spacing w:after="0"/>
              <w:rPr>
                <w:sz w:val="19"/>
                <w:szCs w:val="19"/>
                <w:color w:val="auto"/>
              </w:rPr>
            </w:pPr>
          </w:p>
        </w:tc>
      </w:tr>
      <w:tr>
        <w:trPr>
          <w:trHeight w:val="183"/>
        </w:trPr>
        <w:tc>
          <w:tcPr>
            <w:tcW w:w="3340" w:type="dxa"/>
            <w:vAlign w:val="bottom"/>
            <w:gridSpan w:val="3"/>
          </w:tcPr>
          <w:p>
            <w:pPr>
              <w:jc w:val="center"/>
              <w:ind w:left="177"/>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(Zip Code)</w:t>
            </w:r>
          </w:p>
        </w:tc>
      </w:tr>
      <w:tr>
        <w:trPr>
          <w:trHeight w:val="672"/>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20" w:type="dxa"/>
            <w:vAlign w:val="bottom"/>
            <w:gridSpan w:val="3"/>
          </w:tcPr>
          <w:p>
            <w:pPr>
              <w:jc w:val="center"/>
              <w:ind w:left="778"/>
              <w:spacing w:after="0"/>
              <w:rPr>
                <w:sz w:val="20"/>
                <w:szCs w:val="20"/>
                <w:color w:val="auto"/>
              </w:rPr>
            </w:pPr>
            <w:r>
              <w:rPr>
                <w:rFonts w:ascii="Arial" w:cs="Arial" w:eastAsia="Arial" w:hAnsi="Arial"/>
                <w:sz w:val="18"/>
                <w:szCs w:val="18"/>
                <w:b w:val="1"/>
                <w:bCs w:val="1"/>
                <w:color w:val="auto"/>
                <w:w w:val="89"/>
              </w:rPr>
              <w:t>(702) 770-7555</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3"/>
        </w:trPr>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380" w:type="dxa"/>
            <w:vAlign w:val="bottom"/>
            <w:gridSpan w:val="5"/>
          </w:tcPr>
          <w:p>
            <w:pPr>
              <w:jc w:val="center"/>
              <w:ind w:right="3860"/>
              <w:spacing w:after="0"/>
              <w:rPr>
                <w:sz w:val="20"/>
                <w:szCs w:val="20"/>
                <w:color w:val="auto"/>
              </w:rPr>
            </w:pPr>
            <w:r>
              <w:rPr>
                <w:rFonts w:ascii="Arial" w:cs="Arial" w:eastAsia="Arial" w:hAnsi="Arial"/>
                <w:sz w:val="14"/>
                <w:szCs w:val="14"/>
                <w:b w:val="1"/>
                <w:bCs w:val="1"/>
                <w:color w:val="auto"/>
                <w:w w:val="89"/>
              </w:rPr>
              <w:t>(Registrant’s telephone number, including area code)</w:t>
            </w:r>
          </w:p>
        </w:tc>
      </w:tr>
      <w:tr>
        <w:trPr>
          <w:trHeight w:val="409"/>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0" w:type="dxa"/>
            <w:vAlign w:val="bottom"/>
            <w:gridSpan w:val="2"/>
          </w:tcPr>
          <w:p>
            <w:pPr>
              <w:jc w:val="center"/>
              <w:ind w:left="241"/>
              <w:spacing w:after="0"/>
              <w:rPr>
                <w:sz w:val="20"/>
                <w:szCs w:val="20"/>
                <w:color w:val="auto"/>
              </w:rPr>
            </w:pPr>
            <w:r>
              <w:rPr>
                <w:rFonts w:ascii="Arial" w:cs="Arial" w:eastAsia="Arial" w:hAnsi="Arial"/>
                <w:sz w:val="18"/>
                <w:szCs w:val="18"/>
                <w:b w:val="1"/>
                <w:bCs w:val="1"/>
                <w:color w:val="auto"/>
                <w:w w:val="88"/>
              </w:rPr>
              <w:t>Not Applicable</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3"/>
        </w:trPr>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900" w:type="dxa"/>
            <w:vAlign w:val="bottom"/>
            <w:gridSpan w:val="6"/>
          </w:tcPr>
          <w:p>
            <w:pPr>
              <w:jc w:val="center"/>
              <w:ind w:right="3340"/>
              <w:spacing w:after="0"/>
              <w:rPr>
                <w:sz w:val="20"/>
                <w:szCs w:val="20"/>
                <w:color w:val="auto"/>
              </w:rPr>
            </w:pPr>
            <w:r>
              <w:rPr>
                <w:rFonts w:ascii="Arial" w:cs="Arial" w:eastAsia="Arial" w:hAnsi="Arial"/>
                <w:sz w:val="14"/>
                <w:szCs w:val="14"/>
                <w:b w:val="1"/>
                <w:bCs w:val="1"/>
                <w:color w:val="auto"/>
                <w:w w:val="90"/>
              </w:rPr>
              <w:t>(Former name or former address, if changed since last report)</w:t>
            </w:r>
          </w:p>
        </w:tc>
      </w:tr>
      <w:tr>
        <w:trPr>
          <w:trHeight w:val="37"/>
        </w:trPr>
        <w:tc>
          <w:tcPr>
            <w:tcW w:w="8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558"/>
        </w:trPr>
        <w:tc>
          <w:tcPr>
            <w:tcW w:w="7060" w:type="dxa"/>
            <w:vAlign w:val="bottom"/>
            <w:gridSpan w:val="6"/>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1"/>
        </w:trPr>
        <w:tc>
          <w:tcPr>
            <w:tcW w:w="8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5"/>
              </w:rPr>
              <w:t>Title of each class</w:t>
            </w: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0" w:type="dxa"/>
            <w:vAlign w:val="bottom"/>
            <w:gridSpan w:val="2"/>
          </w:tcPr>
          <w:p>
            <w:pPr>
              <w:jc w:val="center"/>
              <w:ind w:right="1800"/>
              <w:spacing w:after="0"/>
              <w:rPr>
                <w:sz w:val="20"/>
                <w:szCs w:val="20"/>
                <w:color w:val="auto"/>
              </w:rPr>
            </w:pPr>
            <w:r>
              <w:rPr>
                <w:rFonts w:ascii="Arial" w:cs="Arial" w:eastAsia="Arial" w:hAnsi="Arial"/>
                <w:sz w:val="18"/>
                <w:szCs w:val="18"/>
                <w:b w:val="1"/>
                <w:bCs w:val="1"/>
                <w:color w:val="auto"/>
                <w:w w:val="88"/>
              </w:rPr>
              <w:t>Trading Symbol(s)</w:t>
            </w:r>
          </w:p>
        </w:tc>
        <w:tc>
          <w:tcPr>
            <w:tcW w:w="418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85"/>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60" w:type="dxa"/>
            <w:vAlign w:val="bottom"/>
            <w:gridSpan w:val="2"/>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3"/>
        </w:trPr>
        <w:tc>
          <w:tcPr>
            <w:tcW w:w="3340" w:type="dxa"/>
            <w:vAlign w:val="bottom"/>
            <w:gridSpan w:val="3"/>
          </w:tcPr>
          <w:p>
            <w:pPr>
              <w:jc w:val="center"/>
              <w:ind w:right="300"/>
              <w:spacing w:after="0"/>
              <w:rPr>
                <w:sz w:val="20"/>
                <w:szCs w:val="20"/>
                <w:color w:val="auto"/>
              </w:rPr>
            </w:pPr>
            <w:r>
              <w:rPr>
                <w:rFonts w:ascii="Arial" w:cs="Arial" w:eastAsia="Arial" w:hAnsi="Arial"/>
                <w:sz w:val="18"/>
                <w:szCs w:val="18"/>
                <w:color w:val="auto"/>
                <w:w w:val="88"/>
              </w:rPr>
              <w:t>Common stock, par value $0.01</w:t>
            </w:r>
          </w:p>
        </w:tc>
        <w:tc>
          <w:tcPr>
            <w:tcW w:w="520" w:type="dxa"/>
            <w:vAlign w:val="bottom"/>
          </w:tcPr>
          <w:p>
            <w:pPr>
              <w:spacing w:after="0"/>
              <w:rPr>
                <w:sz w:val="21"/>
                <w:szCs w:val="21"/>
                <w:color w:val="auto"/>
              </w:rPr>
            </w:pPr>
          </w:p>
        </w:tc>
        <w:tc>
          <w:tcPr>
            <w:tcW w:w="3200" w:type="dxa"/>
            <w:vAlign w:val="bottom"/>
            <w:gridSpan w:val="2"/>
          </w:tcPr>
          <w:p>
            <w:pPr>
              <w:jc w:val="center"/>
              <w:ind w:right="1780"/>
              <w:spacing w:after="0"/>
              <w:rPr>
                <w:sz w:val="20"/>
                <w:szCs w:val="20"/>
                <w:color w:val="auto"/>
              </w:rPr>
            </w:pPr>
            <w:r>
              <w:rPr>
                <w:rFonts w:ascii="Arial" w:cs="Arial" w:eastAsia="Arial" w:hAnsi="Arial"/>
                <w:sz w:val="18"/>
                <w:szCs w:val="18"/>
                <w:color w:val="auto"/>
                <w:w w:val="98"/>
              </w:rPr>
              <w:t>WYNN</w:t>
            </w:r>
          </w:p>
        </w:tc>
        <w:tc>
          <w:tcPr>
            <w:tcW w:w="4180" w:type="dxa"/>
            <w:vAlign w:val="bottom"/>
            <w:gridSpan w:val="3"/>
          </w:tcPr>
          <w:p>
            <w:pPr>
              <w:jc w:val="center"/>
              <w:ind w:right="940"/>
              <w:spacing w:after="0"/>
              <w:rPr>
                <w:sz w:val="20"/>
                <w:szCs w:val="20"/>
                <w:color w:val="auto"/>
              </w:rPr>
            </w:pPr>
            <w:r>
              <w:rPr>
                <w:rFonts w:ascii="Arial" w:cs="Arial" w:eastAsia="Arial" w:hAnsi="Arial"/>
                <w:sz w:val="18"/>
                <w:szCs w:val="18"/>
                <w:color w:val="auto"/>
                <w:w w:val="88"/>
              </w:rPr>
              <w:t>Nasdaq Global Select Market</w:t>
            </w:r>
          </w:p>
        </w:tc>
      </w:tr>
      <w:tr>
        <w:trPr>
          <w:trHeight w:val="204"/>
        </w:trPr>
        <w:tc>
          <w:tcPr>
            <w:tcW w:w="8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bl>
    <w:p>
      <w:pPr>
        <w:spacing w:after="0" w:line="330"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6"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6"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4" w:lineRule="exact"/>
        <w:rPr>
          <w:sz w:val="24"/>
          <w:szCs w:val="24"/>
          <w:color w:val="auto"/>
        </w:rPr>
      </w:pPr>
    </w:p>
    <w:p>
      <w:pPr>
        <w:spacing w:after="0" w:line="24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2" w:lineRule="exact"/>
        <w:rPr>
          <w:sz w:val="24"/>
          <w:szCs w:val="24"/>
          <w:color w:val="auto"/>
        </w:rPr>
      </w:pPr>
    </w:p>
    <w:p>
      <w:pPr>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669290</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1" w:name="page2"/>
    <w:bookmarkEnd w:id="1"/>
    <w:p>
      <w:pPr>
        <w:ind w:left="20"/>
        <w:spacing w:after="0"/>
        <w:tabs>
          <w:tab w:leader="none" w:pos="13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207" w:lineRule="exact"/>
        <w:rPr>
          <w:sz w:val="20"/>
          <w:szCs w:val="20"/>
          <w:color w:val="auto"/>
        </w:rPr>
      </w:pPr>
    </w:p>
    <w:p>
      <w:pPr>
        <w:jc w:val="both"/>
        <w:ind w:firstLine="434"/>
        <w:spacing w:after="0" w:line="316" w:lineRule="auto"/>
        <w:rPr>
          <w:sz w:val="20"/>
          <w:szCs w:val="20"/>
          <w:color w:val="auto"/>
        </w:rPr>
      </w:pPr>
      <w:r>
        <w:rPr>
          <w:rFonts w:ascii="Arial" w:cs="Arial" w:eastAsia="Arial" w:hAnsi="Arial"/>
          <w:sz w:val="15"/>
          <w:szCs w:val="15"/>
          <w:color w:val="auto"/>
        </w:rPr>
        <w:t>On November 9, 2022, Wynn Resorts, Limited issued a press release announcing its results of operations for the quarter ended September 30, 2022. The press release is furnished herewith as Exhibit 99.1. The information furnished under Items 2.02, 7.01 and 9.01 of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4"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880" w:type="dxa"/>
            <w:vAlign w:val="bottom"/>
            <w:gridSpan w:val="3"/>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303"/>
        </w:trPr>
        <w:tc>
          <w:tcPr>
            <w:tcW w:w="20" w:type="dxa"/>
            <w:vAlign w:val="bottom"/>
          </w:tcPr>
          <w:p>
            <w:pPr>
              <w:spacing w:after="0"/>
              <w:rPr>
                <w:sz w:val="24"/>
                <w:szCs w:val="24"/>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color w:val="auto"/>
              </w:rPr>
              <w:t>(d) Exhibits.</w:t>
            </w:r>
          </w:p>
        </w:tc>
        <w:tc>
          <w:tcPr>
            <w:tcW w:w="6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5220" w:type="dxa"/>
            <w:vAlign w:val="bottom"/>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88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269"/>
        </w:trPr>
        <w:tc>
          <w:tcPr>
            <w:tcW w:w="20" w:type="dxa"/>
            <w:vAlign w:val="bottom"/>
          </w:tcPr>
          <w:p>
            <w:pPr>
              <w:spacing w:after="0"/>
              <w:rPr>
                <w:sz w:val="23"/>
                <w:szCs w:val="23"/>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660" w:type="dxa"/>
            <w:vAlign w:val="bottom"/>
          </w:tcPr>
          <w:p>
            <w:pPr>
              <w:spacing w:after="0"/>
              <w:rPr>
                <w:sz w:val="23"/>
                <w:szCs w:val="23"/>
                <w:color w:val="auto"/>
              </w:rPr>
            </w:pPr>
          </w:p>
        </w:tc>
        <w:tc>
          <w:tcPr>
            <w:tcW w:w="9880" w:type="dxa"/>
            <w:vAlign w:val="bottom"/>
            <w:gridSpan w:val="3"/>
          </w:tcPr>
          <w:p>
            <w:pPr>
              <w:spacing w:after="0"/>
              <w:rPr>
                <w:sz w:val="20"/>
                <w:szCs w:val="20"/>
                <w:color w:val="auto"/>
              </w:rPr>
            </w:pPr>
            <w:r>
              <w:rPr>
                <w:rFonts w:ascii="Arial" w:cs="Arial" w:eastAsia="Arial" w:hAnsi="Arial"/>
                <w:sz w:val="18"/>
                <w:szCs w:val="18"/>
                <w:color w:val="0000FF"/>
              </w:rPr>
              <w:t>Press release, dated November 9, 2022, of Wynn Resorts, Limited.</w:t>
            </w:r>
          </w:p>
        </w:tc>
      </w:tr>
      <w:tr>
        <w:trPr>
          <w:trHeight w:val="20"/>
        </w:trPr>
        <w:tc>
          <w:tcPr>
            <w:tcW w:w="7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60" w:type="dxa"/>
            <w:vAlign w:val="bottom"/>
            <w:gridSpan w:val="2"/>
            <w:shd w:val="clear" w:color="auto" w:fill="0000FF"/>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243"/>
        </w:trPr>
        <w:tc>
          <w:tcPr>
            <w:tcW w:w="70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rPr>
                <w:sz w:val="21"/>
                <w:szCs w:val="21"/>
                <w:color w:val="auto"/>
              </w:rPr>
            </w:pPr>
          </w:p>
        </w:tc>
        <w:tc>
          <w:tcPr>
            <w:tcW w:w="9880" w:type="dxa"/>
            <w:vAlign w:val="bottom"/>
            <w:gridSpan w:val="3"/>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191"/>
        </w:trPr>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firstLine="43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7640"/>
        <w:spacing w:after="0"/>
        <w:rPr>
          <w:sz w:val="20"/>
          <w:szCs w:val="20"/>
          <w:color w:val="auto"/>
        </w:rPr>
      </w:pPr>
      <w:r>
        <w:rPr>
          <w:rFonts w:ascii="Arial" w:cs="Arial" w:eastAsia="Arial" w:hAnsi="Arial"/>
          <w:sz w:val="18"/>
          <w:szCs w:val="18"/>
          <w:b w:val="1"/>
          <w:bCs w:val="1"/>
          <w:color w:val="auto"/>
        </w:rPr>
        <w:t>WYNN RESORTS, LIMITED</w:t>
      </w:r>
    </w:p>
    <w:p>
      <w:pPr>
        <w:sectPr>
          <w:pgSz w:w="11900" w:h="16838" w:orient="portrait"/>
          <w:cols w:equalWidth="0" w:num="1">
            <w:col w:w="11240"/>
          </w:cols>
          <w:pgMar w:left="320" w:top="871" w:right="339" w:bottom="1440" w:gutter="0" w:footer="0" w:header="0"/>
        </w:sectPr>
      </w:pPr>
    </w:p>
    <w:p>
      <w:pPr>
        <w:spacing w:after="0" w:line="7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Dated: November 9, 2022</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tabs>
          <w:tab w:leader="none" w:pos="7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31750</wp:posOffset>
            </wp:positionV>
            <wp:extent cx="2434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6180" w:space="720"/>
            <w:col w:w="4340"/>
          </w:cols>
          <w:pgMar w:left="320" w:top="871" w:right="339" w:bottom="1440" w:gutter="0" w:footer="0" w:header="0"/>
          <w:type w:val="continuous"/>
        </w:sectPr>
      </w:pPr>
    </w:p>
    <w:p>
      <w:pPr>
        <w:ind w:left="7020"/>
        <w:spacing w:after="0"/>
        <w:rPr>
          <w:sz w:val="20"/>
          <w:szCs w:val="20"/>
          <w:color w:val="auto"/>
        </w:rPr>
      </w:pPr>
      <w:r>
        <w:rPr>
          <w:rFonts w:ascii="Arial" w:cs="Arial" w:eastAsia="Arial" w:hAnsi="Arial"/>
          <w:sz w:val="18"/>
          <w:szCs w:val="18"/>
          <w:color w:val="auto"/>
        </w:rPr>
        <w:t>Julie Cameron-Doe</w:t>
      </w:r>
    </w:p>
    <w:p>
      <w:pPr>
        <w:spacing w:after="0" w:line="17"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Chief Financial Officer</w:t>
      </w:r>
    </w:p>
    <w:p>
      <w:pPr>
        <w:spacing w:after="0" w:line="17" w:lineRule="exact"/>
        <w:rPr>
          <w:sz w:val="20"/>
          <w:szCs w:val="20"/>
          <w:color w:val="auto"/>
        </w:rPr>
      </w:pPr>
    </w:p>
    <w:p>
      <w:pPr>
        <w:ind w:left="702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1240"/>
          </w:cols>
          <w:pgMar w:left="320" w:top="871" w:right="339"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Reports Third Quarter 2022 Results</w:t>
      </w:r>
    </w:p>
    <w:p>
      <w:pPr>
        <w:spacing w:after="0" w:line="24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LAS VEGAS, November 9, 2022 — Wynn Resorts, Limited (NASDAQ: WYNN) (the "Company") today reported financial results for the third quarter ended September 30, 2022.</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Operating revenues were $889.7 million for the third quarter of 2022, a decrease of $104.9 million, from $994.6 million for the third quarter of 2021. Net loss attributable to Wynn Resorts, Limited was $142.9 million, or $1.27 per diluted share, for the third quarter of 2022, compared to net loss attributable to Wynn Resorts, Limited of $166.2 million, or $1.45 per diluted share, for the third quarter of 2021. Adjusted Property EBITDA</w:t>
      </w:r>
      <w:r>
        <w:rPr>
          <w:rFonts w:ascii="Arial" w:cs="Arial" w:eastAsia="Arial" w:hAnsi="Arial"/>
          <w:sz w:val="21"/>
          <w:szCs w:val="21"/>
          <w:color w:val="auto"/>
          <w:vertAlign w:val="superscript"/>
        </w:rPr>
        <w:t>(1)</w:t>
      </w:r>
      <w:r>
        <w:rPr>
          <w:rFonts w:ascii="Arial" w:cs="Arial" w:eastAsia="Arial" w:hAnsi="Arial"/>
          <w:sz w:val="17"/>
          <w:szCs w:val="17"/>
          <w:color w:val="auto"/>
        </w:rPr>
        <w:t xml:space="preserve"> was $173.5 million for the third quarter of 2022, compared to Adjusted Property EBITDA of $154.6 million for the third quarter of 2021.</w:t>
      </w:r>
    </w:p>
    <w:p>
      <w:pPr>
        <w:spacing w:after="0" w:line="2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teams at Wynn Las Vegas and Encore Boston Harbor delivered a new third-quarter record for Adjusted Property EBITDA at our combined North American properties. Their relentless focus on five-star hospitality, combined with our market-leading facilities, continue to elevate our properties above our peers as the destinations of choice for luxury guests in both Las Vegas and Massachusetts," said Craig Billings, CEO of Wynn Resorts, Limited. "In Macau, while COVID-related travel restrictions continued to negatively impact our results, we were pleased to experience encouraging pockets of demand during the recent October holiday period. We remain confident that the market will benefit from the return of visitation over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33"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Operating revenues were $889.7 million for the third quarter of 2022, a decrease of $104.9 million, from $994.6 million for the third quarter of 2021. For the third quarter of 2022, operating revenues increased $68.4 million and $19.6 million at our Las Vegas Operations and Encore Boston Harbor, respectively, and decreased $106.1 million and $90.3 million at Wynn Palace and Wynn Macau, respectively, from the third quarter of 2021.</w:t>
      </w:r>
    </w:p>
    <w:p>
      <w:pPr>
        <w:spacing w:after="0" w:line="18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Net loss attributable to Wynn Resorts, Limited was $142.9 million, or $1.27 per diluted share, for the third quarter of 2022, compared to net loss attributable to Wynn Resorts, Limited of $166.2 million, or $1.45 per diluted share, for the third quarter of 2021. Adjusted net loss attributable to Wynn Resorts, Limited</w:t>
      </w:r>
      <w:r>
        <w:rPr>
          <w:rFonts w:ascii="Arial" w:cs="Arial" w:eastAsia="Arial" w:hAnsi="Arial"/>
          <w:sz w:val="22"/>
          <w:szCs w:val="22"/>
          <w:color w:val="auto"/>
          <w:vertAlign w:val="superscript"/>
        </w:rPr>
        <w:t>(2)</w:t>
      </w:r>
      <w:r>
        <w:rPr>
          <w:rFonts w:ascii="Arial" w:cs="Arial" w:eastAsia="Arial" w:hAnsi="Arial"/>
          <w:sz w:val="18"/>
          <w:szCs w:val="18"/>
          <w:color w:val="auto"/>
        </w:rPr>
        <w:t xml:space="preserve"> was $135.4 million, or $1.20 per diluted share, for the third quarter of 2022, compared to adjusted net loss attributable to Wynn Resorts, Limited of $141.7 million, or $1.24 per diluted share, for the third quarter of 2021.</w:t>
      </w:r>
    </w:p>
    <w:p>
      <w:pPr>
        <w:spacing w:after="0" w:line="2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Adjusted Property EBITDA was $173.5 million for the third quarter of 2022, an increase of 12.3% compared to Adjusted Property EBITDA of $154.6 million for the third quarter of 2021. For the third quarter of 2022, Adjusted Property EBITDA increased $12.3 million and $85.8 million at our Las Vegas Operations and Wynn Interactive, respectively, and decreased $33.9 million, $41.9 million, and $3.4 million at Wynn Palace, Wynn Macau, and Encore Boston Harbor, respectively, from the third quarter of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Results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Macau Operations</w:t>
      </w:r>
    </w:p>
    <w:p>
      <w:pPr>
        <w:spacing w:after="0" w:line="2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casino operations at Wynn Palace and Wynn Macau were closed for a 12-day period in July 2022, in response to an outbreak of COVID-19 in Macau. The results of operations of our Macau Operations for the third quarter of 2022 continued to be negatively impacted by certain travel-related restrictions and conditions, including COVID-19 testing and other mitigation procedures, related to the COVID-19 pandemic.</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Palace</w:t>
      </w:r>
    </w:p>
    <w:p>
      <w:pPr>
        <w:spacing w:after="0" w:line="24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Operating revenues from Wynn Palace were $75.2 million for the third quarter of 2022, a decrease of $106.1 million from $181.3 million for the third quarter of 2021. Adjusted Property EBITDA from Wynn Palace was $(21.8) million for the third quarter of 2022, compared to $12.1 million for the third quarter of 2021. VIP table games win as a percentage of turnover was 3.27%, within the property's expected range of 3.1% to 3.4% and below the 4.45% experienced in the third quarter of 2021. Table games win percentage in mass market operations was 21.5%, below the 21.8% experienced in the third quarter of 2021.</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7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Wynn Macau</w:t>
      </w:r>
    </w:p>
    <w:p>
      <w:pPr>
        <w:spacing w:after="0" w:line="24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Operating revenues from Wynn Macau were $40.4 million for the third quarter of 2022, a decrease of $90.3 million from $130.7 million for the third quarter of 2021. Adjusted Property EBITDA from Wynn Macau was $(43.8) million for the third quarter of 2022, compared to $(1.9) million for the third quarter of 2021. VIP table games win as a percentage of turnover was 1.56%, below the property's expected range of 3.1% to 3.4% and below the 2.44% experienced in the third quarter of 2021. Table games win percentage in mass market operations was 13.3%, below the 19.7% experienced in the third quarter of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Las Vegas Operations</w:t>
      </w:r>
    </w:p>
    <w:p>
      <w:pPr>
        <w:spacing w:after="0" w:line="24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Operating revenues from our Las Vegas Operations were $544.4 million for the third quarter of 2022, an increase of $68.4 million from $476.0 million for the third quarter of 2021. Adjusted Property EBITDA from our Las Vegas Operations for the third quarter of 2022 was $195.8 million, compared to $183.4 million for the third quarter of 2021. Table games win percentage for the third quarter of 2022 was 20.7%, below the property's expected range of 22% to 26% and below the 21.7% experienced in the third quarter of 2021.</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Encore Boston Harbor</w:t>
      </w:r>
    </w:p>
    <w:p>
      <w:pPr>
        <w:spacing w:after="0" w:line="24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Operating revenues from Encore Boston Harbor were $211.8 million for the third quarter of 2022, an increase of $19.6 million from $192.2 million for the third quarter of 2021. Adjusted Property EBITDA from Encore Boston Harbor for the third quarter of 2022 was $61.1 million, compared to $64.6 million for the third quarter of 2021. Table games win percentage for the third quarter of 2022 was 21.1%, within the property's expected range of 18% to 22% and below the 21.4% experienced in the third quarter of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246"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Our cash and cash equivalents as of September 30, 2022 totaled $1.94 billion, comprised of approximately $997.1 million held by Wynn Macau, Limited ("WML") and subsidiaries, approximately $486.5 million held by Wynn Resorts Finance excluding WML and subsidiaries, and approximately $459.9 million at Corporate and other. As of September 30, 2022, we also had $835.6 million of available borrowing capacity under the Wynn Resorts Finance Revolver.</w:t>
      </w:r>
    </w:p>
    <w:p>
      <w:pPr>
        <w:spacing w:after="0" w:line="18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Total current and long-term debt outstanding at September 30, 2022 was $12.12 billion, comprised of $6.18 billion of Macau related debt, $3.14 billion of Wynn Las Vegas debt, $2.19 billion of Wynn Resorts Finance debt, and $613.3 million of debt held by the retail joint venture which we consolidate.</w:t>
      </w:r>
    </w:p>
    <w:p>
      <w:pPr>
        <w:spacing w:after="0" w:line="16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In the third quarter of 2022, the Company repurchased 491,503 shares of common stock at an average price of $58.95 per share, for an aggregate cost of $29.0 million, bringing our year-to-date total repurchases to 2,873,431 shares of common stock for an aggregate cost of $166.4 million.</w:t>
      </w:r>
    </w:p>
    <w:p>
      <w:pPr>
        <w:spacing w:after="0" w:line="16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first quarter of 2022, the Company entered into a sale-leaseback arrangement with respect to certain real estate assets related to Encore Boston Harbor. Upon closing of the related transactions, currently expected to take place in the fourth quarter of 2022 subject to regulatory approvals and customary closing conditions, we expect to receive cash consideration of approximately $1.7 billion and to concurrently enter into a lease agreement for the purpose of continuing to operate the Encore Boston Harbor property. We expect to use the cash proceeds from the sale of the real estate assets for general corporate purposes, which may include the repayment of certain debt obligations.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Other Information</w:t>
      </w:r>
    </w:p>
    <w:p>
      <w:pPr>
        <w:spacing w:after="0" w:line="2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will hold a conference call to discuss its results, including the results of Wynn Resorts Finance, LLC and Wynn Las Vegas, LLC, on November 9, 2022 at 1:30 p.m. PT (4:30 p.m. ET). Interested parties are invited to join the call by accessing a live audio webcast at http://www.wynnresorts.com.</w:t>
      </w:r>
    </w:p>
    <w:p>
      <w:pPr>
        <w:spacing w:after="0" w:line="21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or before November 14, 2022, the Company will make Wynn Resorts Finance, LLC and Wynn Las Vegas, LLC financial information for the quarter ended September 30, 2022 available to noteholders, prospective investors, broker-dealers and securities analysts. Please contact our investor relations office at 702-770-7555 or at investorrelations@wynnresorts.com, to obtain access to such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7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24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the COVID-19 pandemic and the continued impact of its consequences, extensive regulation of our business, pending or future legal proceedings, ability to maintain gaming licenses and concessions (including with respect to our ability to extend or renew our gaming concession in Macau, which expires on December 31, 2022, and the amendments to the Macau gaming law), dependence on key employees, general global political and economic conditions, adverse tourism trends, dependence on a limited number of resorts, competition in the casino/hotel and resort industries, uncertainties over the development and success of new gaming and resort properties, construction risks, cybersecurity risk and our leverage and debt service. Additional information concerning potential factors that could affect the Company's financial results is included in the Company's Annual Report on Form 10-K for the year ended December 31, 2021 and the Company's other periodic reports filed with the Securities and Exchange Commission. The Company is under no obligation to (and expressly disclaims any such obligation to) update or revise its forward-looking statements as a result of new information, future events or otherwise, except as required by law.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46" w:lineRule="exact"/>
        <w:rPr>
          <w:sz w:val="20"/>
          <w:szCs w:val="20"/>
          <w:color w:val="auto"/>
        </w:rPr>
      </w:pPr>
    </w:p>
    <w:p>
      <w:pPr>
        <w:jc w:val="both"/>
        <w:ind w:firstLine="5"/>
        <w:spacing w:after="0" w:line="277" w:lineRule="auto"/>
        <w:tabs>
          <w:tab w:leader="none" w:pos="264"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Property EBITDA" is net loss before interest, income taxes, depreciation and amortization, pre-opening expenses, property charges and other, management and license fees, corporate expenses and other (including intercompany golf course, meeting and convention, and water rights leases), stock-based compensation, change in derivatives fair value, loss on extinguishment of debt, and other non-operating income and expenses. We use Adjusted Property EBITDA to manage the operating results of our segments.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We also present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loss,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income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206" w:lineRule="exact"/>
        <w:rPr>
          <w:rFonts w:ascii="Arial" w:cs="Arial" w:eastAsia="Arial" w:hAnsi="Arial"/>
          <w:sz w:val="16"/>
          <w:szCs w:val="16"/>
          <w:color w:val="auto"/>
        </w:rPr>
      </w:pPr>
    </w:p>
    <w:p>
      <w:pPr>
        <w:jc w:val="both"/>
        <w:ind w:firstLine="5"/>
        <w:spacing w:after="0" w:line="281" w:lineRule="auto"/>
        <w:tabs>
          <w:tab w:leader="none" w:pos="257"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net loss attributable to Wynn Resorts, Limited" is net loss attributable to Wynn Resorts, Limited before pre-opening expenses, property charges and other, change in derivatives fair value, loss on extinguishment of debt, and foreign currency remeasurement and other, net of noncontrolling interests. Adjusted net loss attributable to Wynn Resorts, Limited and adjusted net loss attributable to Wynn Resorts, Limited per diluted share are presented as supplemental disclosures to financial measures in accordance with GAAP because management believes that these non-GAAP financial measures are widely used to measure the performance, and as a principal basis for valuation, of gaming companies. These measures are used by management and/or evaluated by some investors, in addition to net loss and loss per share computed in accordance with GAAP, as an additional basis for assessing period-to-period results of our business. Adjusted net loss attributable to Wynn Resorts, Limited and adjusted net loss attributable to Wynn Resorts, Limited per diluted share may be different from the calculation methods used by other companies and, therefore, comparability may be limited.</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has included schedules in the tables that accompany this release that reconcile (i) net loss attributable to Wynn Resorts, Limited to adjusted net loss attributable to Wynn Resorts, Limited, (ii) operating income (loss) to Adjusted Property EBITDA, and (iii) net loss attributable to Wynn Resorts, Limited to Adjusted Property EBITDA.</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7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22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48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189"/>
        </w:trPr>
        <w:tc>
          <w:tcPr>
            <w:tcW w:w="480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r>
      <w:tr>
        <w:trPr>
          <w:trHeight w:val="211"/>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3"/>
        </w:trPr>
        <w:tc>
          <w:tcPr>
            <w:tcW w:w="4800" w:type="dxa"/>
            <w:vAlign w:val="bottom"/>
          </w:tcPr>
          <w:p>
            <w:pPr>
              <w:ind w:left="340"/>
              <w:spacing w:after="0"/>
              <w:rPr>
                <w:sz w:val="20"/>
                <w:szCs w:val="20"/>
                <w:color w:val="auto"/>
              </w:rPr>
            </w:pPr>
            <w:r>
              <w:rPr>
                <w:rFonts w:ascii="Arial" w:cs="Arial" w:eastAsia="Arial" w:hAnsi="Arial"/>
                <w:sz w:val="18"/>
                <w:szCs w:val="18"/>
                <w:color w:val="auto"/>
              </w:rPr>
              <w:t>Casino</w:t>
            </w:r>
          </w:p>
        </w:tc>
        <w:tc>
          <w:tcPr>
            <w:tcW w:w="166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359,876</w:t>
            </w:r>
          </w:p>
        </w:tc>
        <w:tc>
          <w:tcPr>
            <w:tcW w:w="80" w:type="dxa"/>
            <w:vAlign w:val="bottom"/>
          </w:tcPr>
          <w:p>
            <w:pPr>
              <w:spacing w:after="0"/>
              <w:rPr>
                <w:sz w:val="19"/>
                <w:szCs w:val="19"/>
                <w:color w:val="auto"/>
              </w:rPr>
            </w:pP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496,264</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1,209,323</w:t>
            </w:r>
          </w:p>
        </w:tc>
        <w:tc>
          <w:tcPr>
            <w:tcW w:w="80" w:type="dxa"/>
            <w:vAlign w:val="bottom"/>
          </w:tcPr>
          <w:p>
            <w:pPr>
              <w:spacing w:after="0"/>
              <w:rPr>
                <w:sz w:val="19"/>
                <w:szCs w:val="19"/>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1,615,228</w:t>
            </w:r>
          </w:p>
        </w:tc>
      </w:tr>
      <w:tr>
        <w:trPr>
          <w:trHeight w:val="224"/>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197,212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568,886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387,772</w:t>
            </w:r>
          </w:p>
        </w:tc>
      </w:tr>
      <w:tr>
        <w:trPr>
          <w:trHeight w:val="223"/>
        </w:trPr>
        <w:tc>
          <w:tcPr>
            <w:tcW w:w="480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224,730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217,501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628,566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435,152</w:t>
            </w:r>
          </w:p>
        </w:tc>
      </w:tr>
      <w:tr>
        <w:trPr>
          <w:trHeight w:val="224"/>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 retail and other</w:t>
            </w:r>
          </w:p>
        </w:tc>
        <w:tc>
          <w:tcPr>
            <w:tcW w:w="13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107,904</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107,062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345,113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283,287</w:t>
            </w:r>
          </w:p>
        </w:tc>
      </w:tr>
      <w:tr>
        <w:trPr>
          <w:trHeight w:val="217"/>
        </w:trPr>
        <w:tc>
          <w:tcPr>
            <w:tcW w:w="4800" w:type="dxa"/>
            <w:vAlign w:val="bottom"/>
            <w:tcBorders>
              <w:bottom w:val="single" w:sz="8" w:color="CCEEFF"/>
            </w:tcBorders>
          </w:tcPr>
          <w:p>
            <w:pPr>
              <w:ind w:left="660"/>
              <w:spacing w:after="0"/>
              <w:rPr>
                <w:sz w:val="20"/>
                <w:szCs w:val="20"/>
                <w:color w:val="auto"/>
              </w:rPr>
            </w:pPr>
            <w:r>
              <w:rPr>
                <w:rFonts w:ascii="Arial" w:cs="Arial" w:eastAsia="Arial" w:hAnsi="Arial"/>
                <w:sz w:val="18"/>
                <w:szCs w:val="18"/>
                <w:b w:val="1"/>
                <w:bCs w:val="1"/>
                <w:color w:val="auto"/>
              </w:rPr>
              <w:t>Total operating revenues</w:t>
            </w:r>
          </w:p>
        </w:tc>
        <w:tc>
          <w:tcPr>
            <w:tcW w:w="13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889,722</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994,644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2,751,888</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2,721,439</w:t>
            </w:r>
          </w:p>
        </w:tc>
      </w:tr>
      <w:tr>
        <w:trPr>
          <w:trHeight w:val="204"/>
        </w:trPr>
        <w:tc>
          <w:tcPr>
            <w:tcW w:w="480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Operating expenses:</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3"/>
        </w:trPr>
        <w:tc>
          <w:tcPr>
            <w:tcW w:w="4800" w:type="dxa"/>
            <w:vAlign w:val="bottom"/>
          </w:tcPr>
          <w:p>
            <w:pPr>
              <w:ind w:left="340"/>
              <w:spacing w:after="0"/>
              <w:rPr>
                <w:sz w:val="20"/>
                <w:szCs w:val="20"/>
                <w:color w:val="auto"/>
              </w:rPr>
            </w:pPr>
            <w:r>
              <w:rPr>
                <w:rFonts w:ascii="Arial" w:cs="Arial" w:eastAsia="Arial" w:hAnsi="Arial"/>
                <w:sz w:val="18"/>
                <w:szCs w:val="18"/>
                <w:color w:val="auto"/>
              </w:rPr>
              <w:t>Casino</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239,901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315,316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808,044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1,048,897</w:t>
            </w:r>
          </w:p>
        </w:tc>
      </w:tr>
      <w:tr>
        <w:trPr>
          <w:trHeight w:val="224"/>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67,689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191,474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136,187</w:t>
            </w:r>
          </w:p>
        </w:tc>
      </w:tr>
      <w:tr>
        <w:trPr>
          <w:trHeight w:val="223"/>
        </w:trPr>
        <w:tc>
          <w:tcPr>
            <w:tcW w:w="480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185,388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163,655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517,515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354,709</w:t>
            </w:r>
          </w:p>
        </w:tc>
      </w:tr>
      <w:tr>
        <w:trPr>
          <w:trHeight w:val="224"/>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 retail and other</w:t>
            </w: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72,964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236,853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310,871</w:t>
            </w:r>
          </w:p>
        </w:tc>
      </w:tr>
      <w:tr>
        <w:trPr>
          <w:trHeight w:val="223"/>
        </w:trPr>
        <w:tc>
          <w:tcPr>
            <w:tcW w:w="48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201,275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197,350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598,433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574,669</w:t>
            </w:r>
          </w:p>
        </w:tc>
      </w:tr>
      <w:tr>
        <w:trPr>
          <w:trHeight w:val="224"/>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credit losses</w:t>
            </w: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7,461</w:t>
            </w:r>
          </w:p>
        </w:tc>
      </w:tr>
      <w:tr>
        <w:trPr>
          <w:trHeight w:val="223"/>
        </w:trPr>
        <w:tc>
          <w:tcPr>
            <w:tcW w:w="4800" w:type="dxa"/>
            <w:vAlign w:val="bottom"/>
          </w:tcPr>
          <w:p>
            <w:pPr>
              <w:ind w:left="340"/>
              <w:spacing w:after="0"/>
              <w:rPr>
                <w:sz w:val="20"/>
                <w:szCs w:val="20"/>
                <w:color w:val="auto"/>
              </w:rPr>
            </w:pPr>
            <w:r>
              <w:rPr>
                <w:rFonts w:ascii="Arial" w:cs="Arial" w:eastAsia="Arial" w:hAnsi="Arial"/>
                <w:sz w:val="18"/>
                <w:szCs w:val="18"/>
                <w:color w:val="auto"/>
              </w:rPr>
              <w:t>Pre-opening</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6,447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13,396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5,455</w:t>
            </w:r>
          </w:p>
        </w:tc>
      </w:tr>
      <w:tr>
        <w:trPr>
          <w:trHeight w:val="224"/>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172,502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520,026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545,538</w:t>
            </w:r>
          </w:p>
        </w:tc>
      </w:tr>
      <w:tr>
        <w:trPr>
          <w:trHeight w:val="223"/>
        </w:trPr>
        <w:tc>
          <w:tcPr>
            <w:tcW w:w="48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Property charges and other</w:t>
            </w:r>
          </w:p>
        </w:tc>
        <w:tc>
          <w:tcPr>
            <w:tcW w:w="13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4,733</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77,362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26,569</w:t>
            </w:r>
          </w:p>
        </w:tc>
      </w:tr>
      <w:tr>
        <w:trPr>
          <w:trHeight w:val="217"/>
        </w:trPr>
        <w:tc>
          <w:tcPr>
            <w:tcW w:w="480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Total operating expenses</w:t>
            </w:r>
          </w:p>
        </w:tc>
        <w:tc>
          <w:tcPr>
            <w:tcW w:w="13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942,713</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1,078,308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2,951,772</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3,010,356</w:t>
            </w:r>
          </w:p>
        </w:tc>
      </w:tr>
      <w:tr>
        <w:trPr>
          <w:trHeight w:val="217"/>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Operating loss</w:t>
            </w:r>
          </w:p>
        </w:tc>
        <w:tc>
          <w:tcPr>
            <w:tcW w:w="13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(52,991)</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(83,664)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(199,884)</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(288,917)</w:t>
            </w:r>
          </w:p>
        </w:tc>
      </w:tr>
      <w:tr>
        <w:trPr>
          <w:trHeight w:val="204"/>
        </w:trPr>
        <w:tc>
          <w:tcPr>
            <w:tcW w:w="480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Other income (expense):</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3"/>
        </w:trPr>
        <w:tc>
          <w:tcPr>
            <w:tcW w:w="480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6,892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10,863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2,131</w:t>
            </w:r>
          </w:p>
        </w:tc>
      </w:tr>
      <w:tr>
        <w:trPr>
          <w:trHeight w:val="224"/>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 of amounts capitalized</w:t>
            </w: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(165,277)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(150,325)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(472,265)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(453,601)</w:t>
            </w:r>
          </w:p>
        </w:tc>
      </w:tr>
      <w:tr>
        <w:trPr>
          <w:trHeight w:val="223"/>
        </w:trPr>
        <w:tc>
          <w:tcPr>
            <w:tcW w:w="4800" w:type="dxa"/>
            <w:vAlign w:val="bottom"/>
          </w:tcPr>
          <w:p>
            <w:pPr>
              <w:ind w:left="340"/>
              <w:spacing w:after="0"/>
              <w:rPr>
                <w:sz w:val="20"/>
                <w:szCs w:val="20"/>
                <w:color w:val="auto"/>
              </w:rPr>
            </w:pPr>
            <w:r>
              <w:rPr>
                <w:rFonts w:ascii="Arial" w:cs="Arial" w:eastAsia="Arial" w:hAnsi="Arial"/>
                <w:sz w:val="18"/>
                <w:szCs w:val="18"/>
                <w:color w:val="auto"/>
              </w:rPr>
              <w:t>Change in derivatives fair value</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5,839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14,801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6,557</w:t>
            </w:r>
          </w:p>
        </w:tc>
      </w:tr>
      <w:tr>
        <w:trPr>
          <w:trHeight w:val="224"/>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r>
      <w:tr>
        <w:trPr>
          <w:trHeight w:val="223"/>
        </w:trPr>
        <w:tc>
          <w:tcPr>
            <w:tcW w:w="48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(26,090)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(17,324)</w:t>
            </w:r>
          </w:p>
        </w:tc>
      </w:tr>
      <w:tr>
        <w:trPr>
          <w:trHeight w:val="217"/>
        </w:trPr>
        <w:tc>
          <w:tcPr>
            <w:tcW w:w="480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Other income (expense), net</w:t>
            </w:r>
          </w:p>
        </w:tc>
        <w:tc>
          <w:tcPr>
            <w:tcW w:w="13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(153,410)</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(161,164)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(472,691)</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(464,297)</w:t>
            </w:r>
          </w:p>
        </w:tc>
      </w:tr>
      <w:tr>
        <w:trPr>
          <w:trHeight w:val="217"/>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(206,401)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5"/>
              </w:rPr>
              <w:t>(244,828)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(672,575)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8"/>
              </w:rPr>
              <w:t>(753,214)</w:t>
            </w:r>
          </w:p>
        </w:tc>
      </w:tr>
      <w:tr>
        <w:trPr>
          <w:trHeight w:val="224"/>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income taxes</w:t>
            </w:r>
          </w:p>
        </w:tc>
        <w:tc>
          <w:tcPr>
            <w:tcW w:w="13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w:t>
            </w:r>
          </w:p>
        </w:tc>
      </w:tr>
      <w:tr>
        <w:trPr>
          <w:trHeight w:val="217"/>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(207,791)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5"/>
              </w:rPr>
              <w:t>(245,983)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(675,823)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8"/>
              </w:rPr>
              <w:t>(755,559)</w:t>
            </w:r>
          </w:p>
        </w:tc>
      </w:tr>
      <w:tr>
        <w:trPr>
          <w:trHeight w:val="224"/>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net loss attributable to noncontrolling interests</w:t>
            </w:r>
          </w:p>
        </w:tc>
        <w:tc>
          <w:tcPr>
            <w:tcW w:w="13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64,899</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79,734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219,556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176,963</w:t>
            </w:r>
          </w:p>
        </w:tc>
      </w:tr>
      <w:tr>
        <w:trPr>
          <w:trHeight w:val="217"/>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Net loss attributable to Wynn Resorts, Limited</w:t>
            </w:r>
          </w:p>
        </w:tc>
        <w:tc>
          <w:tcPr>
            <w:tcW w:w="138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(142,892)</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(166,249)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(456,267)</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(578,596)</w:t>
            </w: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0"/>
        </w:trPr>
        <w:tc>
          <w:tcPr>
            <w:tcW w:w="480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Basic and diluted net loss per common share:</w:t>
            </w:r>
          </w:p>
        </w:tc>
        <w:tc>
          <w:tcPr>
            <w:tcW w:w="1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23"/>
        </w:trPr>
        <w:tc>
          <w:tcPr>
            <w:tcW w:w="4800" w:type="dxa"/>
            <w:vAlign w:val="bottom"/>
          </w:tcPr>
          <w:p>
            <w:pPr>
              <w:ind w:left="340"/>
              <w:spacing w:after="0"/>
              <w:rPr>
                <w:sz w:val="20"/>
                <w:szCs w:val="20"/>
                <w:color w:val="auto"/>
              </w:rPr>
            </w:pPr>
            <w:r>
              <w:rPr>
                <w:rFonts w:ascii="Arial" w:cs="Arial" w:eastAsia="Arial" w:hAnsi="Arial"/>
                <w:sz w:val="18"/>
                <w:szCs w:val="18"/>
                <w:color w:val="auto"/>
              </w:rPr>
              <w:t>Net loss attributable to Wynn Resorts, Limited:</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4"/>
        </w:trPr>
        <w:tc>
          <w:tcPr>
            <w:tcW w:w="4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Basic</w:t>
            </w:r>
          </w:p>
        </w:tc>
        <w:tc>
          <w:tcPr>
            <w:tcW w:w="16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223"/>
        </w:trPr>
        <w:tc>
          <w:tcPr>
            <w:tcW w:w="4800" w:type="dxa"/>
            <w:vAlign w:val="bottom"/>
          </w:tcPr>
          <w:p>
            <w:pPr>
              <w:ind w:left="660"/>
              <w:spacing w:after="0"/>
              <w:rPr>
                <w:sz w:val="20"/>
                <w:szCs w:val="20"/>
                <w:color w:val="auto"/>
              </w:rPr>
            </w:pPr>
            <w:r>
              <w:rPr>
                <w:rFonts w:ascii="Arial" w:cs="Arial" w:eastAsia="Arial" w:hAnsi="Arial"/>
                <w:sz w:val="18"/>
                <w:szCs w:val="18"/>
                <w:color w:val="auto"/>
              </w:rPr>
              <w:t>Diluted</w:t>
            </w:r>
          </w:p>
        </w:tc>
        <w:tc>
          <w:tcPr>
            <w:tcW w:w="166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9"/>
                <w:szCs w:val="19"/>
                <w:color w:val="auto"/>
              </w:rPr>
            </w:pP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9"/>
                <w:szCs w:val="19"/>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(5.10)</w:t>
            </w:r>
          </w:p>
        </w:tc>
      </w:tr>
      <w:tr>
        <w:trPr>
          <w:trHeight w:val="224"/>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common shares outstanding:</w:t>
            </w: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3"/>
        </w:trPr>
        <w:tc>
          <w:tcPr>
            <w:tcW w:w="4800" w:type="dxa"/>
            <w:vAlign w:val="bottom"/>
          </w:tcPr>
          <w:p>
            <w:pPr>
              <w:ind w:left="660"/>
              <w:spacing w:after="0"/>
              <w:rPr>
                <w:sz w:val="20"/>
                <w:szCs w:val="20"/>
                <w:color w:val="auto"/>
              </w:rPr>
            </w:pPr>
            <w:r>
              <w:rPr>
                <w:rFonts w:ascii="Arial" w:cs="Arial" w:eastAsia="Arial" w:hAnsi="Arial"/>
                <w:sz w:val="18"/>
                <w:szCs w:val="18"/>
                <w:color w:val="auto"/>
              </w:rPr>
              <w:t>Basic</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112,709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114,655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114,061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113,420</w:t>
            </w:r>
          </w:p>
        </w:tc>
      </w:tr>
      <w:tr>
        <w:trPr>
          <w:trHeight w:val="224"/>
        </w:trPr>
        <w:tc>
          <w:tcPr>
            <w:tcW w:w="4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Diluted</w:t>
            </w: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112,709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114,061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113,420</w:t>
            </w:r>
          </w:p>
        </w:tc>
      </w:tr>
      <w:tr>
        <w:trPr>
          <w:trHeight w:val="842"/>
        </w:trPr>
        <w:tc>
          <w:tcPr>
            <w:tcW w:w="4800" w:type="dxa"/>
            <w:vAlign w:val="bottom"/>
          </w:tcPr>
          <w:p>
            <w:pPr>
              <w:spacing w:after="0"/>
              <w:rPr>
                <w:sz w:val="24"/>
                <w:szCs w:val="24"/>
                <w:color w:val="auto"/>
              </w:rPr>
            </w:pPr>
          </w:p>
        </w:tc>
        <w:tc>
          <w:tcPr>
            <w:tcW w:w="1380" w:type="dxa"/>
            <w:vAlign w:val="bottom"/>
          </w:tcPr>
          <w:p>
            <w:pPr>
              <w:jc w:val="right"/>
              <w:ind w:right="432"/>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240"/>
          </w:cols>
          <w:pgMar w:left="320" w:top="87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LOSS ATTRIBUTABLE TO WYNN RESORTS, LIMITED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ADJUSTED NET LOSS ATTRIBUTABLE TO WYNN RESORTS, LIMITED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0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6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Wynn Resorts, Limited</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(142,892)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(166,249)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(456,267)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(578,596)</w:t>
            </w:r>
          </w:p>
        </w:tc>
        <w:tc>
          <w:tcPr>
            <w:tcW w:w="0" w:type="dxa"/>
            <w:vAlign w:val="bottom"/>
          </w:tcPr>
          <w:p>
            <w:pPr>
              <w:spacing w:after="0"/>
              <w:rPr>
                <w:sz w:val="1"/>
                <w:szCs w:val="1"/>
                <w:color w:val="auto"/>
              </w:rPr>
            </w:pPr>
          </w:p>
        </w:tc>
      </w:tr>
      <w:tr>
        <w:trPr>
          <w:trHeight w:val="223"/>
        </w:trPr>
        <w:tc>
          <w:tcPr>
            <w:tcW w:w="6180" w:type="dxa"/>
            <w:vAlign w:val="bottom"/>
          </w:tcPr>
          <w:p>
            <w:pPr>
              <w:ind w:left="340"/>
              <w:spacing w:after="0"/>
              <w:rPr>
                <w:sz w:val="20"/>
                <w:szCs w:val="20"/>
                <w:color w:val="auto"/>
              </w:rPr>
            </w:pPr>
            <w:r>
              <w:rPr>
                <w:rFonts w:ascii="Arial" w:cs="Arial" w:eastAsia="Arial" w:hAnsi="Arial"/>
                <w:sz w:val="18"/>
                <w:szCs w:val="18"/>
                <w:color w:val="auto"/>
              </w:rPr>
              <w:t>Pre-opening expenses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6,447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13,396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5,455</w:t>
            </w: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charges and other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77,362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26,569</w:t>
            </w:r>
          </w:p>
        </w:tc>
        <w:tc>
          <w:tcPr>
            <w:tcW w:w="0" w:type="dxa"/>
            <w:vAlign w:val="bottom"/>
          </w:tcPr>
          <w:p>
            <w:pPr>
              <w:spacing w:after="0"/>
              <w:rPr>
                <w:sz w:val="1"/>
                <w:szCs w:val="1"/>
                <w:color w:val="auto"/>
              </w:rPr>
            </w:pPr>
          </w:p>
        </w:tc>
      </w:tr>
      <w:tr>
        <w:trPr>
          <w:trHeight w:val="223"/>
        </w:trPr>
        <w:tc>
          <w:tcPr>
            <w:tcW w:w="6180" w:type="dxa"/>
            <w:vAlign w:val="bottom"/>
          </w:tcPr>
          <w:p>
            <w:pPr>
              <w:ind w:left="340"/>
              <w:spacing w:after="0"/>
              <w:rPr>
                <w:sz w:val="20"/>
                <w:szCs w:val="20"/>
                <w:color w:val="auto"/>
              </w:rPr>
            </w:pPr>
            <w:r>
              <w:rPr>
                <w:rFonts w:ascii="Arial" w:cs="Arial" w:eastAsia="Arial" w:hAnsi="Arial"/>
                <w:sz w:val="18"/>
                <w:szCs w:val="18"/>
                <w:color w:val="auto"/>
              </w:rPr>
              <w:t>Change in derivatives fair value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(5,839)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(14,801)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(6,557)</w:t>
            </w: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23"/>
        </w:trPr>
        <w:tc>
          <w:tcPr>
            <w:tcW w:w="6180" w:type="dxa"/>
            <w:vAlign w:val="bottom"/>
          </w:tcPr>
          <w:p>
            <w:pPr>
              <w:ind w:left="340"/>
              <w:spacing w:after="0"/>
              <w:rPr>
                <w:sz w:val="20"/>
                <w:szCs w:val="20"/>
                <w:color w:val="auto"/>
              </w:rPr>
            </w:pPr>
            <w:r>
              <w:rPr>
                <w:rFonts w:ascii="Arial" w:cs="Arial" w:eastAsia="Arial" w:hAnsi="Arial"/>
                <w:sz w:val="18"/>
                <w:szCs w:val="18"/>
                <w:color w:val="auto"/>
              </w:rPr>
              <w:t>Foreign currency remeasurement and other</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26,090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17,324</w:t>
            </w: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impact on adjustments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61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Noncontrolling interests impact on adjustments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(4,596)</w:t>
            </w:r>
          </w:p>
        </w:tc>
        <w:tc>
          <w:tcPr>
            <w:tcW w:w="0" w:type="dxa"/>
            <w:vAlign w:val="bottom"/>
          </w:tcPr>
          <w:p>
            <w:pPr>
              <w:spacing w:after="0"/>
              <w:rPr>
                <w:sz w:val="1"/>
                <w:szCs w:val="1"/>
                <w:color w:val="auto"/>
              </w:rPr>
            </w:pPr>
          </w:p>
        </w:tc>
      </w:tr>
      <w:tr>
        <w:trPr>
          <w:trHeight w:val="242"/>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net loss attributable to Wynn Resorts, Limited</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(135,395)</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(141,702)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(368,743)</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(538,428)</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w w:val="98"/>
              </w:rPr>
              <w:t>Adjusted net loss attributable to Wynn Resorts, Limited per diluted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8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2"/>
              <w:spacing w:after="0" w:line="196" w:lineRule="exact"/>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(1.20)</w:t>
            </w:r>
          </w:p>
        </w:tc>
        <w:tc>
          <w:tcPr>
            <w:tcW w:w="80" w:type="dxa"/>
            <w:vAlign w:val="bottom"/>
          </w:tcPr>
          <w:p>
            <w:pPr>
              <w:spacing w:after="0"/>
              <w:rPr>
                <w:sz w:val="17"/>
                <w:szCs w:val="17"/>
                <w:color w:val="auto"/>
              </w:rPr>
            </w:pPr>
          </w:p>
        </w:tc>
        <w:tc>
          <w:tcPr>
            <w:tcW w:w="420" w:type="dxa"/>
            <w:vAlign w:val="bottom"/>
            <w:tcBorders>
              <w:bottom w:val="single" w:sz="8" w:color="auto"/>
            </w:tcBorders>
          </w:tcPr>
          <w:p>
            <w:pPr>
              <w:jc w:val="right"/>
              <w:ind w:right="212"/>
              <w:spacing w:after="0" w:line="196" w:lineRule="exact"/>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(1.24)</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2"/>
              <w:spacing w:after="0" w:line="196" w:lineRule="exact"/>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(3.23)</w:t>
            </w:r>
          </w:p>
        </w:tc>
        <w:tc>
          <w:tcPr>
            <w:tcW w:w="80" w:type="dxa"/>
            <w:vAlign w:val="bottom"/>
          </w:tcPr>
          <w:p>
            <w:pPr>
              <w:spacing w:after="0"/>
              <w:rPr>
                <w:sz w:val="17"/>
                <w:szCs w:val="17"/>
                <w:color w:val="auto"/>
              </w:rPr>
            </w:pPr>
          </w:p>
        </w:tc>
        <w:tc>
          <w:tcPr>
            <w:tcW w:w="420" w:type="dxa"/>
            <w:vAlign w:val="bottom"/>
            <w:tcBorders>
              <w:bottom w:val="single" w:sz="8" w:color="auto"/>
            </w:tcBorders>
          </w:tcPr>
          <w:p>
            <w:pPr>
              <w:jc w:val="right"/>
              <w:ind w:right="212"/>
              <w:spacing w:after="0" w:line="196" w:lineRule="exact"/>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(4.75)</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112,709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114,655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114,061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113,420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7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(LOSS) TO ADJUSTED PROPERTY EBITDA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0" w:type="dxa"/>
            <w:vAlign w:val="bottom"/>
            <w:gridSpan w:val="11"/>
          </w:tcPr>
          <w:p>
            <w:pPr>
              <w:jc w:val="right"/>
              <w:ind w:right="10"/>
              <w:spacing w:after="0"/>
              <w:rPr>
                <w:sz w:val="20"/>
                <w:szCs w:val="20"/>
                <w:color w:val="auto"/>
              </w:rPr>
            </w:pPr>
            <w:r>
              <w:rPr>
                <w:rFonts w:ascii="Arial" w:cs="Arial" w:eastAsia="Arial" w:hAnsi="Arial"/>
                <w:sz w:val="14"/>
                <w:szCs w:val="14"/>
                <w:b w:val="1"/>
                <w:bCs w:val="1"/>
                <w:color w:val="auto"/>
                <w:w w:val="91"/>
              </w:rPr>
              <w:t>Three Months Ended September 30, 2022</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Operating</w:t>
            </w:r>
          </w:p>
        </w:tc>
        <w:tc>
          <w:tcPr>
            <w:tcW w:w="120" w:type="dxa"/>
            <w:vAlign w:val="bottom"/>
          </w:tcPr>
          <w:p>
            <w:pPr>
              <w:spacing w:after="0"/>
              <w:rPr>
                <w:sz w:val="11"/>
                <w:szCs w:val="11"/>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Pre-opening</w:t>
            </w: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Depreciation and</w:t>
            </w:r>
          </w:p>
        </w:tc>
        <w:tc>
          <w:tcPr>
            <w:tcW w:w="100" w:type="dxa"/>
            <w:vAlign w:val="bottom"/>
          </w:tcPr>
          <w:p>
            <w:pPr>
              <w:spacing w:after="0"/>
              <w:rPr>
                <w:sz w:val="11"/>
                <w:szCs w:val="11"/>
                <w:color w:val="auto"/>
              </w:rPr>
            </w:pPr>
          </w:p>
        </w:tc>
        <w:tc>
          <w:tcPr>
            <w:tcW w:w="11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7"/>
              </w:rPr>
              <w:t>Property charges</w:t>
            </w:r>
          </w:p>
        </w:tc>
        <w:tc>
          <w:tcPr>
            <w:tcW w:w="120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0"/>
              </w:rPr>
              <w:t>Management and</w:t>
            </w:r>
          </w:p>
        </w:tc>
        <w:tc>
          <w:tcPr>
            <w:tcW w:w="120" w:type="dxa"/>
            <w:vAlign w:val="bottom"/>
          </w:tcPr>
          <w:p>
            <w:pPr>
              <w:spacing w:after="0"/>
              <w:rPr>
                <w:sz w:val="11"/>
                <w:szCs w:val="11"/>
                <w:color w:val="auto"/>
              </w:rPr>
            </w:pPr>
          </w:p>
        </w:tc>
        <w:tc>
          <w:tcPr>
            <w:tcW w:w="10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2"/>
              </w:rPr>
              <w:t>Corporate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8"/>
              </w:rPr>
              <w:t>Stock-based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ind w:right="150"/>
              <w:spacing w:after="0" w:line="129" w:lineRule="exact"/>
              <w:rPr>
                <w:sz w:val="20"/>
                <w:szCs w:val="20"/>
                <w:color w:val="auto"/>
              </w:rPr>
            </w:pPr>
            <w:r>
              <w:rPr>
                <w:rFonts w:ascii="Arial" w:cs="Arial" w:eastAsia="Arial" w:hAnsi="Arial"/>
                <w:sz w:val="14"/>
                <w:szCs w:val="14"/>
                <w:b w:val="1"/>
                <w:bCs w:val="1"/>
                <w:color w:val="auto"/>
                <w:w w:val="96"/>
              </w:rPr>
              <w:t>Adjusted</w:t>
            </w:r>
          </w:p>
        </w:tc>
        <w:tc>
          <w:tcPr>
            <w:tcW w:w="0" w:type="dxa"/>
            <w:vAlign w:val="bottom"/>
          </w:tcPr>
          <w:p>
            <w:pPr>
              <w:spacing w:after="0"/>
              <w:rPr>
                <w:sz w:val="1"/>
                <w:szCs w:val="1"/>
                <w:color w:val="auto"/>
              </w:rPr>
            </w:pPr>
          </w:p>
        </w:tc>
      </w:tr>
      <w:tr>
        <w:trPr>
          <w:trHeight w:val="141"/>
        </w:trPr>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12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1" w:lineRule="exact"/>
              <w:rPr>
                <w:sz w:val="20"/>
                <w:szCs w:val="20"/>
                <w:color w:val="auto"/>
              </w:rPr>
            </w:pPr>
            <w:r>
              <w:rPr>
                <w:rFonts w:ascii="Arial" w:cs="Arial" w:eastAsia="Arial" w:hAnsi="Arial"/>
                <w:sz w:val="14"/>
                <w:szCs w:val="14"/>
                <w:b w:val="1"/>
                <w:bCs w:val="1"/>
                <w:color w:val="auto"/>
                <w:w w:val="84"/>
              </w:rPr>
              <w:t>expenses and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150"/>
              <w:spacing w:after="0" w:line="141"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expenses</w:t>
            </w:r>
          </w:p>
        </w:tc>
        <w:tc>
          <w:tcPr>
            <w:tcW w:w="120" w:type="dxa"/>
            <w:vAlign w:val="bottom"/>
          </w:tcPr>
          <w:p>
            <w:pPr>
              <w:spacing w:after="0"/>
              <w:rPr>
                <w:sz w:val="16"/>
                <w:szCs w:val="16"/>
                <w:color w:val="auto"/>
              </w:rPr>
            </w:pPr>
          </w:p>
        </w:tc>
        <w:tc>
          <w:tcPr>
            <w:tcW w:w="960" w:type="dxa"/>
            <w:vAlign w:val="bottom"/>
          </w:tcPr>
          <w:p>
            <w:pPr>
              <w:jc w:val="right"/>
              <w:ind w:right="90"/>
              <w:spacing w:after="0"/>
              <w:rPr>
                <w:sz w:val="20"/>
                <w:szCs w:val="20"/>
                <w:color w:val="auto"/>
              </w:rPr>
            </w:pPr>
            <w:r>
              <w:rPr>
                <w:rFonts w:ascii="Arial" w:cs="Arial" w:eastAsia="Arial" w:hAnsi="Arial"/>
                <w:sz w:val="14"/>
                <w:szCs w:val="14"/>
                <w:b w:val="1"/>
                <w:bCs w:val="1"/>
                <w:color w:val="auto"/>
                <w:w w:val="93"/>
              </w:rPr>
              <w:t>amortization</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3"/>
          </w:tcPr>
          <w:p>
            <w:pPr>
              <w:ind w:left="100"/>
              <w:spacing w:after="0"/>
              <w:rPr>
                <w:sz w:val="20"/>
                <w:szCs w:val="20"/>
                <w:color w:val="auto"/>
              </w:rPr>
            </w:pPr>
            <w:r>
              <w:rPr>
                <w:rFonts w:ascii="Arial" w:cs="Arial" w:eastAsia="Arial" w:hAnsi="Arial"/>
                <w:sz w:val="14"/>
                <w:szCs w:val="14"/>
                <w:b w:val="1"/>
                <w:bCs w:val="1"/>
                <w:color w:val="auto"/>
              </w:rPr>
              <w:t>and other</w:t>
            </w:r>
          </w:p>
        </w:tc>
        <w:tc>
          <w:tcPr>
            <w:tcW w:w="160" w:type="dxa"/>
            <w:vAlign w:val="bottom"/>
          </w:tcPr>
          <w:p>
            <w:pPr>
              <w:spacing w:after="0"/>
              <w:rPr>
                <w:sz w:val="16"/>
                <w:szCs w:val="16"/>
                <w:color w:val="auto"/>
              </w:rPr>
            </w:pPr>
          </w:p>
        </w:tc>
        <w:tc>
          <w:tcPr>
            <w:tcW w:w="10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3"/>
              </w:rPr>
              <w:t>license fees</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other</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compensation</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15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83"/>
        </w:trPr>
        <w:tc>
          <w:tcPr>
            <w:tcW w:w="2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Macau Operations:</w:t>
            </w: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00" w:type="dxa"/>
            <w:vAlign w:val="bottom"/>
          </w:tcPr>
          <w:p>
            <w:pPr>
              <w:ind w:left="120"/>
              <w:spacing w:after="0"/>
              <w:rPr>
                <w:sz w:val="20"/>
                <w:szCs w:val="20"/>
                <w:color w:val="auto"/>
              </w:rPr>
            </w:pPr>
            <w:r>
              <w:rPr>
                <w:rFonts w:ascii="Arial" w:cs="Arial" w:eastAsia="Arial" w:hAnsi="Arial"/>
                <w:sz w:val="14"/>
                <w:szCs w:val="14"/>
                <w:color w:val="auto"/>
              </w:rPr>
              <w:t>Wynn Palace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(84,478)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52,225</w:t>
            </w:r>
          </w:p>
        </w:tc>
        <w:tc>
          <w:tcPr>
            <w:tcW w:w="2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2,467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2,643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1,599</w:t>
            </w:r>
          </w:p>
        </w:tc>
        <w:tc>
          <w:tcPr>
            <w:tcW w:w="8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3,736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(21,808)</w:t>
            </w:r>
          </w:p>
        </w:tc>
        <w:tc>
          <w:tcPr>
            <w:tcW w:w="0" w:type="dxa"/>
            <w:vAlign w:val="bottom"/>
          </w:tcPr>
          <w:p>
            <w:pPr>
              <w:spacing w:after="0"/>
              <w:rPr>
                <w:sz w:val="1"/>
                <w:szCs w:val="1"/>
                <w:color w:val="auto"/>
              </w:rPr>
            </w:pPr>
          </w:p>
        </w:tc>
      </w:tr>
      <w:tr>
        <w:trPr>
          <w:trHeight w:val="207"/>
        </w:trPr>
        <w:tc>
          <w:tcPr>
            <w:tcW w:w="2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Wynn Macau</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21,172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3,566</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(43,806)</w:t>
            </w:r>
          </w:p>
        </w:tc>
        <w:tc>
          <w:tcPr>
            <w:tcW w:w="0" w:type="dxa"/>
            <w:vAlign w:val="bottom"/>
          </w:tcPr>
          <w:p>
            <w:pPr>
              <w:spacing w:after="0"/>
              <w:rPr>
                <w:sz w:val="1"/>
                <w:szCs w:val="1"/>
                <w:color w:val="auto"/>
              </w:rPr>
            </w:pPr>
          </w:p>
        </w:tc>
      </w:tr>
      <w:tr>
        <w:trPr>
          <w:trHeight w:val="191"/>
        </w:trPr>
        <w:tc>
          <w:tcPr>
            <w:tcW w:w="2000" w:type="dxa"/>
            <w:vAlign w:val="bottom"/>
          </w:tcPr>
          <w:p>
            <w:pPr>
              <w:ind w:left="120"/>
              <w:spacing w:after="0"/>
              <w:rPr>
                <w:sz w:val="20"/>
                <w:szCs w:val="20"/>
                <w:color w:val="auto"/>
              </w:rPr>
            </w:pPr>
            <w:r>
              <w:rPr>
                <w:rFonts w:ascii="Arial" w:cs="Arial" w:eastAsia="Arial" w:hAnsi="Arial"/>
                <w:sz w:val="14"/>
                <w:szCs w:val="14"/>
                <w:color w:val="auto"/>
              </w:rPr>
              <w:t>Other Macau</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3,297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640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Macau Operations</w:t>
            </w: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(162,650)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73,777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3,908</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4,893</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6,516</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7,942</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(65,614)</w:t>
            </w:r>
          </w:p>
        </w:tc>
        <w:tc>
          <w:tcPr>
            <w:tcW w:w="0" w:type="dxa"/>
            <w:vAlign w:val="bottom"/>
          </w:tcPr>
          <w:p>
            <w:pPr>
              <w:spacing w:after="0"/>
              <w:rPr>
                <w:sz w:val="1"/>
                <w:szCs w:val="1"/>
                <w:color w:val="auto"/>
              </w:rPr>
            </w:pPr>
          </w:p>
        </w:tc>
      </w:tr>
      <w:tr>
        <w:trPr>
          <w:trHeight w:val="188"/>
        </w:trPr>
        <w:tc>
          <w:tcPr>
            <w:tcW w:w="2000" w:type="dxa"/>
            <w:vAlign w:val="bottom"/>
          </w:tcPr>
          <w:p>
            <w:pPr>
              <w:ind w:left="20"/>
              <w:spacing w:after="0"/>
              <w:rPr>
                <w:sz w:val="20"/>
                <w:szCs w:val="20"/>
                <w:color w:val="auto"/>
              </w:rPr>
            </w:pPr>
            <w:r>
              <w:rPr>
                <w:rFonts w:ascii="Arial" w:cs="Arial" w:eastAsia="Arial" w:hAnsi="Arial"/>
                <w:sz w:val="14"/>
                <w:szCs w:val="14"/>
                <w:color w:val="auto"/>
              </w:rPr>
              <w:t>Las Vegas Operations</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103,006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52,756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1,042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25,798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5,872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2,199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195,760</w:t>
            </w:r>
          </w:p>
        </w:tc>
        <w:tc>
          <w:tcPr>
            <w:tcW w:w="0" w:type="dxa"/>
            <w:vAlign w:val="bottom"/>
          </w:tcPr>
          <w:p>
            <w:pPr>
              <w:spacing w:after="0"/>
              <w:rPr>
                <w:sz w:val="1"/>
                <w:szCs w:val="1"/>
                <w:color w:val="auto"/>
              </w:rPr>
            </w:pPr>
          </w:p>
        </w:tc>
      </w:tr>
      <w:tr>
        <w:trPr>
          <w:trHeight w:val="207"/>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Encore Boston Harbor</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38,875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10,308</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61,136</w:t>
            </w:r>
          </w:p>
        </w:tc>
        <w:tc>
          <w:tcPr>
            <w:tcW w:w="0" w:type="dxa"/>
            <w:vAlign w:val="bottom"/>
          </w:tcPr>
          <w:p>
            <w:pPr>
              <w:spacing w:after="0"/>
              <w:rPr>
                <w:sz w:val="1"/>
                <w:szCs w:val="1"/>
                <w:color w:val="auto"/>
              </w:rPr>
            </w:pPr>
          </w:p>
        </w:tc>
      </w:tr>
      <w:tr>
        <w:trPr>
          <w:trHeight w:val="188"/>
        </w:trPr>
        <w:tc>
          <w:tcPr>
            <w:tcW w:w="2000" w:type="dxa"/>
            <w:vAlign w:val="bottom"/>
          </w:tcPr>
          <w:p>
            <w:pPr>
              <w:ind w:left="20"/>
              <w:spacing w:after="0"/>
              <w:rPr>
                <w:sz w:val="20"/>
                <w:szCs w:val="20"/>
                <w:color w:val="auto"/>
              </w:rPr>
            </w:pPr>
            <w:r>
              <w:rPr>
                <w:rFonts w:ascii="Arial" w:cs="Arial" w:eastAsia="Arial" w:hAnsi="Arial"/>
                <w:sz w:val="14"/>
                <w:szCs w:val="14"/>
                <w:color w:val="auto"/>
              </w:rPr>
              <w:t>Wynn Interactive</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(27,113)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4,827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651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2,939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(17,748)</w:t>
            </w:r>
          </w:p>
        </w:tc>
        <w:tc>
          <w:tcPr>
            <w:tcW w:w="0" w:type="dxa"/>
            <w:vAlign w:val="bottom"/>
          </w:tcPr>
          <w:p>
            <w:pPr>
              <w:spacing w:after="0"/>
              <w:rPr>
                <w:sz w:val="1"/>
                <w:szCs w:val="1"/>
                <w:color w:val="auto"/>
              </w:rPr>
            </w:pPr>
          </w:p>
        </w:tc>
      </w:tr>
      <w:tr>
        <w:trPr>
          <w:trHeight w:val="207"/>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and other</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(40,999)</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6,612</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200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(52,991)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6,447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172,502</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4,733</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22,769</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173,534</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0" w:type="dxa"/>
            <w:vAlign w:val="bottom"/>
            <w:gridSpan w:val="11"/>
          </w:tcPr>
          <w:p>
            <w:pPr>
              <w:jc w:val="right"/>
              <w:ind w:right="10"/>
              <w:spacing w:after="0"/>
              <w:rPr>
                <w:sz w:val="20"/>
                <w:szCs w:val="20"/>
                <w:color w:val="auto"/>
              </w:rPr>
            </w:pPr>
            <w:r>
              <w:rPr>
                <w:rFonts w:ascii="Arial" w:cs="Arial" w:eastAsia="Arial" w:hAnsi="Arial"/>
                <w:sz w:val="14"/>
                <w:szCs w:val="14"/>
                <w:b w:val="1"/>
                <w:bCs w:val="1"/>
                <w:color w:val="auto"/>
                <w:w w:val="91"/>
              </w:rPr>
              <w:t>Three Months Ended September 30, 2021</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0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Operating</w:t>
            </w:r>
          </w:p>
        </w:tc>
        <w:tc>
          <w:tcPr>
            <w:tcW w:w="120" w:type="dxa"/>
            <w:vAlign w:val="bottom"/>
          </w:tcPr>
          <w:p>
            <w:pPr>
              <w:spacing w:after="0"/>
              <w:rPr>
                <w:sz w:val="10"/>
                <w:szCs w:val="10"/>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Pre-opening</w:t>
            </w: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Depreciation and</w:t>
            </w:r>
          </w:p>
        </w:tc>
        <w:tc>
          <w:tcPr>
            <w:tcW w:w="100" w:type="dxa"/>
            <w:vAlign w:val="bottom"/>
          </w:tcPr>
          <w:p>
            <w:pPr>
              <w:spacing w:after="0"/>
              <w:rPr>
                <w:sz w:val="10"/>
                <w:szCs w:val="1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8"/>
              </w:rPr>
              <w:t>Property charges</w:t>
            </w:r>
          </w:p>
        </w:tc>
        <w:tc>
          <w:tcPr>
            <w:tcW w:w="120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Management and</w:t>
            </w:r>
          </w:p>
        </w:tc>
        <w:tc>
          <w:tcPr>
            <w:tcW w:w="120" w:type="dxa"/>
            <w:vAlign w:val="bottom"/>
          </w:tcPr>
          <w:p>
            <w:pPr>
              <w:spacing w:after="0"/>
              <w:rPr>
                <w:sz w:val="10"/>
                <w:szCs w:val="10"/>
                <w:color w:val="auto"/>
              </w:rPr>
            </w:pPr>
          </w:p>
        </w:tc>
        <w:tc>
          <w:tcPr>
            <w:tcW w:w="1060" w:type="dxa"/>
            <w:vAlign w:val="bottom"/>
            <w:gridSpan w:val="2"/>
          </w:tcPr>
          <w:p>
            <w:pPr>
              <w:jc w:val="center"/>
              <w:ind w:right="200"/>
              <w:spacing w:after="0" w:line="125" w:lineRule="exact"/>
              <w:rPr>
                <w:sz w:val="20"/>
                <w:szCs w:val="20"/>
                <w:color w:val="auto"/>
              </w:rPr>
            </w:pPr>
            <w:r>
              <w:rPr>
                <w:rFonts w:ascii="Arial" w:cs="Arial" w:eastAsia="Arial" w:hAnsi="Arial"/>
                <w:sz w:val="14"/>
                <w:szCs w:val="14"/>
                <w:b w:val="1"/>
                <w:bCs w:val="1"/>
                <w:color w:val="auto"/>
                <w:w w:val="92"/>
              </w:rPr>
              <w:t>Corporate</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6"/>
              </w:rPr>
              <w:t>Stock-based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right"/>
              <w:ind w:right="130"/>
              <w:spacing w:after="0" w:line="125"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5"/>
        </w:trPr>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12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84"/>
              </w:rPr>
              <w:t>expenses and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130"/>
              <w:spacing w:after="0" w:line="145"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1"/>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expenses</w:t>
            </w:r>
          </w:p>
        </w:tc>
        <w:tc>
          <w:tcPr>
            <w:tcW w:w="120" w:type="dxa"/>
            <w:vAlign w:val="bottom"/>
          </w:tcPr>
          <w:p>
            <w:pPr>
              <w:spacing w:after="0"/>
              <w:rPr>
                <w:sz w:val="16"/>
                <w:szCs w:val="16"/>
                <w:color w:val="auto"/>
              </w:rPr>
            </w:pPr>
          </w:p>
        </w:tc>
        <w:tc>
          <w:tcPr>
            <w:tcW w:w="960" w:type="dxa"/>
            <w:vAlign w:val="bottom"/>
          </w:tcPr>
          <w:p>
            <w:pPr>
              <w:jc w:val="right"/>
              <w:ind w:right="90"/>
              <w:spacing w:after="0"/>
              <w:rPr>
                <w:sz w:val="20"/>
                <w:szCs w:val="20"/>
                <w:color w:val="auto"/>
              </w:rPr>
            </w:pPr>
            <w:r>
              <w:rPr>
                <w:rFonts w:ascii="Arial" w:cs="Arial" w:eastAsia="Arial" w:hAnsi="Arial"/>
                <w:sz w:val="14"/>
                <w:szCs w:val="14"/>
                <w:b w:val="1"/>
                <w:bCs w:val="1"/>
                <w:color w:val="auto"/>
                <w:w w:val="93"/>
              </w:rPr>
              <w:t>amortization</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and other</w:t>
            </w:r>
          </w:p>
        </w:tc>
        <w:tc>
          <w:tcPr>
            <w:tcW w:w="160" w:type="dxa"/>
            <w:vAlign w:val="bottom"/>
          </w:tcPr>
          <w:p>
            <w:pPr>
              <w:spacing w:after="0"/>
              <w:rPr>
                <w:sz w:val="16"/>
                <w:szCs w:val="16"/>
                <w:color w:val="auto"/>
              </w:rPr>
            </w:pPr>
          </w:p>
        </w:tc>
        <w:tc>
          <w:tcPr>
            <w:tcW w:w="10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3"/>
              </w:rPr>
              <w:t>license fees</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other</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compensation</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13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84"/>
        </w:trPr>
        <w:tc>
          <w:tcPr>
            <w:tcW w:w="2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Macau Operations:</w:t>
            </w: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00" w:type="dxa"/>
            <w:vAlign w:val="bottom"/>
          </w:tcPr>
          <w:p>
            <w:pPr>
              <w:ind w:left="120"/>
              <w:spacing w:after="0"/>
              <w:rPr>
                <w:sz w:val="20"/>
                <w:szCs w:val="20"/>
                <w:color w:val="auto"/>
              </w:rPr>
            </w:pPr>
            <w:r>
              <w:rPr>
                <w:rFonts w:ascii="Arial" w:cs="Arial" w:eastAsia="Arial" w:hAnsi="Arial"/>
                <w:sz w:val="14"/>
                <w:szCs w:val="14"/>
                <w:color w:val="auto"/>
              </w:rPr>
              <w:t>Wynn Palace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(58,642)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59,908</w:t>
            </w:r>
          </w:p>
        </w:tc>
        <w:tc>
          <w:tcPr>
            <w:tcW w:w="2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919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6,161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1,187</w:t>
            </w:r>
          </w:p>
        </w:tc>
        <w:tc>
          <w:tcPr>
            <w:tcW w:w="8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2,517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12,112</w:t>
            </w:r>
          </w:p>
        </w:tc>
        <w:tc>
          <w:tcPr>
            <w:tcW w:w="0" w:type="dxa"/>
            <w:vAlign w:val="bottom"/>
          </w:tcPr>
          <w:p>
            <w:pPr>
              <w:spacing w:after="0"/>
              <w:rPr>
                <w:sz w:val="1"/>
                <w:szCs w:val="1"/>
                <w:color w:val="auto"/>
              </w:rPr>
            </w:pPr>
          </w:p>
        </w:tc>
      </w:tr>
      <w:tr>
        <w:trPr>
          <w:trHeight w:val="207"/>
        </w:trPr>
        <w:tc>
          <w:tcPr>
            <w:tcW w:w="2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Wynn Macau</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(33,255)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4,355</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(1,939)</w:t>
            </w:r>
          </w:p>
        </w:tc>
        <w:tc>
          <w:tcPr>
            <w:tcW w:w="0" w:type="dxa"/>
            <w:vAlign w:val="bottom"/>
          </w:tcPr>
          <w:p>
            <w:pPr>
              <w:spacing w:after="0"/>
              <w:rPr>
                <w:sz w:val="1"/>
                <w:szCs w:val="1"/>
                <w:color w:val="auto"/>
              </w:rPr>
            </w:pPr>
          </w:p>
        </w:tc>
      </w:tr>
      <w:tr>
        <w:trPr>
          <w:trHeight w:val="191"/>
        </w:trPr>
        <w:tc>
          <w:tcPr>
            <w:tcW w:w="2000" w:type="dxa"/>
            <w:vAlign w:val="bottom"/>
          </w:tcPr>
          <w:p>
            <w:pPr>
              <w:ind w:left="120"/>
              <w:spacing w:after="0"/>
              <w:rPr>
                <w:sz w:val="20"/>
                <w:szCs w:val="20"/>
                <w:color w:val="auto"/>
              </w:rPr>
            </w:pPr>
            <w:r>
              <w:rPr>
                <w:rFonts w:ascii="Arial" w:cs="Arial" w:eastAsia="Arial" w:hAnsi="Arial"/>
                <w:sz w:val="14"/>
                <w:szCs w:val="14"/>
                <w:color w:val="auto"/>
              </w:rPr>
              <w:t>Other Macau</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(3,477)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1,899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Macau Operations</w:t>
            </w: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(95,374)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81,766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10,516</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4,360</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7,303</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10,173</w:t>
            </w:r>
          </w:p>
        </w:tc>
        <w:tc>
          <w:tcPr>
            <w:tcW w:w="0" w:type="dxa"/>
            <w:vAlign w:val="bottom"/>
          </w:tcPr>
          <w:p>
            <w:pPr>
              <w:spacing w:after="0"/>
              <w:rPr>
                <w:sz w:val="1"/>
                <w:szCs w:val="1"/>
                <w:color w:val="auto"/>
              </w:rPr>
            </w:pPr>
          </w:p>
        </w:tc>
      </w:tr>
      <w:tr>
        <w:trPr>
          <w:trHeight w:val="188"/>
        </w:trPr>
        <w:tc>
          <w:tcPr>
            <w:tcW w:w="2000" w:type="dxa"/>
            <w:vAlign w:val="bottom"/>
          </w:tcPr>
          <w:p>
            <w:pPr>
              <w:ind w:left="20"/>
              <w:spacing w:after="0"/>
              <w:rPr>
                <w:sz w:val="20"/>
                <w:szCs w:val="20"/>
                <w:color w:val="auto"/>
              </w:rPr>
            </w:pPr>
            <w:r>
              <w:rPr>
                <w:rFonts w:ascii="Arial" w:cs="Arial" w:eastAsia="Arial" w:hAnsi="Arial"/>
                <w:sz w:val="14"/>
                <w:szCs w:val="14"/>
                <w:color w:val="auto"/>
              </w:rPr>
              <w:t>Las Vegas Operations</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102,734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47,862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1,108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22,437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5,757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2,389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183,416</w:t>
            </w:r>
          </w:p>
        </w:tc>
        <w:tc>
          <w:tcPr>
            <w:tcW w:w="0" w:type="dxa"/>
            <w:vAlign w:val="bottom"/>
          </w:tcPr>
          <w:p>
            <w:pPr>
              <w:spacing w:after="0"/>
              <w:rPr>
                <w:sz w:val="1"/>
                <w:szCs w:val="1"/>
                <w:color w:val="auto"/>
              </w:rPr>
            </w:pPr>
          </w:p>
        </w:tc>
      </w:tr>
      <w:tr>
        <w:trPr>
          <w:trHeight w:val="207"/>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Encore Boston Harbor</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13,104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39,182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9,349</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64,565</w:t>
            </w:r>
          </w:p>
        </w:tc>
        <w:tc>
          <w:tcPr>
            <w:tcW w:w="0" w:type="dxa"/>
            <w:vAlign w:val="bottom"/>
          </w:tcPr>
          <w:p>
            <w:pPr>
              <w:spacing w:after="0"/>
              <w:rPr>
                <w:sz w:val="1"/>
                <w:szCs w:val="1"/>
                <w:color w:val="auto"/>
              </w:rPr>
            </w:pPr>
          </w:p>
        </w:tc>
      </w:tr>
      <w:tr>
        <w:trPr>
          <w:trHeight w:val="188"/>
        </w:trPr>
        <w:tc>
          <w:tcPr>
            <w:tcW w:w="2000" w:type="dxa"/>
            <w:vAlign w:val="bottom"/>
          </w:tcPr>
          <w:p>
            <w:pPr>
              <w:ind w:left="20"/>
              <w:spacing w:after="0"/>
              <w:rPr>
                <w:sz w:val="20"/>
                <w:szCs w:val="20"/>
                <w:color w:val="auto"/>
              </w:rPr>
            </w:pPr>
            <w:r>
              <w:rPr>
                <w:rFonts w:ascii="Arial" w:cs="Arial" w:eastAsia="Arial" w:hAnsi="Arial"/>
                <w:sz w:val="14"/>
                <w:szCs w:val="14"/>
                <w:color w:val="auto"/>
              </w:rPr>
              <w:t>Wynn Interactive</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(131,625)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6,064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12,500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2,504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6,964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(103,593)</w:t>
            </w:r>
          </w:p>
        </w:tc>
        <w:tc>
          <w:tcPr>
            <w:tcW w:w="0" w:type="dxa"/>
            <w:vAlign w:val="bottom"/>
          </w:tcPr>
          <w:p>
            <w:pPr>
              <w:spacing w:after="0"/>
              <w:rPr>
                <w:sz w:val="1"/>
                <w:szCs w:val="1"/>
                <w:color w:val="auto"/>
              </w:rPr>
            </w:pPr>
          </w:p>
        </w:tc>
      </w:tr>
      <w:tr>
        <w:trPr>
          <w:trHeight w:val="207"/>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and other</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27,497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(42,302)</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8,455</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200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(83,664)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1,333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177,110</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15,301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gridSpan w:val="2"/>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18,901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25,580</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154,561</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871" w:right="339" w:bottom="1440" w:gutter="0" w:footer="0" w:header="0"/>
          <w:type w:val="continuous"/>
        </w:sectPr>
      </w:pPr>
    </w:p>
    <w:bookmarkStart w:id="9" w:name="page10"/>
    <w:bookmarkEnd w:id="9"/>
    <w:p>
      <w:pPr>
        <w:ind w:left="35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RECONCILIATION OF OPERATING INCOME (LOSS) TO ADJUSTED PROPERTY EBITDA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80" w:type="dxa"/>
            <w:vAlign w:val="bottom"/>
            <w:gridSpan w:val="10"/>
          </w:tcPr>
          <w:p>
            <w:pPr>
              <w:ind w:left="80"/>
              <w:spacing w:after="0"/>
              <w:rPr>
                <w:sz w:val="20"/>
                <w:szCs w:val="20"/>
                <w:color w:val="auto"/>
              </w:rPr>
            </w:pPr>
            <w:r>
              <w:rPr>
                <w:rFonts w:ascii="Arial" w:cs="Arial" w:eastAsia="Arial" w:hAnsi="Arial"/>
                <w:sz w:val="14"/>
                <w:szCs w:val="14"/>
                <w:b w:val="1"/>
                <w:bCs w:val="1"/>
                <w:color w:val="auto"/>
                <w:w w:val="89"/>
              </w:rPr>
              <w:t>Nine Months Ended September 30, 2022</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Operating</w:t>
            </w:r>
          </w:p>
        </w:tc>
        <w:tc>
          <w:tcPr>
            <w:tcW w:w="120" w:type="dxa"/>
            <w:vAlign w:val="bottom"/>
          </w:tcPr>
          <w:p>
            <w:pPr>
              <w:spacing w:after="0"/>
              <w:rPr>
                <w:sz w:val="11"/>
                <w:szCs w:val="11"/>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Pre-opening</w:t>
            </w: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Depreciation and</w:t>
            </w:r>
          </w:p>
        </w:tc>
        <w:tc>
          <w:tcPr>
            <w:tcW w:w="100" w:type="dxa"/>
            <w:vAlign w:val="bottom"/>
          </w:tcPr>
          <w:p>
            <w:pPr>
              <w:spacing w:after="0"/>
              <w:rPr>
                <w:sz w:val="11"/>
                <w:szCs w:val="11"/>
                <w:color w:val="auto"/>
              </w:rPr>
            </w:pPr>
          </w:p>
        </w:tc>
        <w:tc>
          <w:tcPr>
            <w:tcW w:w="11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7"/>
              </w:rPr>
              <w:t>Property charges</w:t>
            </w:r>
          </w:p>
        </w:tc>
        <w:tc>
          <w:tcPr>
            <w:tcW w:w="120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0"/>
              </w:rPr>
              <w:t>Management and</w:t>
            </w:r>
          </w:p>
        </w:tc>
        <w:tc>
          <w:tcPr>
            <w:tcW w:w="120" w:type="dxa"/>
            <w:vAlign w:val="bottom"/>
          </w:tcPr>
          <w:p>
            <w:pPr>
              <w:spacing w:after="0"/>
              <w:rPr>
                <w:sz w:val="11"/>
                <w:szCs w:val="11"/>
                <w:color w:val="auto"/>
              </w:rPr>
            </w:pPr>
          </w:p>
        </w:tc>
        <w:tc>
          <w:tcPr>
            <w:tcW w:w="10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2"/>
              </w:rPr>
              <w:t>Corporate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8"/>
              </w:rPr>
              <w:t>Stock-based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ind w:right="150"/>
              <w:spacing w:after="0" w:line="129" w:lineRule="exact"/>
              <w:rPr>
                <w:sz w:val="20"/>
                <w:szCs w:val="20"/>
                <w:color w:val="auto"/>
              </w:rPr>
            </w:pPr>
            <w:r>
              <w:rPr>
                <w:rFonts w:ascii="Arial" w:cs="Arial" w:eastAsia="Arial" w:hAnsi="Arial"/>
                <w:sz w:val="14"/>
                <w:szCs w:val="14"/>
                <w:b w:val="1"/>
                <w:bCs w:val="1"/>
                <w:color w:val="auto"/>
                <w:w w:val="96"/>
              </w:rPr>
              <w:t>Adjusted</w:t>
            </w:r>
          </w:p>
        </w:tc>
        <w:tc>
          <w:tcPr>
            <w:tcW w:w="0" w:type="dxa"/>
            <w:vAlign w:val="bottom"/>
          </w:tcPr>
          <w:p>
            <w:pPr>
              <w:spacing w:after="0"/>
              <w:rPr>
                <w:sz w:val="1"/>
                <w:szCs w:val="1"/>
                <w:color w:val="auto"/>
              </w:rPr>
            </w:pPr>
          </w:p>
        </w:tc>
      </w:tr>
      <w:tr>
        <w:trPr>
          <w:trHeight w:val="141"/>
        </w:trPr>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12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1" w:lineRule="exact"/>
              <w:rPr>
                <w:sz w:val="20"/>
                <w:szCs w:val="20"/>
                <w:color w:val="auto"/>
              </w:rPr>
            </w:pPr>
            <w:r>
              <w:rPr>
                <w:rFonts w:ascii="Arial" w:cs="Arial" w:eastAsia="Arial" w:hAnsi="Arial"/>
                <w:sz w:val="14"/>
                <w:szCs w:val="14"/>
                <w:b w:val="1"/>
                <w:bCs w:val="1"/>
                <w:color w:val="auto"/>
                <w:w w:val="84"/>
              </w:rPr>
              <w:t>expenses and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150"/>
              <w:spacing w:after="0" w:line="141"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expenses</w:t>
            </w:r>
          </w:p>
        </w:tc>
        <w:tc>
          <w:tcPr>
            <w:tcW w:w="120" w:type="dxa"/>
            <w:vAlign w:val="bottom"/>
          </w:tcPr>
          <w:p>
            <w:pPr>
              <w:spacing w:after="0"/>
              <w:rPr>
                <w:sz w:val="16"/>
                <w:szCs w:val="16"/>
                <w:color w:val="auto"/>
              </w:rPr>
            </w:pPr>
          </w:p>
        </w:tc>
        <w:tc>
          <w:tcPr>
            <w:tcW w:w="960" w:type="dxa"/>
            <w:vAlign w:val="bottom"/>
          </w:tcPr>
          <w:p>
            <w:pPr>
              <w:jc w:val="right"/>
              <w:ind w:right="90"/>
              <w:spacing w:after="0"/>
              <w:rPr>
                <w:sz w:val="20"/>
                <w:szCs w:val="20"/>
                <w:color w:val="auto"/>
              </w:rPr>
            </w:pPr>
            <w:r>
              <w:rPr>
                <w:rFonts w:ascii="Arial" w:cs="Arial" w:eastAsia="Arial" w:hAnsi="Arial"/>
                <w:sz w:val="14"/>
                <w:szCs w:val="14"/>
                <w:b w:val="1"/>
                <w:bCs w:val="1"/>
                <w:color w:val="auto"/>
                <w:w w:val="93"/>
              </w:rPr>
              <w:t>amortization</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3"/>
          </w:tcPr>
          <w:p>
            <w:pPr>
              <w:ind w:left="100"/>
              <w:spacing w:after="0"/>
              <w:rPr>
                <w:sz w:val="20"/>
                <w:szCs w:val="20"/>
                <w:color w:val="auto"/>
              </w:rPr>
            </w:pPr>
            <w:r>
              <w:rPr>
                <w:rFonts w:ascii="Arial" w:cs="Arial" w:eastAsia="Arial" w:hAnsi="Arial"/>
                <w:sz w:val="14"/>
                <w:szCs w:val="14"/>
                <w:b w:val="1"/>
                <w:bCs w:val="1"/>
                <w:color w:val="auto"/>
              </w:rPr>
              <w:t>and other</w:t>
            </w:r>
          </w:p>
        </w:tc>
        <w:tc>
          <w:tcPr>
            <w:tcW w:w="160" w:type="dxa"/>
            <w:vAlign w:val="bottom"/>
          </w:tcPr>
          <w:p>
            <w:pPr>
              <w:spacing w:after="0"/>
              <w:rPr>
                <w:sz w:val="16"/>
                <w:szCs w:val="16"/>
                <w:color w:val="auto"/>
              </w:rPr>
            </w:pPr>
          </w:p>
        </w:tc>
        <w:tc>
          <w:tcPr>
            <w:tcW w:w="10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3"/>
              </w:rPr>
              <w:t>license fees</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other</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compensation</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15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83"/>
        </w:trPr>
        <w:tc>
          <w:tcPr>
            <w:tcW w:w="2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Macau Operations:</w:t>
            </w: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00" w:type="dxa"/>
            <w:vAlign w:val="bottom"/>
          </w:tcPr>
          <w:p>
            <w:pPr>
              <w:ind w:left="120"/>
              <w:spacing w:after="0"/>
              <w:rPr>
                <w:sz w:val="20"/>
                <w:szCs w:val="20"/>
                <w:color w:val="auto"/>
              </w:rPr>
            </w:pPr>
            <w:r>
              <w:rPr>
                <w:rFonts w:ascii="Arial" w:cs="Arial" w:eastAsia="Arial" w:hAnsi="Arial"/>
                <w:sz w:val="14"/>
                <w:szCs w:val="14"/>
                <w:color w:val="auto"/>
              </w:rPr>
              <w:t>Wynn Palace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(251,721)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154,293</w:t>
            </w:r>
          </w:p>
        </w:tc>
        <w:tc>
          <w:tcPr>
            <w:tcW w:w="2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2,918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10,086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4,729</w:t>
            </w:r>
          </w:p>
        </w:tc>
        <w:tc>
          <w:tcPr>
            <w:tcW w:w="8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7,073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(72,622)</w:t>
            </w:r>
          </w:p>
        </w:tc>
        <w:tc>
          <w:tcPr>
            <w:tcW w:w="0" w:type="dxa"/>
            <w:vAlign w:val="bottom"/>
          </w:tcPr>
          <w:p>
            <w:pPr>
              <w:spacing w:after="0"/>
              <w:rPr>
                <w:sz w:val="1"/>
                <w:szCs w:val="1"/>
                <w:color w:val="auto"/>
              </w:rPr>
            </w:pPr>
          </w:p>
        </w:tc>
      </w:tr>
      <w:tr>
        <w:trPr>
          <w:trHeight w:val="207"/>
        </w:trPr>
        <w:tc>
          <w:tcPr>
            <w:tcW w:w="2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Wynn Macau</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(182,128)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60,750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8,846</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9,378</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(88,878)</w:t>
            </w:r>
          </w:p>
        </w:tc>
        <w:tc>
          <w:tcPr>
            <w:tcW w:w="0" w:type="dxa"/>
            <w:vAlign w:val="bottom"/>
          </w:tcPr>
          <w:p>
            <w:pPr>
              <w:spacing w:after="0"/>
              <w:rPr>
                <w:sz w:val="1"/>
                <w:szCs w:val="1"/>
                <w:color w:val="auto"/>
              </w:rPr>
            </w:pPr>
          </w:p>
        </w:tc>
      </w:tr>
      <w:tr>
        <w:trPr>
          <w:trHeight w:val="191"/>
        </w:trPr>
        <w:tc>
          <w:tcPr>
            <w:tcW w:w="2000" w:type="dxa"/>
            <w:vAlign w:val="bottom"/>
          </w:tcPr>
          <w:p>
            <w:pPr>
              <w:ind w:left="120"/>
              <w:spacing w:after="0"/>
              <w:rPr>
                <w:sz w:val="20"/>
                <w:szCs w:val="20"/>
                <w:color w:val="auto"/>
              </w:rPr>
            </w:pPr>
            <w:r>
              <w:rPr>
                <w:rFonts w:ascii="Arial" w:cs="Arial" w:eastAsia="Arial" w:hAnsi="Arial"/>
                <w:sz w:val="14"/>
                <w:szCs w:val="14"/>
                <w:color w:val="auto"/>
              </w:rPr>
              <w:t>Other Macau</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(12,389)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8,262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1,772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Macau Operations</w:t>
            </w: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(446,238)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217,371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12,311</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18,932</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17,901</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18,223</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(161,500)</w:t>
            </w:r>
          </w:p>
        </w:tc>
        <w:tc>
          <w:tcPr>
            <w:tcW w:w="0" w:type="dxa"/>
            <w:vAlign w:val="bottom"/>
          </w:tcPr>
          <w:p>
            <w:pPr>
              <w:spacing w:after="0"/>
              <w:rPr>
                <w:sz w:val="1"/>
                <w:szCs w:val="1"/>
                <w:color w:val="auto"/>
              </w:rPr>
            </w:pPr>
          </w:p>
        </w:tc>
      </w:tr>
      <w:tr>
        <w:trPr>
          <w:trHeight w:val="188"/>
        </w:trPr>
        <w:tc>
          <w:tcPr>
            <w:tcW w:w="2000" w:type="dxa"/>
            <w:vAlign w:val="bottom"/>
          </w:tcPr>
          <w:p>
            <w:pPr>
              <w:ind w:left="20"/>
              <w:spacing w:after="0"/>
              <w:rPr>
                <w:sz w:val="20"/>
                <w:szCs w:val="20"/>
                <w:color w:val="auto"/>
              </w:rPr>
            </w:pPr>
            <w:r>
              <w:rPr>
                <w:rFonts w:ascii="Arial" w:cs="Arial" w:eastAsia="Arial" w:hAnsi="Arial"/>
                <w:sz w:val="14"/>
                <w:szCs w:val="14"/>
                <w:color w:val="auto"/>
              </w:rPr>
              <w:t>Las Vegas Operations</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328,762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144,108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3,319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73,174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16,862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5,588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581,844</w:t>
            </w:r>
          </w:p>
        </w:tc>
        <w:tc>
          <w:tcPr>
            <w:tcW w:w="0" w:type="dxa"/>
            <w:vAlign w:val="bottom"/>
          </w:tcPr>
          <w:p>
            <w:pPr>
              <w:spacing w:after="0"/>
              <w:rPr>
                <w:sz w:val="1"/>
                <w:szCs w:val="1"/>
                <w:color w:val="auto"/>
              </w:rPr>
            </w:pPr>
          </w:p>
        </w:tc>
      </w:tr>
      <w:tr>
        <w:trPr>
          <w:trHeight w:val="207"/>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Encore Boston Harbor</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25,551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117,296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29,810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180,132</w:t>
            </w:r>
          </w:p>
        </w:tc>
        <w:tc>
          <w:tcPr>
            <w:tcW w:w="0" w:type="dxa"/>
            <w:vAlign w:val="bottom"/>
          </w:tcPr>
          <w:p>
            <w:pPr>
              <w:spacing w:after="0"/>
              <w:rPr>
                <w:sz w:val="1"/>
                <w:szCs w:val="1"/>
                <w:color w:val="auto"/>
              </w:rPr>
            </w:pPr>
          </w:p>
        </w:tc>
      </w:tr>
      <w:tr>
        <w:trPr>
          <w:trHeight w:val="188"/>
        </w:trPr>
        <w:tc>
          <w:tcPr>
            <w:tcW w:w="2000" w:type="dxa"/>
            <w:vAlign w:val="bottom"/>
          </w:tcPr>
          <w:p>
            <w:pPr>
              <w:ind w:left="20"/>
              <w:spacing w:after="0"/>
              <w:rPr>
                <w:sz w:val="20"/>
                <w:szCs w:val="20"/>
                <w:color w:val="auto"/>
              </w:rPr>
            </w:pPr>
            <w:r>
              <w:rPr>
                <w:rFonts w:ascii="Arial" w:cs="Arial" w:eastAsia="Arial" w:hAnsi="Arial"/>
                <w:sz w:val="14"/>
                <w:szCs w:val="14"/>
                <w:color w:val="auto"/>
              </w:rPr>
              <w:t>Wynn Interactive</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(189,469)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3,166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34,448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68,143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5,504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8,006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(70,202)</w:t>
            </w:r>
          </w:p>
        </w:tc>
        <w:tc>
          <w:tcPr>
            <w:tcW w:w="0" w:type="dxa"/>
            <w:vAlign w:val="bottom"/>
          </w:tcPr>
          <w:p>
            <w:pPr>
              <w:spacing w:after="0"/>
              <w:rPr>
                <w:sz w:val="1"/>
                <w:szCs w:val="1"/>
                <w:color w:val="auto"/>
              </w:rPr>
            </w:pPr>
          </w:p>
        </w:tc>
      </w:tr>
      <w:tr>
        <w:trPr>
          <w:trHeight w:val="207"/>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and other</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(121,916)</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25,156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15,532</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200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(199,884)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13,396</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520,026</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77,362</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70,805</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48,569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530,274</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80" w:type="dxa"/>
            <w:vAlign w:val="bottom"/>
            <w:gridSpan w:val="10"/>
          </w:tcPr>
          <w:p>
            <w:pPr>
              <w:ind w:left="80"/>
              <w:spacing w:after="0"/>
              <w:rPr>
                <w:sz w:val="20"/>
                <w:szCs w:val="20"/>
                <w:color w:val="auto"/>
              </w:rPr>
            </w:pPr>
            <w:r>
              <w:rPr>
                <w:rFonts w:ascii="Arial" w:cs="Arial" w:eastAsia="Arial" w:hAnsi="Arial"/>
                <w:sz w:val="14"/>
                <w:szCs w:val="14"/>
                <w:b w:val="1"/>
                <w:bCs w:val="1"/>
                <w:color w:val="auto"/>
                <w:w w:val="89"/>
              </w:rPr>
              <w:t>Nine Months Ended September 30, 2021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0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Operating</w:t>
            </w:r>
          </w:p>
        </w:tc>
        <w:tc>
          <w:tcPr>
            <w:tcW w:w="120" w:type="dxa"/>
            <w:vAlign w:val="bottom"/>
          </w:tcPr>
          <w:p>
            <w:pPr>
              <w:spacing w:after="0"/>
              <w:rPr>
                <w:sz w:val="10"/>
                <w:szCs w:val="10"/>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Pre-opening</w:t>
            </w: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Depreciation and</w:t>
            </w:r>
          </w:p>
        </w:tc>
        <w:tc>
          <w:tcPr>
            <w:tcW w:w="100" w:type="dxa"/>
            <w:vAlign w:val="bottom"/>
          </w:tcPr>
          <w:p>
            <w:pPr>
              <w:spacing w:after="0"/>
              <w:rPr>
                <w:sz w:val="10"/>
                <w:szCs w:val="1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8"/>
              </w:rPr>
              <w:t>Property charges</w:t>
            </w:r>
          </w:p>
        </w:tc>
        <w:tc>
          <w:tcPr>
            <w:tcW w:w="120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Management and</w:t>
            </w:r>
          </w:p>
        </w:tc>
        <w:tc>
          <w:tcPr>
            <w:tcW w:w="120" w:type="dxa"/>
            <w:vAlign w:val="bottom"/>
          </w:tcPr>
          <w:p>
            <w:pPr>
              <w:spacing w:after="0"/>
              <w:rPr>
                <w:sz w:val="10"/>
                <w:szCs w:val="10"/>
                <w:color w:val="auto"/>
              </w:rPr>
            </w:pPr>
          </w:p>
        </w:tc>
        <w:tc>
          <w:tcPr>
            <w:tcW w:w="1060" w:type="dxa"/>
            <w:vAlign w:val="bottom"/>
            <w:gridSpan w:val="2"/>
          </w:tcPr>
          <w:p>
            <w:pPr>
              <w:jc w:val="center"/>
              <w:ind w:right="200"/>
              <w:spacing w:after="0" w:line="125" w:lineRule="exact"/>
              <w:rPr>
                <w:sz w:val="20"/>
                <w:szCs w:val="20"/>
                <w:color w:val="auto"/>
              </w:rPr>
            </w:pPr>
            <w:r>
              <w:rPr>
                <w:rFonts w:ascii="Arial" w:cs="Arial" w:eastAsia="Arial" w:hAnsi="Arial"/>
                <w:sz w:val="14"/>
                <w:szCs w:val="14"/>
                <w:b w:val="1"/>
                <w:bCs w:val="1"/>
                <w:color w:val="auto"/>
                <w:w w:val="92"/>
              </w:rPr>
              <w:t>Corporate</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6"/>
              </w:rPr>
              <w:t>Stock-based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right"/>
              <w:ind w:right="130"/>
              <w:spacing w:after="0" w:line="125"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5"/>
        </w:trPr>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12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84"/>
              </w:rPr>
              <w:t>expenses and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130"/>
              <w:spacing w:after="0" w:line="145"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1"/>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expenses</w:t>
            </w:r>
          </w:p>
        </w:tc>
        <w:tc>
          <w:tcPr>
            <w:tcW w:w="120" w:type="dxa"/>
            <w:vAlign w:val="bottom"/>
          </w:tcPr>
          <w:p>
            <w:pPr>
              <w:spacing w:after="0"/>
              <w:rPr>
                <w:sz w:val="16"/>
                <w:szCs w:val="16"/>
                <w:color w:val="auto"/>
              </w:rPr>
            </w:pPr>
          </w:p>
        </w:tc>
        <w:tc>
          <w:tcPr>
            <w:tcW w:w="960" w:type="dxa"/>
            <w:vAlign w:val="bottom"/>
          </w:tcPr>
          <w:p>
            <w:pPr>
              <w:jc w:val="right"/>
              <w:ind w:right="90"/>
              <w:spacing w:after="0"/>
              <w:rPr>
                <w:sz w:val="20"/>
                <w:szCs w:val="20"/>
                <w:color w:val="auto"/>
              </w:rPr>
            </w:pPr>
            <w:r>
              <w:rPr>
                <w:rFonts w:ascii="Arial" w:cs="Arial" w:eastAsia="Arial" w:hAnsi="Arial"/>
                <w:sz w:val="14"/>
                <w:szCs w:val="14"/>
                <w:b w:val="1"/>
                <w:bCs w:val="1"/>
                <w:color w:val="auto"/>
                <w:w w:val="93"/>
              </w:rPr>
              <w:t>amortization</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and other</w:t>
            </w:r>
          </w:p>
        </w:tc>
        <w:tc>
          <w:tcPr>
            <w:tcW w:w="160" w:type="dxa"/>
            <w:vAlign w:val="bottom"/>
          </w:tcPr>
          <w:p>
            <w:pPr>
              <w:spacing w:after="0"/>
              <w:rPr>
                <w:sz w:val="16"/>
                <w:szCs w:val="16"/>
                <w:color w:val="auto"/>
              </w:rPr>
            </w:pPr>
          </w:p>
        </w:tc>
        <w:tc>
          <w:tcPr>
            <w:tcW w:w="10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3"/>
              </w:rPr>
              <w:t>license fees</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other</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compensation</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13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84"/>
        </w:trPr>
        <w:tc>
          <w:tcPr>
            <w:tcW w:w="2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Macau Operations:</w:t>
            </w: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00" w:type="dxa"/>
            <w:vAlign w:val="bottom"/>
          </w:tcPr>
          <w:p>
            <w:pPr>
              <w:ind w:left="120"/>
              <w:spacing w:after="0"/>
              <w:rPr>
                <w:sz w:val="20"/>
                <w:szCs w:val="20"/>
                <w:color w:val="auto"/>
              </w:rPr>
            </w:pPr>
            <w:r>
              <w:rPr>
                <w:rFonts w:ascii="Arial" w:cs="Arial" w:eastAsia="Arial" w:hAnsi="Arial"/>
                <w:sz w:val="14"/>
                <w:szCs w:val="14"/>
                <w:color w:val="auto"/>
              </w:rPr>
              <w:t>Wynn Palace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(139,661)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898</w:t>
            </w:r>
          </w:p>
        </w:tc>
        <w:tc>
          <w:tcPr>
            <w:tcW w:w="1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192,980</w:t>
            </w:r>
          </w:p>
        </w:tc>
        <w:tc>
          <w:tcPr>
            <w:tcW w:w="2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4,073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22,987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3,542</w:t>
            </w:r>
          </w:p>
        </w:tc>
        <w:tc>
          <w:tcPr>
            <w:tcW w:w="8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8,217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93,036</w:t>
            </w:r>
          </w:p>
        </w:tc>
        <w:tc>
          <w:tcPr>
            <w:tcW w:w="0" w:type="dxa"/>
            <w:vAlign w:val="bottom"/>
          </w:tcPr>
          <w:p>
            <w:pPr>
              <w:spacing w:after="0"/>
              <w:rPr>
                <w:sz w:val="1"/>
                <w:szCs w:val="1"/>
                <w:color w:val="auto"/>
              </w:rPr>
            </w:pPr>
          </w:p>
        </w:tc>
      </w:tr>
      <w:tr>
        <w:trPr>
          <w:trHeight w:val="207"/>
        </w:trPr>
        <w:tc>
          <w:tcPr>
            <w:tcW w:w="2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Wynn Macau</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(70,541)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63,062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16,209</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13,260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28,703</w:t>
            </w:r>
          </w:p>
        </w:tc>
        <w:tc>
          <w:tcPr>
            <w:tcW w:w="0" w:type="dxa"/>
            <w:vAlign w:val="bottom"/>
          </w:tcPr>
          <w:p>
            <w:pPr>
              <w:spacing w:after="0"/>
              <w:rPr>
                <w:sz w:val="1"/>
                <w:szCs w:val="1"/>
                <w:color w:val="auto"/>
              </w:rPr>
            </w:pPr>
          </w:p>
        </w:tc>
      </w:tr>
      <w:tr>
        <w:trPr>
          <w:trHeight w:val="191"/>
        </w:trPr>
        <w:tc>
          <w:tcPr>
            <w:tcW w:w="2000" w:type="dxa"/>
            <w:vAlign w:val="bottom"/>
          </w:tcPr>
          <w:p>
            <w:pPr>
              <w:ind w:left="120"/>
              <w:spacing w:after="0"/>
              <w:rPr>
                <w:sz w:val="20"/>
                <w:szCs w:val="20"/>
                <w:color w:val="auto"/>
              </w:rPr>
            </w:pPr>
            <w:r>
              <w:rPr>
                <w:rFonts w:ascii="Arial" w:cs="Arial" w:eastAsia="Arial" w:hAnsi="Arial"/>
                <w:sz w:val="14"/>
                <w:szCs w:val="14"/>
                <w:color w:val="auto"/>
              </w:rPr>
              <w:t>Other Macau</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(9,799)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4,852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1,681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Macau Operations</w:t>
            </w: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(220,001)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259,287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6,903</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39,196</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12,298</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23,158</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121,739</w:t>
            </w:r>
          </w:p>
        </w:tc>
        <w:tc>
          <w:tcPr>
            <w:tcW w:w="0" w:type="dxa"/>
            <w:vAlign w:val="bottom"/>
          </w:tcPr>
          <w:p>
            <w:pPr>
              <w:spacing w:after="0"/>
              <w:rPr>
                <w:sz w:val="1"/>
                <w:szCs w:val="1"/>
                <w:color w:val="auto"/>
              </w:rPr>
            </w:pPr>
          </w:p>
        </w:tc>
      </w:tr>
      <w:tr>
        <w:trPr>
          <w:trHeight w:val="188"/>
        </w:trPr>
        <w:tc>
          <w:tcPr>
            <w:tcW w:w="2000" w:type="dxa"/>
            <w:vAlign w:val="bottom"/>
          </w:tcPr>
          <w:p>
            <w:pPr>
              <w:ind w:left="20"/>
              <w:spacing w:after="0"/>
              <w:rPr>
                <w:sz w:val="20"/>
                <w:szCs w:val="20"/>
                <w:color w:val="auto"/>
              </w:rPr>
            </w:pPr>
            <w:r>
              <w:rPr>
                <w:rFonts w:ascii="Arial" w:cs="Arial" w:eastAsia="Arial" w:hAnsi="Arial"/>
                <w:sz w:val="14"/>
                <w:szCs w:val="14"/>
                <w:color w:val="auto"/>
              </w:rPr>
              <w:t>Las Vegas Operations</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117,713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144,043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6,259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47,952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16,806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8,374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344,719</w:t>
            </w:r>
          </w:p>
        </w:tc>
        <w:tc>
          <w:tcPr>
            <w:tcW w:w="0" w:type="dxa"/>
            <w:vAlign w:val="bottom"/>
          </w:tcPr>
          <w:p>
            <w:pPr>
              <w:spacing w:after="0"/>
              <w:rPr>
                <w:sz w:val="1"/>
                <w:szCs w:val="1"/>
                <w:color w:val="auto"/>
              </w:rPr>
            </w:pPr>
          </w:p>
        </w:tc>
      </w:tr>
      <w:tr>
        <w:trPr>
          <w:trHeight w:val="207"/>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Encore Boston Harbor</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117,450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23,583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141,844</w:t>
            </w:r>
          </w:p>
        </w:tc>
        <w:tc>
          <w:tcPr>
            <w:tcW w:w="0" w:type="dxa"/>
            <w:vAlign w:val="bottom"/>
          </w:tcPr>
          <w:p>
            <w:pPr>
              <w:spacing w:after="0"/>
              <w:rPr>
                <w:sz w:val="1"/>
                <w:szCs w:val="1"/>
                <w:color w:val="auto"/>
              </w:rPr>
            </w:pPr>
          </w:p>
        </w:tc>
      </w:tr>
      <w:tr>
        <w:trPr>
          <w:trHeight w:val="188"/>
        </w:trPr>
        <w:tc>
          <w:tcPr>
            <w:tcW w:w="2000" w:type="dxa"/>
            <w:vAlign w:val="bottom"/>
          </w:tcPr>
          <w:p>
            <w:pPr>
              <w:ind w:left="20"/>
              <w:spacing w:after="0"/>
              <w:rPr>
                <w:sz w:val="20"/>
                <w:szCs w:val="20"/>
                <w:color w:val="auto"/>
              </w:rPr>
            </w:pPr>
            <w:r>
              <w:rPr>
                <w:rFonts w:ascii="Arial" w:cs="Arial" w:eastAsia="Arial" w:hAnsi="Arial"/>
                <w:sz w:val="14"/>
                <w:szCs w:val="14"/>
                <w:color w:val="auto"/>
              </w:rPr>
              <w:t>Wynn Interactive</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(241,182)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18,012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12,500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5,998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15,896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(187,961)</w:t>
            </w:r>
          </w:p>
        </w:tc>
        <w:tc>
          <w:tcPr>
            <w:tcW w:w="0" w:type="dxa"/>
            <w:vAlign w:val="bottom"/>
          </w:tcPr>
          <w:p>
            <w:pPr>
              <w:spacing w:after="0"/>
              <w:rPr>
                <w:sz w:val="1"/>
                <w:szCs w:val="1"/>
                <w:color w:val="auto"/>
              </w:rPr>
            </w:pPr>
          </w:p>
        </w:tc>
      </w:tr>
      <w:tr>
        <w:trPr>
          <w:trHeight w:val="207"/>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and other</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(110,731)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14,804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25,895</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200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(288,917)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5,455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545,538</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26,569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gridSpan w:val="2"/>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56,663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75,033</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420,341</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87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LOSS ATTRIBUTABLE TO WYNN RESORTS, LIMITED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ADJUSTED PROPERTY EBITDA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0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6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89"/>
        </w:trPr>
        <w:tc>
          <w:tcPr>
            <w:tcW w:w="61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96"/>
              </w:rPr>
              <w:t>2021</w:t>
            </w:r>
          </w:p>
        </w:tc>
      </w:tr>
      <w:tr>
        <w:trPr>
          <w:trHeight w:val="224"/>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Wynn Resorts, Limited</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(142,892)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(166,249)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(456,267)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(578,596)</w:t>
            </w:r>
          </w:p>
        </w:tc>
      </w:tr>
      <w:tr>
        <w:trPr>
          <w:trHeight w:val="223"/>
        </w:trPr>
        <w:tc>
          <w:tcPr>
            <w:tcW w:w="6180" w:type="dxa"/>
            <w:vAlign w:val="bottom"/>
          </w:tcPr>
          <w:p>
            <w:pPr>
              <w:ind w:left="340"/>
              <w:spacing w:after="0"/>
              <w:rPr>
                <w:sz w:val="20"/>
                <w:szCs w:val="20"/>
                <w:color w:val="auto"/>
              </w:rPr>
            </w:pPr>
            <w:r>
              <w:rPr>
                <w:rFonts w:ascii="Arial" w:cs="Arial" w:eastAsia="Arial" w:hAnsi="Arial"/>
                <w:sz w:val="18"/>
                <w:szCs w:val="18"/>
                <w:color w:val="auto"/>
              </w:rPr>
              <w:t>Net loss attributable to noncontrolling interests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(64,899)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(79,734)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(219,556)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5"/>
              </w:rPr>
              <w:t>(176,963)</w:t>
            </w:r>
          </w:p>
        </w:tc>
      </w:tr>
      <w:tr>
        <w:trPr>
          <w:trHeight w:val="224"/>
        </w:trPr>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Pre-opening expenses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5,455</w:t>
            </w:r>
          </w:p>
        </w:tc>
      </w:tr>
      <w:tr>
        <w:trPr>
          <w:trHeight w:val="223"/>
        </w:trPr>
        <w:tc>
          <w:tcPr>
            <w:tcW w:w="61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172,502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177,110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520,026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545,538</w:t>
            </w:r>
          </w:p>
        </w:tc>
      </w:tr>
      <w:tr>
        <w:trPr>
          <w:trHeight w:val="224"/>
        </w:trPr>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charges and other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77,362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26,569</w:t>
            </w:r>
          </w:p>
        </w:tc>
      </w:tr>
      <w:tr>
        <w:trPr>
          <w:trHeight w:val="223"/>
        </w:trPr>
        <w:tc>
          <w:tcPr>
            <w:tcW w:w="6180" w:type="dxa"/>
            <w:vAlign w:val="bottom"/>
          </w:tcPr>
          <w:p>
            <w:pPr>
              <w:ind w:left="340"/>
              <w:spacing w:after="0"/>
              <w:rPr>
                <w:sz w:val="20"/>
                <w:szCs w:val="20"/>
                <w:color w:val="auto"/>
              </w:rPr>
            </w:pPr>
            <w:r>
              <w:rPr>
                <w:rFonts w:ascii="Arial" w:cs="Arial" w:eastAsia="Arial" w:hAnsi="Arial"/>
                <w:sz w:val="18"/>
                <w:szCs w:val="18"/>
                <w:color w:val="auto"/>
              </w:rPr>
              <w:t>Corporate expenses and other</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22,769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18,901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70,805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56,663</w:t>
            </w:r>
          </w:p>
        </w:tc>
      </w:tr>
      <w:tr>
        <w:trPr>
          <w:trHeight w:val="224"/>
        </w:trPr>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48,569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75,033</w:t>
            </w:r>
          </w:p>
        </w:tc>
      </w:tr>
      <w:tr>
        <w:trPr>
          <w:trHeight w:val="223"/>
        </w:trPr>
        <w:tc>
          <w:tcPr>
            <w:tcW w:w="61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(6,892)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(10,863)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(2,131)</w:t>
            </w:r>
          </w:p>
        </w:tc>
      </w:tr>
      <w:tr>
        <w:trPr>
          <w:trHeight w:val="224"/>
        </w:trPr>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 of amounts capitalized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165,277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472,265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453,601</w:t>
            </w:r>
          </w:p>
        </w:tc>
      </w:tr>
      <w:tr>
        <w:trPr>
          <w:trHeight w:val="223"/>
        </w:trPr>
        <w:tc>
          <w:tcPr>
            <w:tcW w:w="6180" w:type="dxa"/>
            <w:vAlign w:val="bottom"/>
          </w:tcPr>
          <w:p>
            <w:pPr>
              <w:ind w:left="340"/>
              <w:spacing w:after="0"/>
              <w:rPr>
                <w:sz w:val="20"/>
                <w:szCs w:val="20"/>
                <w:color w:val="auto"/>
              </w:rPr>
            </w:pPr>
            <w:r>
              <w:rPr>
                <w:rFonts w:ascii="Arial" w:cs="Arial" w:eastAsia="Arial" w:hAnsi="Arial"/>
                <w:sz w:val="18"/>
                <w:szCs w:val="18"/>
                <w:color w:val="auto"/>
              </w:rPr>
              <w:t>Change in derivatives fair value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(5,839)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(14,801)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(6,557)</w:t>
            </w:r>
          </w:p>
        </w:tc>
      </w:tr>
      <w:tr>
        <w:trPr>
          <w:trHeight w:val="224"/>
        </w:trPr>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r>
      <w:tr>
        <w:trPr>
          <w:trHeight w:val="223"/>
        </w:trPr>
        <w:tc>
          <w:tcPr>
            <w:tcW w:w="6180" w:type="dxa"/>
            <w:vAlign w:val="bottom"/>
          </w:tcPr>
          <w:p>
            <w:pPr>
              <w:ind w:left="3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26,090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17,324</w:t>
            </w:r>
          </w:p>
        </w:tc>
      </w:tr>
      <w:tr>
        <w:trPr>
          <w:trHeight w:val="224"/>
        </w:trPr>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w:t>
            </w:r>
          </w:p>
        </w:tc>
      </w:tr>
      <w:tr>
        <w:trPr>
          <w:trHeight w:val="217"/>
        </w:trPr>
        <w:tc>
          <w:tcPr>
            <w:tcW w:w="6180" w:type="dxa"/>
            <w:vAlign w:val="bottom"/>
          </w:tcPr>
          <w:p>
            <w:pPr>
              <w:ind w:left="20"/>
              <w:spacing w:after="0"/>
              <w:rPr>
                <w:sz w:val="20"/>
                <w:szCs w:val="20"/>
                <w:color w:val="auto"/>
              </w:rPr>
            </w:pPr>
            <w:r>
              <w:rPr>
                <w:rFonts w:ascii="Arial" w:cs="Arial" w:eastAsia="Arial" w:hAnsi="Arial"/>
                <w:sz w:val="18"/>
                <w:szCs w:val="18"/>
                <w:b w:val="1"/>
                <w:bCs w:val="1"/>
                <w:color w:val="auto"/>
              </w:rPr>
              <w:t>Adjusted Property EBITDA</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173,534</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154,561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530,274</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420,341</w:t>
            </w:r>
          </w:p>
        </w:tc>
      </w:tr>
      <w:tr>
        <w:trPr>
          <w:trHeight w:val="20"/>
        </w:trPr>
        <w:tc>
          <w:tcPr>
            <w:tcW w:w="6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7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DATA SCHEDULE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win per unit per day, ADR and REVPAR)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5"/>
          </w:tcPr>
          <w:p>
            <w:pPr>
              <w:ind w:left="440"/>
              <w:spacing w:after="0"/>
              <w:rPr>
                <w:sz w:val="20"/>
                <w:szCs w:val="20"/>
                <w:color w:val="auto"/>
              </w:rPr>
            </w:pPr>
            <w:r>
              <w:rPr>
                <w:rFonts w:ascii="Arial" w:cs="Arial" w:eastAsia="Arial" w:hAnsi="Arial"/>
                <w:sz w:val="14"/>
                <w:szCs w:val="14"/>
                <w:b w:val="1"/>
                <w:bCs w:val="1"/>
                <w:color w:val="auto"/>
              </w:rPr>
              <w:t>Nine Months Ended</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restart"/>
          </w:tcPr>
          <w:p>
            <w:pPr>
              <w:jc w:val="right"/>
              <w:ind w:right="42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1"/>
                <w:szCs w:val="11"/>
                <w:color w:val="auto"/>
              </w:rPr>
            </w:pPr>
          </w:p>
        </w:tc>
        <w:tc>
          <w:tcPr>
            <w:tcW w:w="760" w:type="dxa"/>
            <w:vAlign w:val="bottom"/>
          </w:tcPr>
          <w:p>
            <w:pPr>
              <w:jc w:val="right"/>
              <w:ind w:right="62"/>
              <w:spacing w:after="0" w:line="134" w:lineRule="exact"/>
              <w:rPr>
                <w:sz w:val="20"/>
                <w:szCs w:val="20"/>
                <w:color w:val="auto"/>
              </w:rPr>
            </w:pPr>
            <w:r>
              <w:rPr>
                <w:rFonts w:ascii="Arial" w:cs="Arial" w:eastAsia="Arial" w:hAnsi="Arial"/>
                <w:sz w:val="14"/>
                <w:szCs w:val="14"/>
                <w:b w:val="1"/>
                <w:bCs w:val="1"/>
                <w:color w:val="auto"/>
              </w:rPr>
              <w:t>Percent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vMerge w:val="restart"/>
          </w:tcPr>
          <w:p>
            <w:pPr>
              <w:jc w:val="right"/>
              <w:ind w:right="42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740" w:type="dxa"/>
            <w:vAlign w:val="bottom"/>
          </w:tcPr>
          <w:p>
            <w:pPr>
              <w:jc w:val="right"/>
              <w:ind w:right="62"/>
              <w:spacing w:after="0" w:line="134"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4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Wynn Palace Supplemental Information</w:t>
            </w: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40" w:type="dxa"/>
            <w:vAlign w:val="bottom"/>
          </w:tcPr>
          <w:p>
            <w:pPr>
              <w:ind w:left="220"/>
              <w:spacing w:after="0"/>
              <w:rPr>
                <w:sz w:val="20"/>
                <w:szCs w:val="20"/>
                <w:color w:val="auto"/>
              </w:rPr>
            </w:pPr>
            <w:r>
              <w:rPr>
                <w:rFonts w:ascii="Arial" w:cs="Arial" w:eastAsia="Arial" w:hAnsi="Arial"/>
                <w:sz w:val="16"/>
                <w:szCs w:val="16"/>
                <w:color w:val="auto"/>
              </w:rPr>
              <w:t>Operating revenues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Casino</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45,361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134,064</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186,968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532,040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0" w:type="dxa"/>
            <w:vAlign w:val="bottom"/>
          </w:tcPr>
          <w:p>
            <w:pPr>
              <w:spacing w:after="0"/>
              <w:rPr>
                <w:sz w:val="1"/>
                <w:szCs w:val="1"/>
                <w:color w:val="auto"/>
              </w:rPr>
            </w:pPr>
          </w:p>
        </w:tc>
      </w:tr>
      <w:tr>
        <w:trPr>
          <w:trHeight w:val="207"/>
        </w:trPr>
        <w:tc>
          <w:tcPr>
            <w:tcW w:w="4140" w:type="dxa"/>
            <w:vAlign w:val="bottom"/>
          </w:tcPr>
          <w:p>
            <w:pPr>
              <w:ind w:left="340"/>
              <w:spacing w:after="0"/>
              <w:rPr>
                <w:sz w:val="20"/>
                <w:szCs w:val="20"/>
                <w:color w:val="auto"/>
              </w:rPr>
            </w:pPr>
            <w:r>
              <w:rPr>
                <w:rFonts w:ascii="Arial" w:cs="Arial" w:eastAsia="Arial" w:hAnsi="Arial"/>
                <w:sz w:val="16"/>
                <w:szCs w:val="16"/>
                <w:color w:val="auto"/>
              </w:rPr>
              <w:t>Rooms</w:t>
            </w: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6,974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15,639</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(55.4)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27,813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53,534</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(48.0)</w:t>
            </w:r>
          </w:p>
        </w:tc>
        <w:tc>
          <w:tcPr>
            <w:tcW w:w="0" w:type="dxa"/>
            <w:vAlign w:val="bottom"/>
          </w:tcPr>
          <w:p>
            <w:pPr>
              <w:spacing w:after="0"/>
              <w:rPr>
                <w:sz w:val="1"/>
                <w:szCs w:val="1"/>
                <w:color w:val="auto"/>
              </w:rPr>
            </w:pPr>
          </w:p>
        </w:tc>
      </w:tr>
      <w:tr>
        <w:trPr>
          <w:trHeight w:val="214"/>
        </w:trPr>
        <w:tc>
          <w:tcPr>
            <w:tcW w:w="4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Food and beverage</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5,727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10,952</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24,027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36,429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07"/>
        </w:trPr>
        <w:tc>
          <w:tcPr>
            <w:tcW w:w="41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Entertainment, retail and other</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17,186</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20,668</w:t>
            </w:r>
          </w:p>
        </w:tc>
        <w:tc>
          <w:tcPr>
            <w:tcW w:w="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58,416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67,017</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07"/>
        </w:trPr>
        <w:tc>
          <w:tcPr>
            <w:tcW w:w="414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Total</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75,248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b w:val="1"/>
                <w:bCs w:val="1"/>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181,323</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297,224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689,020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(56.9)</w:t>
            </w:r>
          </w:p>
        </w:tc>
        <w:tc>
          <w:tcPr>
            <w:tcW w:w="0" w:type="dxa"/>
            <w:vAlign w:val="bottom"/>
          </w:tcPr>
          <w:p>
            <w:pPr>
              <w:spacing w:after="0"/>
              <w:rPr>
                <w:sz w:val="1"/>
                <w:szCs w:val="1"/>
                <w:color w:val="auto"/>
              </w:rPr>
            </w:pPr>
          </w:p>
        </w:tc>
      </w:tr>
      <w:tr>
        <w:trPr>
          <w:trHeight w:val="250"/>
        </w:trPr>
        <w:tc>
          <w:tcPr>
            <w:tcW w:w="4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4"/>
                <w:szCs w:val="14"/>
                <w:b w:val="1"/>
                <w:bCs w:val="1"/>
                <w:color w:val="auto"/>
              </w:rPr>
              <w:t>(6)</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(21,808)</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b w:val="1"/>
                <w:bCs w:val="1"/>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12,112</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6"/>
                <w:szCs w:val="16"/>
                <w:b w:val="1"/>
                <w:bCs w:val="1"/>
                <w:color w:val="auto"/>
              </w:rPr>
              <w:t>NM</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(72,622)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93,036</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NM</w:t>
            </w:r>
          </w:p>
        </w:tc>
        <w:tc>
          <w:tcPr>
            <w:tcW w:w="0" w:type="dxa"/>
            <w:vAlign w:val="bottom"/>
          </w:tcPr>
          <w:p>
            <w:pPr>
              <w:spacing w:after="0"/>
              <w:rPr>
                <w:sz w:val="1"/>
                <w:szCs w:val="1"/>
                <w:color w:val="auto"/>
              </w:rPr>
            </w:pPr>
          </w:p>
        </w:tc>
      </w:tr>
      <w:tr>
        <w:trPr>
          <w:trHeight w:val="250"/>
        </w:trPr>
        <w:tc>
          <w:tcPr>
            <w:tcW w:w="4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Casino Statistics: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40" w:type="dxa"/>
            <w:vAlign w:val="bottom"/>
          </w:tcPr>
          <w:p>
            <w:pPr>
              <w:ind w:left="340"/>
              <w:spacing w:after="0"/>
              <w:rPr>
                <w:sz w:val="20"/>
                <w:szCs w:val="20"/>
                <w:color w:val="auto"/>
              </w:rPr>
            </w:pPr>
            <w:r>
              <w:rPr>
                <w:rFonts w:ascii="Arial" w:cs="Arial" w:eastAsia="Arial" w:hAnsi="Arial"/>
                <w:sz w:val="16"/>
                <w:szCs w:val="16"/>
                <w:color w:val="auto"/>
              </w:rPr>
              <w:t>VIP:</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Average number of table games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89</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07"/>
        </w:trPr>
        <w:tc>
          <w:tcPr>
            <w:tcW w:w="4140" w:type="dxa"/>
            <w:vAlign w:val="bottom"/>
          </w:tcPr>
          <w:p>
            <w:pPr>
              <w:ind w:left="540"/>
              <w:spacing w:after="0"/>
              <w:rPr>
                <w:sz w:val="20"/>
                <w:szCs w:val="20"/>
                <w:color w:val="auto"/>
              </w:rPr>
            </w:pPr>
            <w:r>
              <w:rPr>
                <w:rFonts w:ascii="Arial" w:cs="Arial" w:eastAsia="Arial" w:hAnsi="Arial"/>
                <w:sz w:val="16"/>
                <w:szCs w:val="16"/>
                <w:color w:val="auto"/>
              </w:rPr>
              <w:t>VIP turnover</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283,744</w:t>
            </w:r>
          </w:p>
        </w:tc>
        <w:tc>
          <w:tcPr>
            <w:tcW w:w="8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w w:val="98"/>
              </w:rPr>
              <w:t>1,234,733</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(77.0)</w:t>
            </w:r>
          </w:p>
        </w:tc>
        <w:tc>
          <w:tcPr>
            <w:tcW w:w="8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1,593,761</w:t>
            </w:r>
          </w:p>
        </w:tc>
        <w:tc>
          <w:tcPr>
            <w:tcW w:w="100" w:type="dxa"/>
            <w:vAlign w:val="bottom"/>
          </w:tcPr>
          <w:p>
            <w:pPr>
              <w:spacing w:after="0"/>
              <w:rPr>
                <w:sz w:val="18"/>
                <w:szCs w:val="18"/>
                <w:color w:val="auto"/>
              </w:rPr>
            </w:pP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w w:val="98"/>
              </w:rPr>
              <w:t>5,246,296</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(69.6)</w:t>
            </w:r>
          </w:p>
        </w:tc>
        <w:tc>
          <w:tcPr>
            <w:tcW w:w="0" w:type="dxa"/>
            <w:vAlign w:val="bottom"/>
          </w:tcPr>
          <w:p>
            <w:pPr>
              <w:spacing w:after="0"/>
              <w:rPr>
                <w:sz w:val="1"/>
                <w:szCs w:val="1"/>
                <w:color w:val="auto"/>
              </w:rPr>
            </w:pPr>
          </w:p>
        </w:tc>
      </w:tr>
      <w:tr>
        <w:trPr>
          <w:trHeight w:val="227"/>
        </w:trPr>
        <w:tc>
          <w:tcPr>
            <w:tcW w:w="41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VIP table games win </w:t>
            </w:r>
            <w:r>
              <w:rPr>
                <w:rFonts w:ascii="Arial" w:cs="Arial" w:eastAsia="Arial" w:hAnsi="Arial"/>
                <w:sz w:val="14"/>
                <w:szCs w:val="14"/>
                <w:color w:val="auto"/>
              </w:rPr>
              <w:t>(1)</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9,271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54,943</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22,353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222,968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207"/>
        </w:trPr>
        <w:tc>
          <w:tcPr>
            <w:tcW w:w="4140" w:type="dxa"/>
            <w:vAlign w:val="bottom"/>
          </w:tcPr>
          <w:p>
            <w:pPr>
              <w:ind w:left="540"/>
              <w:spacing w:after="0"/>
              <w:rPr>
                <w:sz w:val="20"/>
                <w:szCs w:val="20"/>
                <w:color w:val="auto"/>
              </w:rPr>
            </w:pPr>
            <w:r>
              <w:rPr>
                <w:rFonts w:ascii="Arial" w:cs="Arial" w:eastAsia="Arial" w:hAnsi="Arial"/>
                <w:sz w:val="16"/>
                <w:szCs w:val="16"/>
                <w:color w:val="auto"/>
              </w:rPr>
              <w:t>VIP table games win as a % of turnover</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3.27 %</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4.45 %</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1.40 %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4.25 %</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Table games win per unit per day</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2,381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6,691</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1,587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8,548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0" w:type="dxa"/>
            <w:vAlign w:val="bottom"/>
          </w:tcPr>
          <w:p>
            <w:pPr>
              <w:spacing w:after="0"/>
              <w:rPr>
                <w:sz w:val="1"/>
                <w:szCs w:val="1"/>
                <w:color w:val="auto"/>
              </w:rPr>
            </w:pPr>
          </w:p>
        </w:tc>
      </w:tr>
      <w:tr>
        <w:trPr>
          <w:trHeight w:val="207"/>
        </w:trPr>
        <w:tc>
          <w:tcPr>
            <w:tcW w:w="4140" w:type="dxa"/>
            <w:vAlign w:val="bottom"/>
          </w:tcPr>
          <w:p>
            <w:pPr>
              <w:ind w:left="340"/>
              <w:spacing w:after="0"/>
              <w:rPr>
                <w:sz w:val="20"/>
                <w:szCs w:val="20"/>
                <w:color w:val="auto"/>
              </w:rPr>
            </w:pPr>
            <w:r>
              <w:rPr>
                <w:rFonts w:ascii="Arial" w:cs="Arial" w:eastAsia="Arial" w:hAnsi="Arial"/>
                <w:sz w:val="16"/>
                <w:szCs w:val="16"/>
                <w:color w:val="auto"/>
              </w:rPr>
              <w:t>Mass market:</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Average number of table games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212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231</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20"/>
        </w:trPr>
        <w:tc>
          <w:tcPr>
            <w:tcW w:w="4140" w:type="dxa"/>
            <w:vAlign w:val="bottom"/>
          </w:tcPr>
          <w:p>
            <w:pPr>
              <w:ind w:left="540"/>
              <w:spacing w:after="0"/>
              <w:rPr>
                <w:sz w:val="20"/>
                <w:szCs w:val="20"/>
                <w:color w:val="auto"/>
              </w:rPr>
            </w:pPr>
            <w:r>
              <w:rPr>
                <w:rFonts w:ascii="Arial" w:cs="Arial" w:eastAsia="Arial" w:hAnsi="Arial"/>
                <w:sz w:val="16"/>
                <w:szCs w:val="16"/>
                <w:color w:val="auto"/>
              </w:rPr>
              <w:t xml:space="preserve">Table drop </w:t>
            </w:r>
            <w:r>
              <w:rPr>
                <w:rFonts w:ascii="Arial" w:cs="Arial" w:eastAsia="Arial" w:hAnsi="Arial"/>
                <w:sz w:val="14"/>
                <w:szCs w:val="14"/>
                <w:color w:val="auto"/>
              </w:rPr>
              <w:t>(2)</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197,066</w:t>
            </w:r>
          </w:p>
        </w:tc>
        <w:tc>
          <w:tcPr>
            <w:tcW w:w="80" w:type="dxa"/>
            <w:vAlign w:val="bottom"/>
          </w:tcPr>
          <w:p>
            <w:pPr>
              <w:spacing w:after="0"/>
              <w:rPr>
                <w:sz w:val="19"/>
                <w:szCs w:val="19"/>
                <w:color w:val="auto"/>
              </w:rPr>
            </w:pPr>
          </w:p>
        </w:tc>
        <w:tc>
          <w:tcPr>
            <w:tcW w:w="460" w:type="dxa"/>
            <w:vAlign w:val="bottom"/>
          </w:tcPr>
          <w:p>
            <w:pPr>
              <w:jc w:val="right"/>
              <w:ind w:right="28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508,779</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(61.3)</w:t>
            </w:r>
          </w:p>
        </w:tc>
        <w:tc>
          <w:tcPr>
            <w:tcW w:w="8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939,474</w:t>
            </w:r>
          </w:p>
        </w:tc>
        <w:tc>
          <w:tcPr>
            <w:tcW w:w="100" w:type="dxa"/>
            <w:vAlign w:val="bottom"/>
          </w:tcPr>
          <w:p>
            <w:pPr>
              <w:spacing w:after="0"/>
              <w:rPr>
                <w:sz w:val="19"/>
                <w:szCs w:val="19"/>
                <w:color w:val="auto"/>
              </w:rPr>
            </w:pP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w w:val="98"/>
              </w:rPr>
              <w:t>1,823,792</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(48.5)</w:t>
            </w:r>
          </w:p>
        </w:tc>
        <w:tc>
          <w:tcPr>
            <w:tcW w:w="0" w:type="dxa"/>
            <w:vAlign w:val="bottom"/>
          </w:tcPr>
          <w:p>
            <w:pPr>
              <w:spacing w:after="0"/>
              <w:rPr>
                <w:sz w:val="1"/>
                <w:szCs w:val="1"/>
                <w:color w:val="auto"/>
              </w:rPr>
            </w:pPr>
          </w:p>
        </w:tc>
      </w:tr>
      <w:tr>
        <w:trPr>
          <w:trHeight w:val="227"/>
        </w:trPr>
        <w:tc>
          <w:tcPr>
            <w:tcW w:w="41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Table games win </w:t>
            </w:r>
            <w:r>
              <w:rPr>
                <w:rFonts w:ascii="Arial" w:cs="Arial" w:eastAsia="Arial" w:hAnsi="Arial"/>
                <w:sz w:val="14"/>
                <w:szCs w:val="14"/>
                <w:color w:val="auto"/>
              </w:rPr>
              <w:t>(1)</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42,449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110,820</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195,205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406,016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207"/>
        </w:trPr>
        <w:tc>
          <w:tcPr>
            <w:tcW w:w="4140" w:type="dxa"/>
            <w:vAlign w:val="bottom"/>
          </w:tcPr>
          <w:p>
            <w:pPr>
              <w:ind w:left="540"/>
              <w:spacing w:after="0"/>
              <w:rPr>
                <w:sz w:val="20"/>
                <w:szCs w:val="20"/>
                <w:color w:val="auto"/>
              </w:rPr>
            </w:pPr>
            <w:r>
              <w:rPr>
                <w:rFonts w:ascii="Arial" w:cs="Arial" w:eastAsia="Arial" w:hAnsi="Arial"/>
                <w:sz w:val="16"/>
                <w:szCs w:val="16"/>
                <w:color w:val="auto"/>
              </w:rPr>
              <w:t>Table games win %</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21.5 %</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21.8 %</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20.8 %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22.3 %</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Table games win per unit per day</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2,501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5,223</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3,305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6,555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07"/>
        </w:trPr>
        <w:tc>
          <w:tcPr>
            <w:tcW w:w="4140" w:type="dxa"/>
            <w:vAlign w:val="bottom"/>
          </w:tcPr>
          <w:p>
            <w:pPr>
              <w:ind w:left="540"/>
              <w:spacing w:after="0"/>
              <w:rPr>
                <w:sz w:val="20"/>
                <w:szCs w:val="20"/>
                <w:color w:val="auto"/>
              </w:rPr>
            </w:pPr>
            <w:r>
              <w:rPr>
                <w:rFonts w:ascii="Arial" w:cs="Arial" w:eastAsia="Arial" w:hAnsi="Arial"/>
                <w:sz w:val="16"/>
                <w:szCs w:val="16"/>
                <w:color w:val="auto"/>
              </w:rPr>
              <w:t>Average number of slot machines</w:t>
            </w: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607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712</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638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708</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4"/>
        </w:trPr>
        <w:tc>
          <w:tcPr>
            <w:tcW w:w="41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Slot machine handle</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121,522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327,017</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502,856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98"/>
              </w:rPr>
              <w:t>1,107,058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20"/>
        </w:trPr>
        <w:tc>
          <w:tcPr>
            <w:tcW w:w="4140" w:type="dxa"/>
            <w:vAlign w:val="bottom"/>
          </w:tcPr>
          <w:p>
            <w:pPr>
              <w:ind w:left="540"/>
              <w:spacing w:after="0"/>
              <w:rPr>
                <w:sz w:val="20"/>
                <w:szCs w:val="20"/>
                <w:color w:val="auto"/>
              </w:rPr>
            </w:pPr>
            <w:r>
              <w:rPr>
                <w:rFonts w:ascii="Arial" w:cs="Arial" w:eastAsia="Arial" w:hAnsi="Arial"/>
                <w:sz w:val="16"/>
                <w:szCs w:val="16"/>
                <w:color w:val="auto"/>
              </w:rPr>
              <w:t xml:space="preserve">Slot machine win </w:t>
            </w:r>
            <w:r>
              <w:rPr>
                <w:rFonts w:ascii="Arial" w:cs="Arial" w:eastAsia="Arial" w:hAnsi="Arial"/>
                <w:sz w:val="14"/>
                <w:szCs w:val="14"/>
                <w:color w:val="auto"/>
              </w:rPr>
              <w:t>(3)</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5,418</w:t>
            </w:r>
          </w:p>
        </w:tc>
        <w:tc>
          <w:tcPr>
            <w:tcW w:w="80" w:type="dxa"/>
            <w:vAlign w:val="bottom"/>
          </w:tcPr>
          <w:p>
            <w:pPr>
              <w:spacing w:after="0"/>
              <w:rPr>
                <w:sz w:val="19"/>
                <w:szCs w:val="19"/>
                <w:color w:val="auto"/>
              </w:rPr>
            </w:pPr>
          </w:p>
        </w:tc>
        <w:tc>
          <w:tcPr>
            <w:tcW w:w="460" w:type="dxa"/>
            <w:vAlign w:val="bottom"/>
          </w:tcPr>
          <w:p>
            <w:pPr>
              <w:jc w:val="right"/>
              <w:ind w:right="28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11,538</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(53.0)</w:t>
            </w:r>
          </w:p>
        </w:tc>
        <w:tc>
          <w:tcPr>
            <w:tcW w:w="8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22,989</w:t>
            </w:r>
          </w:p>
        </w:tc>
        <w:tc>
          <w:tcPr>
            <w:tcW w:w="100" w:type="dxa"/>
            <w:vAlign w:val="bottom"/>
          </w:tcPr>
          <w:p>
            <w:pPr>
              <w:spacing w:after="0"/>
              <w:rPr>
                <w:sz w:val="19"/>
                <w:szCs w:val="19"/>
                <w:color w:val="auto"/>
              </w:rPr>
            </w:pP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44,553</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214"/>
        </w:trPr>
        <w:tc>
          <w:tcPr>
            <w:tcW w:w="41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Slot machine win per unit per day</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112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176</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07"/>
        </w:trPr>
        <w:tc>
          <w:tcPr>
            <w:tcW w:w="4140" w:type="dxa"/>
            <w:vAlign w:val="bottom"/>
          </w:tcPr>
          <w:p>
            <w:pPr>
              <w:ind w:left="220"/>
              <w:spacing w:after="0"/>
              <w:rPr>
                <w:sz w:val="20"/>
                <w:szCs w:val="20"/>
                <w:color w:val="auto"/>
              </w:rPr>
            </w:pPr>
            <w:r>
              <w:rPr>
                <w:rFonts w:ascii="Arial" w:cs="Arial" w:eastAsia="Arial" w:hAnsi="Arial"/>
                <w:sz w:val="16"/>
                <w:szCs w:val="16"/>
                <w:color w:val="auto"/>
              </w:rPr>
              <w:t>Room statistics: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Occupancy</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28.1 %</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51.9 %</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61.1 %</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40" w:type="dxa"/>
            <w:vAlign w:val="bottom"/>
          </w:tcPr>
          <w:p>
            <w:pPr>
              <w:ind w:left="540"/>
              <w:spacing w:after="0"/>
              <w:rPr>
                <w:sz w:val="20"/>
                <w:szCs w:val="20"/>
                <w:color w:val="auto"/>
              </w:rPr>
            </w:pPr>
            <w:r>
              <w:rPr>
                <w:rFonts w:ascii="Arial" w:cs="Arial" w:eastAsia="Arial" w:hAnsi="Arial"/>
                <w:sz w:val="16"/>
                <w:szCs w:val="16"/>
                <w:color w:val="auto"/>
              </w:rPr>
              <w:t xml:space="preserve">ADR </w:t>
            </w:r>
            <w:r>
              <w:rPr>
                <w:rFonts w:ascii="Arial" w:cs="Arial" w:eastAsia="Arial" w:hAnsi="Arial"/>
                <w:sz w:val="14"/>
                <w:szCs w:val="14"/>
                <w:color w:val="auto"/>
              </w:rPr>
              <w:t>(4)</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145</w:t>
            </w:r>
          </w:p>
        </w:tc>
        <w:tc>
          <w:tcPr>
            <w:tcW w:w="80" w:type="dxa"/>
            <w:vAlign w:val="bottom"/>
          </w:tcPr>
          <w:p>
            <w:pPr>
              <w:spacing w:after="0"/>
              <w:rPr>
                <w:sz w:val="19"/>
                <w:szCs w:val="19"/>
                <w:color w:val="auto"/>
              </w:rPr>
            </w:pPr>
          </w:p>
        </w:tc>
        <w:tc>
          <w:tcPr>
            <w:tcW w:w="460" w:type="dxa"/>
            <w:vAlign w:val="bottom"/>
          </w:tcPr>
          <w:p>
            <w:pPr>
              <w:jc w:val="right"/>
              <w:ind w:right="28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187</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(22.5)</w:t>
            </w:r>
          </w:p>
        </w:tc>
        <w:tc>
          <w:tcPr>
            <w:tcW w:w="8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9"/>
                <w:szCs w:val="19"/>
                <w:color w:val="auto"/>
              </w:rPr>
            </w:pP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27"/>
        </w:trPr>
        <w:tc>
          <w:tcPr>
            <w:tcW w:w="41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REVPAR </w:t>
            </w:r>
            <w:r>
              <w:rPr>
                <w:rFonts w:ascii="Arial" w:cs="Arial" w:eastAsia="Arial" w:hAnsi="Arial"/>
                <w:sz w:val="14"/>
                <w:szCs w:val="14"/>
                <w:color w:val="auto"/>
              </w:rPr>
              <w:t>(5)</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97</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NM: Not meaningful.</w:t>
      </w:r>
    </w:p>
    <w:p>
      <w:pPr>
        <w:spacing w:after="0" w:line="1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Note: Our casino operations in Macau were closed for a 12-day period in July 2022 and resumed operations on a reduced basis on July 23, 2022. The results of operations of Wynn Palace for the three and nine months ended September 30, 2022 and 2021 were negatively impacted by the casino closures, certain travel-related restrictions and conditions, including COVID-19 testing and other mitigation procedures, related to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87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DATA SCHEDULE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win per unit per day, ADR and REVPAR)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(continued)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5"/>
          </w:tcPr>
          <w:p>
            <w:pPr>
              <w:ind w:left="440"/>
              <w:spacing w:after="0"/>
              <w:rPr>
                <w:sz w:val="20"/>
                <w:szCs w:val="20"/>
                <w:color w:val="auto"/>
              </w:rPr>
            </w:pPr>
            <w:r>
              <w:rPr>
                <w:rFonts w:ascii="Arial" w:cs="Arial" w:eastAsia="Arial" w:hAnsi="Arial"/>
                <w:sz w:val="14"/>
                <w:szCs w:val="14"/>
                <w:b w:val="1"/>
                <w:bCs w:val="1"/>
                <w:color w:val="auto"/>
              </w:rPr>
              <w:t>Nine Months Ended</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restart"/>
          </w:tcPr>
          <w:p>
            <w:pPr>
              <w:jc w:val="right"/>
              <w:ind w:right="42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740" w:type="dxa"/>
            <w:vAlign w:val="bottom"/>
          </w:tcPr>
          <w:p>
            <w:pPr>
              <w:jc w:val="right"/>
              <w:ind w:right="62"/>
              <w:spacing w:after="0" w:line="134" w:lineRule="exact"/>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restart"/>
          </w:tcPr>
          <w:p>
            <w:pPr>
              <w:jc w:val="right"/>
              <w:ind w:right="42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740" w:type="dxa"/>
            <w:vAlign w:val="bottom"/>
          </w:tcPr>
          <w:p>
            <w:pPr>
              <w:jc w:val="right"/>
              <w:ind w:right="62"/>
              <w:spacing w:after="0" w:line="134"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4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Wynn Macau Supplemental Information</w:t>
            </w: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40" w:type="dxa"/>
            <w:vAlign w:val="bottom"/>
          </w:tcPr>
          <w:p>
            <w:pPr>
              <w:ind w:left="220"/>
              <w:spacing w:after="0"/>
              <w:rPr>
                <w:sz w:val="20"/>
                <w:szCs w:val="20"/>
                <w:color w:val="auto"/>
              </w:rPr>
            </w:pPr>
            <w:r>
              <w:rPr>
                <w:rFonts w:ascii="Arial" w:cs="Arial" w:eastAsia="Arial" w:hAnsi="Arial"/>
                <w:sz w:val="16"/>
                <w:szCs w:val="16"/>
                <w:color w:val="auto"/>
              </w:rPr>
              <w:t>Operating revenues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Casino</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22,832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98,264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165,221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379,610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0" w:type="dxa"/>
            <w:vAlign w:val="bottom"/>
          </w:tcPr>
          <w:p>
            <w:pPr>
              <w:spacing w:after="0"/>
              <w:rPr>
                <w:sz w:val="1"/>
                <w:szCs w:val="1"/>
                <w:color w:val="auto"/>
              </w:rPr>
            </w:pPr>
          </w:p>
        </w:tc>
      </w:tr>
      <w:tr>
        <w:trPr>
          <w:trHeight w:val="207"/>
        </w:trPr>
        <w:tc>
          <w:tcPr>
            <w:tcW w:w="4140" w:type="dxa"/>
            <w:vAlign w:val="bottom"/>
          </w:tcPr>
          <w:p>
            <w:pPr>
              <w:ind w:left="340"/>
              <w:spacing w:after="0"/>
              <w:rPr>
                <w:sz w:val="20"/>
                <w:szCs w:val="20"/>
                <w:color w:val="auto"/>
              </w:rPr>
            </w:pPr>
            <w:r>
              <w:rPr>
                <w:rFonts w:ascii="Arial" w:cs="Arial" w:eastAsia="Arial" w:hAnsi="Arial"/>
                <w:sz w:val="16"/>
                <w:szCs w:val="16"/>
                <w:color w:val="auto"/>
              </w:rPr>
              <w:t>Rooms</w:t>
            </w: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4,395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10,896</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18,547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39,025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14"/>
        </w:trPr>
        <w:tc>
          <w:tcPr>
            <w:tcW w:w="4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Food and beverage</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4,261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7,628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17,878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23,620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07"/>
        </w:trPr>
        <w:tc>
          <w:tcPr>
            <w:tcW w:w="41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Entertainment, retail and other</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8,880</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13,874</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32,405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52,086</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207"/>
        </w:trPr>
        <w:tc>
          <w:tcPr>
            <w:tcW w:w="414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Total</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40,368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b w:val="1"/>
                <w:bCs w:val="1"/>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130,662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(69.1)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234,051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b w:val="1"/>
                <w:bCs w:val="1"/>
                <w:color w:val="auto"/>
                <w:w w:val="89"/>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494,341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(52.7)</w:t>
            </w:r>
          </w:p>
        </w:tc>
        <w:tc>
          <w:tcPr>
            <w:tcW w:w="0" w:type="dxa"/>
            <w:vAlign w:val="bottom"/>
          </w:tcPr>
          <w:p>
            <w:pPr>
              <w:spacing w:after="0"/>
              <w:rPr>
                <w:sz w:val="1"/>
                <w:szCs w:val="1"/>
                <w:color w:val="auto"/>
              </w:rPr>
            </w:pPr>
          </w:p>
        </w:tc>
      </w:tr>
      <w:tr>
        <w:trPr>
          <w:trHeight w:val="263"/>
        </w:trPr>
        <w:tc>
          <w:tcPr>
            <w:tcW w:w="4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4"/>
                <w:szCs w:val="14"/>
                <w:b w:val="1"/>
                <w:bCs w:val="1"/>
                <w:color w:val="auto"/>
              </w:rPr>
              <w:t>(6)</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(43,806)</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b w:val="1"/>
                <w:bCs w:val="1"/>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(1,939)</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NM</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(88,878)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b w:val="1"/>
                <w:bCs w:val="1"/>
                <w:color w:val="auto"/>
                <w:w w:val="89"/>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28,703</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NM</w:t>
            </w:r>
          </w:p>
        </w:tc>
        <w:tc>
          <w:tcPr>
            <w:tcW w:w="0" w:type="dxa"/>
            <w:vAlign w:val="bottom"/>
          </w:tcPr>
          <w:p>
            <w:pPr>
              <w:spacing w:after="0"/>
              <w:rPr>
                <w:sz w:val="1"/>
                <w:szCs w:val="1"/>
                <w:color w:val="auto"/>
              </w:rPr>
            </w:pPr>
          </w:p>
        </w:tc>
      </w:tr>
      <w:tr>
        <w:trPr>
          <w:trHeight w:val="263"/>
        </w:trPr>
        <w:tc>
          <w:tcPr>
            <w:tcW w:w="4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Casino Statistics: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40" w:type="dxa"/>
            <w:vAlign w:val="bottom"/>
          </w:tcPr>
          <w:p>
            <w:pPr>
              <w:ind w:left="340"/>
              <w:spacing w:after="0"/>
              <w:rPr>
                <w:sz w:val="20"/>
                <w:szCs w:val="20"/>
                <w:color w:val="auto"/>
              </w:rPr>
            </w:pPr>
            <w:r>
              <w:rPr>
                <w:rFonts w:ascii="Arial" w:cs="Arial" w:eastAsia="Arial" w:hAnsi="Arial"/>
                <w:sz w:val="16"/>
                <w:szCs w:val="16"/>
                <w:color w:val="auto"/>
              </w:rPr>
              <w:t>VIP:</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Average number of table games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0" w:type="dxa"/>
            <w:vAlign w:val="bottom"/>
          </w:tcPr>
          <w:p>
            <w:pPr>
              <w:spacing w:after="0"/>
              <w:rPr>
                <w:sz w:val="1"/>
                <w:szCs w:val="1"/>
                <w:color w:val="auto"/>
              </w:rPr>
            </w:pPr>
          </w:p>
        </w:tc>
      </w:tr>
      <w:tr>
        <w:trPr>
          <w:trHeight w:val="207"/>
        </w:trPr>
        <w:tc>
          <w:tcPr>
            <w:tcW w:w="4140" w:type="dxa"/>
            <w:vAlign w:val="bottom"/>
          </w:tcPr>
          <w:p>
            <w:pPr>
              <w:ind w:left="540"/>
              <w:spacing w:after="0"/>
              <w:rPr>
                <w:sz w:val="20"/>
                <w:szCs w:val="20"/>
                <w:color w:val="auto"/>
              </w:rPr>
            </w:pPr>
            <w:r>
              <w:rPr>
                <w:rFonts w:ascii="Arial" w:cs="Arial" w:eastAsia="Arial" w:hAnsi="Arial"/>
                <w:sz w:val="16"/>
                <w:szCs w:val="16"/>
                <w:color w:val="auto"/>
              </w:rPr>
              <w:t>VIP turnover</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152,872</w:t>
            </w:r>
          </w:p>
        </w:tc>
        <w:tc>
          <w:tcPr>
            <w:tcW w:w="80" w:type="dxa"/>
            <w:vAlign w:val="bottom"/>
          </w:tcPr>
          <w:p>
            <w:pPr>
              <w:spacing w:after="0"/>
              <w:rPr>
                <w:sz w:val="18"/>
                <w:szCs w:val="18"/>
                <w:color w:val="auto"/>
              </w:rPr>
            </w:pP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w w:val="98"/>
              </w:rPr>
              <w:t>1,335,694</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(88.6)</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1,341,567</w:t>
            </w:r>
          </w:p>
        </w:tc>
        <w:tc>
          <w:tcPr>
            <w:tcW w:w="100" w:type="dxa"/>
            <w:vAlign w:val="bottom"/>
          </w:tcPr>
          <w:p>
            <w:pPr>
              <w:spacing w:after="0"/>
              <w:rPr>
                <w:sz w:val="18"/>
                <w:szCs w:val="18"/>
                <w:color w:val="auto"/>
              </w:rPr>
            </w:pP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4,629,987</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(71.0)</w:t>
            </w:r>
          </w:p>
        </w:tc>
        <w:tc>
          <w:tcPr>
            <w:tcW w:w="0" w:type="dxa"/>
            <w:vAlign w:val="bottom"/>
          </w:tcPr>
          <w:p>
            <w:pPr>
              <w:spacing w:after="0"/>
              <w:rPr>
                <w:sz w:val="1"/>
                <w:szCs w:val="1"/>
                <w:color w:val="auto"/>
              </w:rPr>
            </w:pPr>
          </w:p>
        </w:tc>
      </w:tr>
      <w:tr>
        <w:trPr>
          <w:trHeight w:val="227"/>
        </w:trPr>
        <w:tc>
          <w:tcPr>
            <w:tcW w:w="41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VIP table games win </w:t>
            </w:r>
            <w:r>
              <w:rPr>
                <w:rFonts w:ascii="Arial" w:cs="Arial" w:eastAsia="Arial" w:hAnsi="Arial"/>
                <w:sz w:val="14"/>
                <w:szCs w:val="14"/>
                <w:color w:val="auto"/>
              </w:rPr>
              <w:t>(1)</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2,389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32,602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50,864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130,624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0" w:type="dxa"/>
            <w:vAlign w:val="bottom"/>
          </w:tcPr>
          <w:p>
            <w:pPr>
              <w:spacing w:after="0"/>
              <w:rPr>
                <w:sz w:val="1"/>
                <w:szCs w:val="1"/>
                <w:color w:val="auto"/>
              </w:rPr>
            </w:pPr>
          </w:p>
        </w:tc>
      </w:tr>
      <w:tr>
        <w:trPr>
          <w:trHeight w:val="207"/>
        </w:trPr>
        <w:tc>
          <w:tcPr>
            <w:tcW w:w="4140" w:type="dxa"/>
            <w:vAlign w:val="bottom"/>
          </w:tcPr>
          <w:p>
            <w:pPr>
              <w:ind w:left="540"/>
              <w:spacing w:after="0"/>
              <w:rPr>
                <w:sz w:val="20"/>
                <w:szCs w:val="20"/>
                <w:color w:val="auto"/>
              </w:rPr>
            </w:pPr>
            <w:r>
              <w:rPr>
                <w:rFonts w:ascii="Arial" w:cs="Arial" w:eastAsia="Arial" w:hAnsi="Arial"/>
                <w:sz w:val="16"/>
                <w:szCs w:val="16"/>
                <w:color w:val="auto"/>
              </w:rPr>
              <w:t>VIP table games win as a % of turnover</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1.56 %</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2.44 %</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3.79 %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2.82 %</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Table games win per unit per day</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771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4,704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5,164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5,745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07"/>
        </w:trPr>
        <w:tc>
          <w:tcPr>
            <w:tcW w:w="4140" w:type="dxa"/>
            <w:vAlign w:val="bottom"/>
          </w:tcPr>
          <w:p>
            <w:pPr>
              <w:ind w:left="340"/>
              <w:spacing w:after="0"/>
              <w:rPr>
                <w:sz w:val="20"/>
                <w:szCs w:val="20"/>
                <w:color w:val="auto"/>
              </w:rPr>
            </w:pPr>
            <w:r>
              <w:rPr>
                <w:rFonts w:ascii="Arial" w:cs="Arial" w:eastAsia="Arial" w:hAnsi="Arial"/>
                <w:sz w:val="16"/>
                <w:szCs w:val="16"/>
                <w:color w:val="auto"/>
              </w:rPr>
              <w:t>Mass market:</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Average number of table games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230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0"/>
        </w:trPr>
        <w:tc>
          <w:tcPr>
            <w:tcW w:w="4140" w:type="dxa"/>
            <w:vAlign w:val="bottom"/>
          </w:tcPr>
          <w:p>
            <w:pPr>
              <w:ind w:left="540"/>
              <w:spacing w:after="0"/>
              <w:rPr>
                <w:sz w:val="20"/>
                <w:szCs w:val="20"/>
                <w:color w:val="auto"/>
              </w:rPr>
            </w:pPr>
            <w:r>
              <w:rPr>
                <w:rFonts w:ascii="Arial" w:cs="Arial" w:eastAsia="Arial" w:hAnsi="Arial"/>
                <w:sz w:val="16"/>
                <w:szCs w:val="16"/>
                <w:color w:val="auto"/>
              </w:rPr>
              <w:t xml:space="preserve">Table drop </w:t>
            </w:r>
            <w:r>
              <w:rPr>
                <w:rFonts w:ascii="Arial" w:cs="Arial" w:eastAsia="Arial" w:hAnsi="Arial"/>
                <w:sz w:val="14"/>
                <w:szCs w:val="14"/>
                <w:color w:val="auto"/>
              </w:rPr>
              <w:t>(2)</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167,539</w:t>
            </w:r>
          </w:p>
        </w:tc>
        <w:tc>
          <w:tcPr>
            <w:tcW w:w="80" w:type="dxa"/>
            <w:vAlign w:val="bottom"/>
          </w:tcPr>
          <w:p>
            <w:pPr>
              <w:spacing w:after="0"/>
              <w:rPr>
                <w:sz w:val="19"/>
                <w:szCs w:val="19"/>
                <w:color w:val="auto"/>
              </w:rPr>
            </w:pP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441,899</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(62.1)</w:t>
            </w:r>
          </w:p>
        </w:tc>
        <w:tc>
          <w:tcPr>
            <w:tcW w:w="10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852,832</w:t>
            </w:r>
          </w:p>
        </w:tc>
        <w:tc>
          <w:tcPr>
            <w:tcW w:w="100" w:type="dxa"/>
            <w:vAlign w:val="bottom"/>
          </w:tcPr>
          <w:p>
            <w:pPr>
              <w:spacing w:after="0"/>
              <w:rPr>
                <w:sz w:val="19"/>
                <w:szCs w:val="19"/>
                <w:color w:val="auto"/>
              </w:rPr>
            </w:pP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1,703,189</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(49.9)</w:t>
            </w:r>
          </w:p>
        </w:tc>
        <w:tc>
          <w:tcPr>
            <w:tcW w:w="0" w:type="dxa"/>
            <w:vAlign w:val="bottom"/>
          </w:tcPr>
          <w:p>
            <w:pPr>
              <w:spacing w:after="0"/>
              <w:rPr>
                <w:sz w:val="1"/>
                <w:szCs w:val="1"/>
                <w:color w:val="auto"/>
              </w:rPr>
            </w:pPr>
          </w:p>
        </w:tc>
      </w:tr>
      <w:tr>
        <w:trPr>
          <w:trHeight w:val="227"/>
        </w:trPr>
        <w:tc>
          <w:tcPr>
            <w:tcW w:w="41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Table games win </w:t>
            </w:r>
            <w:r>
              <w:rPr>
                <w:rFonts w:ascii="Arial" w:cs="Arial" w:eastAsia="Arial" w:hAnsi="Arial"/>
                <w:sz w:val="14"/>
                <w:szCs w:val="14"/>
                <w:color w:val="auto"/>
              </w:rPr>
              <w:t>(1)</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22,232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87,132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135,074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321,236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207"/>
        </w:trPr>
        <w:tc>
          <w:tcPr>
            <w:tcW w:w="4140" w:type="dxa"/>
            <w:vAlign w:val="bottom"/>
          </w:tcPr>
          <w:p>
            <w:pPr>
              <w:ind w:left="540"/>
              <w:spacing w:after="0"/>
              <w:rPr>
                <w:sz w:val="20"/>
                <w:szCs w:val="20"/>
                <w:color w:val="auto"/>
              </w:rPr>
            </w:pPr>
            <w:r>
              <w:rPr>
                <w:rFonts w:ascii="Arial" w:cs="Arial" w:eastAsia="Arial" w:hAnsi="Arial"/>
                <w:sz w:val="16"/>
                <w:szCs w:val="16"/>
                <w:color w:val="auto"/>
              </w:rPr>
              <w:t>Table games win %</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13.3 %</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19.7 %</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15.8 %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18.9 %</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Table games win per unit per day</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1,211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3,972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2,140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4,914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0" w:type="dxa"/>
            <w:vAlign w:val="bottom"/>
          </w:tcPr>
          <w:p>
            <w:pPr>
              <w:spacing w:after="0"/>
              <w:rPr>
                <w:sz w:val="1"/>
                <w:szCs w:val="1"/>
                <w:color w:val="auto"/>
              </w:rPr>
            </w:pPr>
          </w:p>
        </w:tc>
      </w:tr>
      <w:tr>
        <w:trPr>
          <w:trHeight w:val="207"/>
        </w:trPr>
        <w:tc>
          <w:tcPr>
            <w:tcW w:w="4140" w:type="dxa"/>
            <w:vAlign w:val="bottom"/>
          </w:tcPr>
          <w:p>
            <w:pPr>
              <w:ind w:left="540"/>
              <w:spacing w:after="0"/>
              <w:rPr>
                <w:sz w:val="20"/>
                <w:szCs w:val="20"/>
                <w:color w:val="auto"/>
              </w:rPr>
            </w:pPr>
            <w:r>
              <w:rPr>
                <w:rFonts w:ascii="Arial" w:cs="Arial" w:eastAsia="Arial" w:hAnsi="Arial"/>
                <w:sz w:val="16"/>
                <w:szCs w:val="16"/>
                <w:color w:val="auto"/>
              </w:rPr>
              <w:t>Average number of slot machines</w:t>
            </w: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641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574</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630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4"/>
        </w:trPr>
        <w:tc>
          <w:tcPr>
            <w:tcW w:w="41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Slot machine handle</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193,680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200,543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676,531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802,337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20"/>
        </w:trPr>
        <w:tc>
          <w:tcPr>
            <w:tcW w:w="4140" w:type="dxa"/>
            <w:vAlign w:val="bottom"/>
          </w:tcPr>
          <w:p>
            <w:pPr>
              <w:ind w:left="540"/>
              <w:spacing w:after="0"/>
              <w:rPr>
                <w:sz w:val="20"/>
                <w:szCs w:val="20"/>
                <w:color w:val="auto"/>
              </w:rPr>
            </w:pPr>
            <w:r>
              <w:rPr>
                <w:rFonts w:ascii="Arial" w:cs="Arial" w:eastAsia="Arial" w:hAnsi="Arial"/>
                <w:sz w:val="16"/>
                <w:szCs w:val="16"/>
                <w:color w:val="auto"/>
              </w:rPr>
              <w:t xml:space="preserve">Slot machine win </w:t>
            </w:r>
            <w:r>
              <w:rPr>
                <w:rFonts w:ascii="Arial" w:cs="Arial" w:eastAsia="Arial" w:hAnsi="Arial"/>
                <w:sz w:val="14"/>
                <w:szCs w:val="14"/>
                <w:color w:val="auto"/>
              </w:rPr>
              <w:t>(3)</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6,961</w:t>
            </w:r>
          </w:p>
        </w:tc>
        <w:tc>
          <w:tcPr>
            <w:tcW w:w="80" w:type="dxa"/>
            <w:vAlign w:val="bottom"/>
          </w:tcPr>
          <w:p>
            <w:pPr>
              <w:spacing w:after="0"/>
              <w:rPr>
                <w:sz w:val="19"/>
                <w:szCs w:val="19"/>
                <w:color w:val="auto"/>
              </w:rPr>
            </w:pP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9,142</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23,902</w:t>
            </w:r>
          </w:p>
        </w:tc>
        <w:tc>
          <w:tcPr>
            <w:tcW w:w="100" w:type="dxa"/>
            <w:vAlign w:val="bottom"/>
          </w:tcPr>
          <w:p>
            <w:pPr>
              <w:spacing w:after="0"/>
              <w:rPr>
                <w:sz w:val="19"/>
                <w:szCs w:val="19"/>
                <w:color w:val="auto"/>
              </w:rPr>
            </w:pP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28,573</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14"/>
        </w:trPr>
        <w:tc>
          <w:tcPr>
            <w:tcW w:w="41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Slot machine win per unit per day</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07"/>
        </w:trPr>
        <w:tc>
          <w:tcPr>
            <w:tcW w:w="4140" w:type="dxa"/>
            <w:vAlign w:val="bottom"/>
          </w:tcPr>
          <w:p>
            <w:pPr>
              <w:ind w:left="220"/>
              <w:spacing w:after="0"/>
              <w:rPr>
                <w:sz w:val="20"/>
                <w:szCs w:val="20"/>
                <w:color w:val="auto"/>
              </w:rPr>
            </w:pPr>
            <w:r>
              <w:rPr>
                <w:rFonts w:ascii="Arial" w:cs="Arial" w:eastAsia="Arial" w:hAnsi="Arial"/>
                <w:sz w:val="16"/>
                <w:szCs w:val="16"/>
                <w:color w:val="auto"/>
              </w:rPr>
              <w:t>Room statistics: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Occupancy</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31.4 %</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51.3 %</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60.0 %</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40" w:type="dxa"/>
            <w:vAlign w:val="bottom"/>
          </w:tcPr>
          <w:p>
            <w:pPr>
              <w:ind w:left="540"/>
              <w:spacing w:after="0"/>
              <w:rPr>
                <w:sz w:val="20"/>
                <w:szCs w:val="20"/>
                <w:color w:val="auto"/>
              </w:rPr>
            </w:pPr>
            <w:r>
              <w:rPr>
                <w:rFonts w:ascii="Arial" w:cs="Arial" w:eastAsia="Arial" w:hAnsi="Arial"/>
                <w:sz w:val="16"/>
                <w:szCs w:val="16"/>
                <w:color w:val="auto"/>
              </w:rPr>
              <w:t xml:space="preserve">ADR </w:t>
            </w:r>
            <w:r>
              <w:rPr>
                <w:rFonts w:ascii="Arial" w:cs="Arial" w:eastAsia="Arial" w:hAnsi="Arial"/>
                <w:sz w:val="14"/>
                <w:szCs w:val="14"/>
                <w:color w:val="auto"/>
              </w:rPr>
              <w:t>(4)</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137</w:t>
            </w:r>
          </w:p>
        </w:tc>
        <w:tc>
          <w:tcPr>
            <w:tcW w:w="80" w:type="dxa"/>
            <w:vAlign w:val="bottom"/>
          </w:tcPr>
          <w:p>
            <w:pPr>
              <w:spacing w:after="0"/>
              <w:rPr>
                <w:sz w:val="19"/>
                <w:szCs w:val="19"/>
                <w:color w:val="auto"/>
              </w:rPr>
            </w:pP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9"/>
                <w:szCs w:val="19"/>
                <w:color w:val="auto"/>
              </w:rPr>
            </w:pP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27"/>
        </w:trPr>
        <w:tc>
          <w:tcPr>
            <w:tcW w:w="41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REVPAR </w:t>
            </w:r>
            <w:r>
              <w:rPr>
                <w:rFonts w:ascii="Arial" w:cs="Arial" w:eastAsia="Arial" w:hAnsi="Arial"/>
                <w:sz w:val="14"/>
                <w:szCs w:val="14"/>
                <w:color w:val="auto"/>
              </w:rPr>
              <w:t>(5)</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NM: Not meaningful.</w:t>
      </w:r>
    </w:p>
    <w:p>
      <w:pPr>
        <w:spacing w:after="0" w:line="1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Note: Our casino operations in Macau were closed for a 12-day period in July 2022 and resumed operations on a reduced basis on July 23, 2022. The results of operations of Wynn Macau for the three and nine months ended September 30, 2022 and 2021 were negatively impacted by the casino closures, certain travel-related restrictions and conditions, including COVID-19 testing and other mitigation procedures, related to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87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DATA SCHEDULE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win per unit per day, ADR and REVPAR)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(continued)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gridSpan w:val="5"/>
          </w:tcPr>
          <w:p>
            <w:pPr>
              <w:ind w:left="420"/>
              <w:spacing w:after="0"/>
              <w:rPr>
                <w:sz w:val="20"/>
                <w:szCs w:val="20"/>
                <w:color w:val="auto"/>
              </w:rPr>
            </w:pPr>
            <w:r>
              <w:rPr>
                <w:rFonts w:ascii="Arial" w:cs="Arial" w:eastAsia="Arial" w:hAnsi="Arial"/>
                <w:sz w:val="14"/>
                <w:szCs w:val="14"/>
                <w:b w:val="1"/>
                <w:bCs w:val="1"/>
                <w:color w:val="auto"/>
              </w:rPr>
              <w:t>Nine Months Ended</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restart"/>
          </w:tcPr>
          <w:p>
            <w:pPr>
              <w:jc w:val="right"/>
              <w:ind w:right="42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1"/>
                <w:szCs w:val="11"/>
                <w:color w:val="auto"/>
              </w:rPr>
            </w:pPr>
          </w:p>
        </w:tc>
        <w:tc>
          <w:tcPr>
            <w:tcW w:w="760" w:type="dxa"/>
            <w:vAlign w:val="bottom"/>
          </w:tcPr>
          <w:p>
            <w:pPr>
              <w:jc w:val="right"/>
              <w:ind w:right="62"/>
              <w:spacing w:after="0" w:line="134" w:lineRule="exact"/>
              <w:rPr>
                <w:sz w:val="20"/>
                <w:szCs w:val="20"/>
                <w:color w:val="auto"/>
              </w:rPr>
            </w:pPr>
            <w:r>
              <w:rPr>
                <w:rFonts w:ascii="Arial" w:cs="Arial" w:eastAsia="Arial" w:hAnsi="Arial"/>
                <w:sz w:val="14"/>
                <w:szCs w:val="14"/>
                <w:b w:val="1"/>
                <w:bCs w:val="1"/>
                <w:color w:val="auto"/>
              </w:rPr>
              <w:t>Percent</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vMerge w:val="restart"/>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740" w:type="dxa"/>
            <w:vAlign w:val="bottom"/>
          </w:tcPr>
          <w:p>
            <w:pPr>
              <w:jc w:val="right"/>
              <w:ind w:right="62"/>
              <w:spacing w:after="0" w:line="134"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4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8"/>
              </w:rPr>
              <w:t>Las Vegas Operations Supplemental Information</w:t>
            </w: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40" w:type="dxa"/>
            <w:vAlign w:val="bottom"/>
          </w:tcPr>
          <w:p>
            <w:pPr>
              <w:ind w:left="220"/>
              <w:spacing w:after="0"/>
              <w:rPr>
                <w:sz w:val="20"/>
                <w:szCs w:val="20"/>
                <w:color w:val="auto"/>
              </w:rPr>
            </w:pPr>
            <w:r>
              <w:rPr>
                <w:rFonts w:ascii="Arial" w:cs="Arial" w:eastAsia="Arial" w:hAnsi="Arial"/>
                <w:sz w:val="16"/>
                <w:szCs w:val="16"/>
                <w:color w:val="auto"/>
              </w:rPr>
              <w:t>Operating revenues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Casino</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134,314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112,575</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393,930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305,253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07"/>
        </w:trPr>
        <w:tc>
          <w:tcPr>
            <w:tcW w:w="4140" w:type="dxa"/>
            <w:vAlign w:val="bottom"/>
          </w:tcPr>
          <w:p>
            <w:pPr>
              <w:ind w:left="340"/>
              <w:spacing w:after="0"/>
              <w:rPr>
                <w:sz w:val="20"/>
                <w:szCs w:val="20"/>
                <w:color w:val="auto"/>
              </w:rPr>
            </w:pPr>
            <w:r>
              <w:rPr>
                <w:rFonts w:ascii="Arial" w:cs="Arial" w:eastAsia="Arial" w:hAnsi="Arial"/>
                <w:sz w:val="16"/>
                <w:szCs w:val="16"/>
                <w:color w:val="auto"/>
              </w:rPr>
              <w:t>Rooms</w:t>
            </w: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162,125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132,704</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460,707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266,250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73.0</w:t>
            </w:r>
          </w:p>
        </w:tc>
        <w:tc>
          <w:tcPr>
            <w:tcW w:w="0" w:type="dxa"/>
            <w:vAlign w:val="bottom"/>
          </w:tcPr>
          <w:p>
            <w:pPr>
              <w:spacing w:after="0"/>
              <w:rPr>
                <w:sz w:val="1"/>
                <w:szCs w:val="1"/>
                <w:color w:val="auto"/>
              </w:rPr>
            </w:pPr>
          </w:p>
        </w:tc>
      </w:tr>
      <w:tr>
        <w:trPr>
          <w:trHeight w:val="214"/>
        </w:trPr>
        <w:tc>
          <w:tcPr>
            <w:tcW w:w="4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Food and beverage</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193,733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180,455</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526,389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333,390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0" w:type="dxa"/>
            <w:vAlign w:val="bottom"/>
          </w:tcPr>
          <w:p>
            <w:pPr>
              <w:spacing w:after="0"/>
              <w:rPr>
                <w:sz w:val="1"/>
                <w:szCs w:val="1"/>
                <w:color w:val="auto"/>
              </w:rPr>
            </w:pPr>
          </w:p>
        </w:tc>
      </w:tr>
      <w:tr>
        <w:trPr>
          <w:trHeight w:val="207"/>
        </w:trPr>
        <w:tc>
          <w:tcPr>
            <w:tcW w:w="41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Entertainment, retail and other</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54,217</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50,269</w:t>
            </w:r>
          </w:p>
        </w:tc>
        <w:tc>
          <w:tcPr>
            <w:tcW w:w="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165,618</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104,892</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w:t>
            </w:r>
          </w:p>
        </w:tc>
        <w:tc>
          <w:tcPr>
            <w:tcW w:w="0" w:type="dxa"/>
            <w:vAlign w:val="bottom"/>
          </w:tcPr>
          <w:p>
            <w:pPr>
              <w:spacing w:after="0"/>
              <w:rPr>
                <w:sz w:val="1"/>
                <w:szCs w:val="1"/>
                <w:color w:val="auto"/>
              </w:rPr>
            </w:pPr>
          </w:p>
        </w:tc>
      </w:tr>
      <w:tr>
        <w:trPr>
          <w:trHeight w:val="207"/>
        </w:trPr>
        <w:tc>
          <w:tcPr>
            <w:tcW w:w="414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Total</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544,389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b w:val="1"/>
                <w:bCs w:val="1"/>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476,003</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1,546,644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b w:val="1"/>
                <w:bCs w:val="1"/>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98"/>
              </w:rPr>
              <w:t>1,009,785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53.2</w:t>
            </w:r>
          </w:p>
        </w:tc>
        <w:tc>
          <w:tcPr>
            <w:tcW w:w="0" w:type="dxa"/>
            <w:vAlign w:val="bottom"/>
          </w:tcPr>
          <w:p>
            <w:pPr>
              <w:spacing w:after="0"/>
              <w:rPr>
                <w:sz w:val="1"/>
                <w:szCs w:val="1"/>
                <w:color w:val="auto"/>
              </w:rPr>
            </w:pPr>
          </w:p>
        </w:tc>
      </w:tr>
      <w:tr>
        <w:trPr>
          <w:trHeight w:val="263"/>
        </w:trPr>
        <w:tc>
          <w:tcPr>
            <w:tcW w:w="4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14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 xml:space="preserve">Adjusted Property EBITDA </w:t>
            </w:r>
            <w:r>
              <w:rPr>
                <w:rFonts w:ascii="Arial" w:cs="Arial" w:eastAsia="Arial" w:hAnsi="Arial"/>
                <w:sz w:val="14"/>
                <w:szCs w:val="14"/>
                <w:b w:val="1"/>
                <w:bCs w:val="1"/>
                <w:color w:val="auto"/>
              </w:rPr>
              <w:t>(6)</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195,760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b w:val="1"/>
                <w:bCs w:val="1"/>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183,416</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581,844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b w:val="1"/>
                <w:bCs w:val="1"/>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344,719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68.8</w:t>
            </w:r>
          </w:p>
        </w:tc>
        <w:tc>
          <w:tcPr>
            <w:tcW w:w="0" w:type="dxa"/>
            <w:vAlign w:val="bottom"/>
          </w:tcPr>
          <w:p>
            <w:pPr>
              <w:spacing w:after="0"/>
              <w:rPr>
                <w:sz w:val="1"/>
                <w:szCs w:val="1"/>
                <w:color w:val="auto"/>
              </w:rPr>
            </w:pPr>
          </w:p>
        </w:tc>
      </w:tr>
      <w:tr>
        <w:trPr>
          <w:trHeight w:val="263"/>
        </w:trPr>
        <w:tc>
          <w:tcPr>
            <w:tcW w:w="4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Casino Statistics: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40" w:type="dxa"/>
            <w:vAlign w:val="bottom"/>
          </w:tcPr>
          <w:p>
            <w:pPr>
              <w:ind w:left="540"/>
              <w:spacing w:after="0"/>
              <w:rPr>
                <w:sz w:val="20"/>
                <w:szCs w:val="20"/>
                <w:color w:val="auto"/>
              </w:rPr>
            </w:pPr>
            <w:r>
              <w:rPr>
                <w:rFonts w:ascii="Arial" w:cs="Arial" w:eastAsia="Arial" w:hAnsi="Arial"/>
                <w:sz w:val="16"/>
                <w:szCs w:val="16"/>
                <w:color w:val="auto"/>
              </w:rPr>
              <w:t>Average number of table games</w:t>
            </w: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237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224</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234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27"/>
        </w:trPr>
        <w:tc>
          <w:tcPr>
            <w:tcW w:w="41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Table drop </w:t>
            </w:r>
            <w:r>
              <w:rPr>
                <w:rFonts w:ascii="Arial" w:cs="Arial" w:eastAsia="Arial" w:hAnsi="Arial"/>
                <w:sz w:val="14"/>
                <w:szCs w:val="14"/>
                <w:color w:val="auto"/>
              </w:rPr>
              <w:t>(2)</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570,419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507,188</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1,683,317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98"/>
              </w:rPr>
              <w:t>1,258,733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20"/>
        </w:trPr>
        <w:tc>
          <w:tcPr>
            <w:tcW w:w="4140" w:type="dxa"/>
            <w:vAlign w:val="bottom"/>
          </w:tcPr>
          <w:p>
            <w:pPr>
              <w:ind w:left="540"/>
              <w:spacing w:after="0"/>
              <w:rPr>
                <w:sz w:val="20"/>
                <w:szCs w:val="20"/>
                <w:color w:val="auto"/>
              </w:rPr>
            </w:pPr>
            <w:r>
              <w:rPr>
                <w:rFonts w:ascii="Arial" w:cs="Arial" w:eastAsia="Arial" w:hAnsi="Arial"/>
                <w:sz w:val="16"/>
                <w:szCs w:val="16"/>
                <w:color w:val="auto"/>
              </w:rPr>
              <w:t xml:space="preserve">Table games win </w:t>
            </w:r>
            <w:r>
              <w:rPr>
                <w:rFonts w:ascii="Arial" w:cs="Arial" w:eastAsia="Arial" w:hAnsi="Arial"/>
                <w:sz w:val="14"/>
                <w:szCs w:val="14"/>
                <w:color w:val="auto"/>
              </w:rPr>
              <w:t>(1)</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118,263</w:t>
            </w:r>
          </w:p>
        </w:tc>
        <w:tc>
          <w:tcPr>
            <w:tcW w:w="80" w:type="dxa"/>
            <w:vAlign w:val="bottom"/>
          </w:tcPr>
          <w:p>
            <w:pPr>
              <w:spacing w:after="0"/>
              <w:rPr>
                <w:sz w:val="19"/>
                <w:szCs w:val="19"/>
                <w:color w:val="auto"/>
              </w:rPr>
            </w:pPr>
          </w:p>
        </w:tc>
        <w:tc>
          <w:tcPr>
            <w:tcW w:w="460" w:type="dxa"/>
            <w:vAlign w:val="bottom"/>
          </w:tcPr>
          <w:p>
            <w:pPr>
              <w:jc w:val="right"/>
              <w:ind w:right="28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110,265</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7.3</w:t>
            </w:r>
          </w:p>
        </w:tc>
        <w:tc>
          <w:tcPr>
            <w:tcW w:w="80" w:type="dxa"/>
            <w:vAlign w:val="bottom"/>
          </w:tcPr>
          <w:p>
            <w:pPr>
              <w:spacing w:after="0"/>
              <w:rPr>
                <w:sz w:val="19"/>
                <w:szCs w:val="19"/>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386,306</w:t>
            </w:r>
          </w:p>
        </w:tc>
        <w:tc>
          <w:tcPr>
            <w:tcW w:w="80" w:type="dxa"/>
            <w:vAlign w:val="bottom"/>
          </w:tcPr>
          <w:p>
            <w:pPr>
              <w:spacing w:after="0"/>
              <w:rPr>
                <w:sz w:val="19"/>
                <w:szCs w:val="19"/>
                <w:color w:val="auto"/>
              </w:rPr>
            </w:pP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285,939</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14"/>
        </w:trPr>
        <w:tc>
          <w:tcPr>
            <w:tcW w:w="41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Table games win %</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20.7 %</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21.7 %</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22.9 %</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22.7 %</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40" w:type="dxa"/>
            <w:vAlign w:val="bottom"/>
          </w:tcPr>
          <w:p>
            <w:pPr>
              <w:ind w:left="540"/>
              <w:spacing w:after="0"/>
              <w:rPr>
                <w:sz w:val="20"/>
                <w:szCs w:val="20"/>
                <w:color w:val="auto"/>
              </w:rPr>
            </w:pPr>
            <w:r>
              <w:rPr>
                <w:rFonts w:ascii="Arial" w:cs="Arial" w:eastAsia="Arial" w:hAnsi="Arial"/>
                <w:sz w:val="16"/>
                <w:szCs w:val="16"/>
                <w:color w:val="auto"/>
              </w:rPr>
              <w:t>Table games win per unit per day</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5,420</w:t>
            </w:r>
          </w:p>
        </w:tc>
        <w:tc>
          <w:tcPr>
            <w:tcW w:w="8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5,354</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6,047</w:t>
            </w:r>
          </w:p>
        </w:tc>
        <w:tc>
          <w:tcPr>
            <w:tcW w:w="80" w:type="dxa"/>
            <w:vAlign w:val="bottom"/>
          </w:tcPr>
          <w:p>
            <w:pPr>
              <w:spacing w:after="0"/>
              <w:rPr>
                <w:sz w:val="18"/>
                <w:szCs w:val="18"/>
                <w:color w:val="auto"/>
              </w:rPr>
            </w:pP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5,117</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14"/>
        </w:trPr>
        <w:tc>
          <w:tcPr>
            <w:tcW w:w="41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Average number of slot machines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1,693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1,746</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1,711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1,670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7"/>
        </w:trPr>
        <w:tc>
          <w:tcPr>
            <w:tcW w:w="4140" w:type="dxa"/>
            <w:vAlign w:val="bottom"/>
          </w:tcPr>
          <w:p>
            <w:pPr>
              <w:ind w:left="540"/>
              <w:spacing w:after="0"/>
              <w:rPr>
                <w:sz w:val="20"/>
                <w:szCs w:val="20"/>
                <w:color w:val="auto"/>
              </w:rPr>
            </w:pPr>
            <w:r>
              <w:rPr>
                <w:rFonts w:ascii="Arial" w:cs="Arial" w:eastAsia="Arial" w:hAnsi="Arial"/>
                <w:sz w:val="16"/>
                <w:szCs w:val="16"/>
                <w:color w:val="auto"/>
              </w:rPr>
              <w:t>Slot machine handle</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1,522,512</w:t>
            </w:r>
          </w:p>
        </w:tc>
        <w:tc>
          <w:tcPr>
            <w:tcW w:w="8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w w:val="98"/>
              </w:rPr>
              <w:t>1,156,858</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31.6</w:t>
            </w:r>
          </w:p>
        </w:tc>
        <w:tc>
          <w:tcPr>
            <w:tcW w:w="8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4,026,675</w:t>
            </w:r>
          </w:p>
        </w:tc>
        <w:tc>
          <w:tcPr>
            <w:tcW w:w="80" w:type="dxa"/>
            <w:vAlign w:val="bottom"/>
          </w:tcPr>
          <w:p>
            <w:pPr>
              <w:spacing w:after="0"/>
              <w:rPr>
                <w:sz w:val="18"/>
                <w:szCs w:val="18"/>
                <w:color w:val="auto"/>
              </w:rPr>
            </w:pP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w w:val="98"/>
              </w:rPr>
              <w:t>3,063,267</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27"/>
        </w:trPr>
        <w:tc>
          <w:tcPr>
            <w:tcW w:w="41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Slot machine win </w:t>
            </w:r>
            <w:r>
              <w:rPr>
                <w:rFonts w:ascii="Arial" w:cs="Arial" w:eastAsia="Arial" w:hAnsi="Arial"/>
                <w:sz w:val="14"/>
                <w:szCs w:val="14"/>
                <w:color w:val="auto"/>
              </w:rPr>
              <w:t>(3)</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107,575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80,303</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278,250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209,682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07"/>
        </w:trPr>
        <w:tc>
          <w:tcPr>
            <w:tcW w:w="4140" w:type="dxa"/>
            <w:vAlign w:val="bottom"/>
          </w:tcPr>
          <w:p>
            <w:pPr>
              <w:ind w:left="540"/>
              <w:spacing w:after="0"/>
              <w:rPr>
                <w:sz w:val="20"/>
                <w:szCs w:val="20"/>
                <w:color w:val="auto"/>
              </w:rPr>
            </w:pPr>
            <w:r>
              <w:rPr>
                <w:rFonts w:ascii="Arial" w:cs="Arial" w:eastAsia="Arial" w:hAnsi="Arial"/>
                <w:sz w:val="16"/>
                <w:szCs w:val="16"/>
                <w:color w:val="auto"/>
              </w:rPr>
              <w:t>Slot machine win per unit per day</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691</w:t>
            </w:r>
          </w:p>
        </w:tc>
        <w:tc>
          <w:tcPr>
            <w:tcW w:w="8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500</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38.2</w:t>
            </w:r>
          </w:p>
        </w:tc>
        <w:tc>
          <w:tcPr>
            <w:tcW w:w="8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596</w:t>
            </w:r>
          </w:p>
        </w:tc>
        <w:tc>
          <w:tcPr>
            <w:tcW w:w="80" w:type="dxa"/>
            <w:vAlign w:val="bottom"/>
          </w:tcPr>
          <w:p>
            <w:pPr>
              <w:spacing w:after="0"/>
              <w:rPr>
                <w:sz w:val="18"/>
                <w:szCs w:val="18"/>
                <w:color w:val="auto"/>
              </w:rPr>
            </w:pP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14"/>
        </w:trPr>
        <w:tc>
          <w:tcPr>
            <w:tcW w:w="41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Poker rake</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3,848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2,910</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12,729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8,704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207"/>
        </w:trPr>
        <w:tc>
          <w:tcPr>
            <w:tcW w:w="4140" w:type="dxa"/>
            <w:vAlign w:val="bottom"/>
          </w:tcPr>
          <w:p>
            <w:pPr>
              <w:ind w:left="220"/>
              <w:spacing w:after="0"/>
              <w:rPr>
                <w:sz w:val="20"/>
                <w:szCs w:val="20"/>
                <w:color w:val="auto"/>
              </w:rPr>
            </w:pPr>
            <w:r>
              <w:rPr>
                <w:rFonts w:ascii="Arial" w:cs="Arial" w:eastAsia="Arial" w:hAnsi="Arial"/>
                <w:sz w:val="16"/>
                <w:szCs w:val="16"/>
                <w:color w:val="auto"/>
              </w:rPr>
              <w:t>Room statistics: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Occupancy</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88.8 %</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83.0 %</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85.5 %</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63.4 %</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40" w:type="dxa"/>
            <w:vAlign w:val="bottom"/>
          </w:tcPr>
          <w:p>
            <w:pPr>
              <w:ind w:left="540"/>
              <w:spacing w:after="0"/>
              <w:rPr>
                <w:sz w:val="20"/>
                <w:szCs w:val="20"/>
                <w:color w:val="auto"/>
              </w:rPr>
            </w:pPr>
            <w:r>
              <w:rPr>
                <w:rFonts w:ascii="Arial" w:cs="Arial" w:eastAsia="Arial" w:hAnsi="Arial"/>
                <w:sz w:val="16"/>
                <w:szCs w:val="16"/>
                <w:color w:val="auto"/>
              </w:rPr>
              <w:t xml:space="preserve">ADR </w:t>
            </w:r>
            <w:r>
              <w:rPr>
                <w:rFonts w:ascii="Arial" w:cs="Arial" w:eastAsia="Arial" w:hAnsi="Arial"/>
                <w:sz w:val="14"/>
                <w:szCs w:val="14"/>
                <w:color w:val="auto"/>
              </w:rPr>
              <w:t>(4)</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426</w:t>
            </w:r>
          </w:p>
        </w:tc>
        <w:tc>
          <w:tcPr>
            <w:tcW w:w="80" w:type="dxa"/>
            <w:vAlign w:val="bottom"/>
          </w:tcPr>
          <w:p>
            <w:pPr>
              <w:spacing w:after="0"/>
              <w:rPr>
                <w:sz w:val="19"/>
                <w:szCs w:val="19"/>
                <w:color w:val="auto"/>
              </w:rPr>
            </w:pPr>
          </w:p>
        </w:tc>
        <w:tc>
          <w:tcPr>
            <w:tcW w:w="460" w:type="dxa"/>
            <w:vAlign w:val="bottom"/>
          </w:tcPr>
          <w:p>
            <w:pPr>
              <w:jc w:val="right"/>
              <w:ind w:right="28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392</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8.7</w:t>
            </w:r>
          </w:p>
        </w:tc>
        <w:tc>
          <w:tcPr>
            <w:tcW w:w="80" w:type="dxa"/>
            <w:vAlign w:val="bottom"/>
          </w:tcPr>
          <w:p>
            <w:pPr>
              <w:spacing w:after="0"/>
              <w:rPr>
                <w:sz w:val="19"/>
                <w:szCs w:val="19"/>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440</w:t>
            </w:r>
          </w:p>
        </w:tc>
        <w:tc>
          <w:tcPr>
            <w:tcW w:w="80" w:type="dxa"/>
            <w:vAlign w:val="bottom"/>
          </w:tcPr>
          <w:p>
            <w:pPr>
              <w:spacing w:after="0"/>
              <w:rPr>
                <w:sz w:val="19"/>
                <w:szCs w:val="19"/>
                <w:color w:val="auto"/>
              </w:rPr>
            </w:pP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27"/>
        </w:trPr>
        <w:tc>
          <w:tcPr>
            <w:tcW w:w="41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REVPAR </w:t>
            </w:r>
            <w:r>
              <w:rPr>
                <w:rFonts w:ascii="Arial" w:cs="Arial" w:eastAsia="Arial" w:hAnsi="Arial"/>
                <w:sz w:val="14"/>
                <w:szCs w:val="14"/>
                <w:color w:val="auto"/>
              </w:rPr>
              <w:t>(5)</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378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326</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376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871" w:right="339" w:bottom="1440" w:gutter="0" w:footer="0" w:header="0"/>
        </w:sectPr>
      </w:pPr>
    </w:p>
    <w:bookmarkStart w:id="14" w:name="page15"/>
    <w:bookmarkEnd w:id="14"/>
    <w:p>
      <w:pPr>
        <w:jc w:val="center"/>
        <w:ind w:left="340" w:right="2800"/>
        <w:spacing w:after="0" w:line="253" w:lineRule="auto"/>
        <w:rPr>
          <w:sz w:val="20"/>
          <w:szCs w:val="20"/>
          <w:color w:val="auto"/>
        </w:rPr>
      </w:pPr>
      <w:r>
        <w:rPr>
          <w:rFonts w:ascii="Arial" w:cs="Arial" w:eastAsia="Arial" w:hAnsi="Arial"/>
          <w:sz w:val="18"/>
          <w:szCs w:val="18"/>
          <w:b w:val="1"/>
          <w:bCs w:val="1"/>
          <w:color w:val="auto"/>
        </w:rPr>
        <w:t>WYNN RESORTS, LIMITED AND SUBSIDIARIES SUPPLEMENTAL DATA SCHEDULE (dollars in thousands, except for win per unit per day, ADR, and REVPAR) (unaudited) (continued)</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ind w:left="420"/>
              <w:spacing w:after="0"/>
              <w:rPr>
                <w:sz w:val="20"/>
                <w:szCs w:val="20"/>
                <w:color w:val="auto"/>
              </w:rPr>
            </w:pPr>
            <w:r>
              <w:rPr>
                <w:rFonts w:ascii="Arial" w:cs="Arial" w:eastAsia="Arial" w:hAnsi="Arial"/>
                <w:sz w:val="14"/>
                <w:szCs w:val="14"/>
                <w:b w:val="1"/>
                <w:bCs w:val="1"/>
                <w:color w:val="auto"/>
              </w:rPr>
              <w:t>Nine Months Ended</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vMerge w:val="restart"/>
          </w:tcPr>
          <w:p>
            <w:pPr>
              <w:jc w:val="right"/>
              <w:ind w:right="42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740" w:type="dxa"/>
            <w:vAlign w:val="bottom"/>
          </w:tcPr>
          <w:p>
            <w:pPr>
              <w:jc w:val="right"/>
              <w:ind w:right="62"/>
              <w:spacing w:after="0" w:line="134" w:lineRule="exact"/>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restart"/>
          </w:tcPr>
          <w:p>
            <w:pPr>
              <w:jc w:val="right"/>
              <w:ind w:right="42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740" w:type="dxa"/>
            <w:vAlign w:val="bottom"/>
          </w:tcPr>
          <w:p>
            <w:pPr>
              <w:jc w:val="right"/>
              <w:ind w:right="62"/>
              <w:spacing w:after="0" w:line="134"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4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Encore Boston Harbor Supplemental Information</w:t>
            </w: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60" w:type="dxa"/>
            <w:vAlign w:val="bottom"/>
          </w:tcPr>
          <w:p>
            <w:pPr>
              <w:ind w:left="220"/>
              <w:spacing w:after="0"/>
              <w:rPr>
                <w:sz w:val="20"/>
                <w:szCs w:val="20"/>
                <w:color w:val="auto"/>
              </w:rPr>
            </w:pPr>
            <w:r>
              <w:rPr>
                <w:rFonts w:ascii="Arial" w:cs="Arial" w:eastAsia="Arial" w:hAnsi="Arial"/>
                <w:sz w:val="16"/>
                <w:szCs w:val="16"/>
                <w:color w:val="auto"/>
              </w:rPr>
              <w:t>Operating revenues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Casino</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157,369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151,361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463,204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398,325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07"/>
        </w:trPr>
        <w:tc>
          <w:tcPr>
            <w:tcW w:w="4160" w:type="dxa"/>
            <w:vAlign w:val="bottom"/>
          </w:tcPr>
          <w:p>
            <w:pPr>
              <w:ind w:left="340"/>
              <w:spacing w:after="0"/>
              <w:rPr>
                <w:sz w:val="20"/>
                <w:szCs w:val="20"/>
                <w:color w:val="auto"/>
              </w:rPr>
            </w:pPr>
            <w:r>
              <w:rPr>
                <w:rFonts w:ascii="Arial" w:cs="Arial" w:eastAsia="Arial" w:hAnsi="Arial"/>
                <w:sz w:val="16"/>
                <w:szCs w:val="16"/>
                <w:color w:val="auto"/>
              </w:rPr>
              <w:t>Rooms</w:t>
            </w:r>
          </w:p>
        </w:tc>
        <w:tc>
          <w:tcPr>
            <w:tcW w:w="28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23,718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14,578</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61,819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28,963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113.4</w:t>
            </w:r>
          </w:p>
        </w:tc>
        <w:tc>
          <w:tcPr>
            <w:tcW w:w="0" w:type="dxa"/>
            <w:vAlign w:val="bottom"/>
          </w:tcPr>
          <w:p>
            <w:pPr>
              <w:spacing w:after="0"/>
              <w:rPr>
                <w:sz w:val="1"/>
                <w:szCs w:val="1"/>
                <w:color w:val="auto"/>
              </w:rPr>
            </w:pPr>
          </w:p>
        </w:tc>
      </w:tr>
      <w:tr>
        <w:trPr>
          <w:trHeight w:val="214"/>
        </w:trPr>
        <w:tc>
          <w:tcPr>
            <w:tcW w:w="4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Food and beverage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21,009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18,466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60,272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41,713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207"/>
        </w:trPr>
        <w:tc>
          <w:tcPr>
            <w:tcW w:w="41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Entertainment, retail and other</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9,687</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7,809</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27,438</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18,544</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w:t>
            </w:r>
          </w:p>
        </w:tc>
        <w:tc>
          <w:tcPr>
            <w:tcW w:w="0" w:type="dxa"/>
            <w:vAlign w:val="bottom"/>
          </w:tcPr>
          <w:p>
            <w:pPr>
              <w:spacing w:after="0"/>
              <w:rPr>
                <w:sz w:val="1"/>
                <w:szCs w:val="1"/>
                <w:color w:val="auto"/>
              </w:rPr>
            </w:pPr>
          </w:p>
        </w:tc>
      </w:tr>
      <w:tr>
        <w:trPr>
          <w:trHeight w:val="207"/>
        </w:trPr>
        <w:tc>
          <w:tcPr>
            <w:tcW w:w="416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Total</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211,783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b w:val="1"/>
                <w:bCs w:val="1"/>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192,214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612,733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b w:val="1"/>
                <w:bCs w:val="1"/>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487,545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25.7</w:t>
            </w:r>
          </w:p>
        </w:tc>
        <w:tc>
          <w:tcPr>
            <w:tcW w:w="0" w:type="dxa"/>
            <w:vAlign w:val="bottom"/>
          </w:tcPr>
          <w:p>
            <w:pPr>
              <w:spacing w:after="0"/>
              <w:rPr>
                <w:sz w:val="1"/>
                <w:szCs w:val="1"/>
                <w:color w:val="auto"/>
              </w:rPr>
            </w:pPr>
          </w:p>
        </w:tc>
      </w:tr>
      <w:tr>
        <w:trPr>
          <w:trHeight w:val="158"/>
        </w:trPr>
        <w:tc>
          <w:tcPr>
            <w:tcW w:w="4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416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 xml:space="preserve">Adjusted Property EBITDA </w:t>
            </w:r>
            <w:r>
              <w:rPr>
                <w:rFonts w:ascii="Arial" w:cs="Arial" w:eastAsia="Arial" w:hAnsi="Arial"/>
                <w:sz w:val="14"/>
                <w:szCs w:val="14"/>
                <w:b w:val="1"/>
                <w:bCs w:val="1"/>
                <w:color w:val="auto"/>
              </w:rPr>
              <w:t>(6)</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61,136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b w:val="1"/>
                <w:bCs w:val="1"/>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64,565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180,132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b w:val="1"/>
                <w:bCs w:val="1"/>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141,844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27.0</w:t>
            </w:r>
          </w:p>
        </w:tc>
        <w:tc>
          <w:tcPr>
            <w:tcW w:w="0" w:type="dxa"/>
            <w:vAlign w:val="bottom"/>
          </w:tcPr>
          <w:p>
            <w:pPr>
              <w:spacing w:after="0"/>
              <w:rPr>
                <w:sz w:val="1"/>
                <w:szCs w:val="1"/>
                <w:color w:val="auto"/>
              </w:rPr>
            </w:pPr>
          </w:p>
        </w:tc>
      </w:tr>
      <w:tr>
        <w:trPr>
          <w:trHeight w:val="158"/>
        </w:trPr>
        <w:tc>
          <w:tcPr>
            <w:tcW w:w="4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Casino Statistics: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60" w:type="dxa"/>
            <w:vAlign w:val="bottom"/>
          </w:tcPr>
          <w:p>
            <w:pPr>
              <w:ind w:left="540"/>
              <w:spacing w:after="0"/>
              <w:rPr>
                <w:sz w:val="20"/>
                <w:szCs w:val="20"/>
                <w:color w:val="auto"/>
              </w:rPr>
            </w:pPr>
            <w:r>
              <w:rPr>
                <w:rFonts w:ascii="Arial" w:cs="Arial" w:eastAsia="Arial" w:hAnsi="Arial"/>
                <w:sz w:val="16"/>
                <w:szCs w:val="16"/>
                <w:color w:val="auto"/>
              </w:rPr>
              <w:t>Average number of table games</w:t>
            </w:r>
          </w:p>
        </w:tc>
        <w:tc>
          <w:tcPr>
            <w:tcW w:w="28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185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27"/>
        </w:trPr>
        <w:tc>
          <w:tcPr>
            <w:tcW w:w="41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Table drop </w:t>
            </w:r>
            <w:r>
              <w:rPr>
                <w:rFonts w:ascii="Arial" w:cs="Arial" w:eastAsia="Arial" w:hAnsi="Arial"/>
                <w:sz w:val="14"/>
                <w:szCs w:val="14"/>
                <w:color w:val="auto"/>
              </w:rPr>
              <w:t>(2)</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364,844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350,145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1,077,261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890,777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20"/>
        </w:trPr>
        <w:tc>
          <w:tcPr>
            <w:tcW w:w="4160" w:type="dxa"/>
            <w:vAlign w:val="bottom"/>
          </w:tcPr>
          <w:p>
            <w:pPr>
              <w:ind w:left="540"/>
              <w:spacing w:after="0"/>
              <w:rPr>
                <w:sz w:val="20"/>
                <w:szCs w:val="20"/>
                <w:color w:val="auto"/>
              </w:rPr>
            </w:pPr>
            <w:r>
              <w:rPr>
                <w:rFonts w:ascii="Arial" w:cs="Arial" w:eastAsia="Arial" w:hAnsi="Arial"/>
                <w:sz w:val="16"/>
                <w:szCs w:val="16"/>
                <w:color w:val="auto"/>
              </w:rPr>
              <w:t xml:space="preserve">Table games win </w:t>
            </w:r>
            <w:r>
              <w:rPr>
                <w:rFonts w:ascii="Arial" w:cs="Arial" w:eastAsia="Arial" w:hAnsi="Arial"/>
                <w:sz w:val="14"/>
                <w:szCs w:val="14"/>
                <w:color w:val="auto"/>
              </w:rPr>
              <w:t>(1)</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76,970</w:t>
            </w:r>
          </w:p>
        </w:tc>
        <w:tc>
          <w:tcPr>
            <w:tcW w:w="100" w:type="dxa"/>
            <w:vAlign w:val="bottom"/>
          </w:tcPr>
          <w:p>
            <w:pPr>
              <w:spacing w:after="0"/>
              <w:rPr>
                <w:sz w:val="19"/>
                <w:szCs w:val="19"/>
                <w:color w:val="auto"/>
              </w:rPr>
            </w:pPr>
          </w:p>
        </w:tc>
        <w:tc>
          <w:tcPr>
            <w:tcW w:w="460" w:type="dxa"/>
            <w:vAlign w:val="bottom"/>
          </w:tcPr>
          <w:p>
            <w:pPr>
              <w:jc w:val="right"/>
              <w:ind w:right="28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74,818</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234,024</w:t>
            </w:r>
          </w:p>
        </w:tc>
        <w:tc>
          <w:tcPr>
            <w:tcW w:w="80" w:type="dxa"/>
            <w:vAlign w:val="bottom"/>
          </w:tcPr>
          <w:p>
            <w:pPr>
              <w:spacing w:after="0"/>
              <w:rPr>
                <w:sz w:val="19"/>
                <w:szCs w:val="19"/>
                <w:color w:val="auto"/>
              </w:rPr>
            </w:pP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189,070</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14"/>
        </w:trPr>
        <w:tc>
          <w:tcPr>
            <w:tcW w:w="41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Table games win %</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21.1 %</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21.4 %</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21.7 %</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21.2 %</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60" w:type="dxa"/>
            <w:vAlign w:val="bottom"/>
          </w:tcPr>
          <w:p>
            <w:pPr>
              <w:ind w:left="540"/>
              <w:spacing w:after="0"/>
              <w:rPr>
                <w:sz w:val="20"/>
                <w:szCs w:val="20"/>
                <w:color w:val="auto"/>
              </w:rPr>
            </w:pPr>
            <w:r>
              <w:rPr>
                <w:rFonts w:ascii="Arial" w:cs="Arial" w:eastAsia="Arial" w:hAnsi="Arial"/>
                <w:sz w:val="16"/>
                <w:szCs w:val="16"/>
                <w:color w:val="auto"/>
              </w:rPr>
              <w:t>Table games win per unit per day</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4,448</w:t>
            </w:r>
          </w:p>
        </w:tc>
        <w:tc>
          <w:tcPr>
            <w:tcW w:w="10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4,498</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4,624</w:t>
            </w:r>
          </w:p>
        </w:tc>
        <w:tc>
          <w:tcPr>
            <w:tcW w:w="80" w:type="dxa"/>
            <w:vAlign w:val="bottom"/>
          </w:tcPr>
          <w:p>
            <w:pPr>
              <w:spacing w:after="0"/>
              <w:rPr>
                <w:sz w:val="18"/>
                <w:szCs w:val="18"/>
                <w:color w:val="auto"/>
              </w:rPr>
            </w:pP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3,613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14"/>
        </w:trPr>
        <w:tc>
          <w:tcPr>
            <w:tcW w:w="41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Average number of slot machines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2,706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2,734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2,754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2,268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07"/>
        </w:trPr>
        <w:tc>
          <w:tcPr>
            <w:tcW w:w="4160" w:type="dxa"/>
            <w:vAlign w:val="bottom"/>
          </w:tcPr>
          <w:p>
            <w:pPr>
              <w:ind w:left="540"/>
              <w:spacing w:after="0"/>
              <w:rPr>
                <w:sz w:val="20"/>
                <w:szCs w:val="20"/>
                <w:color w:val="auto"/>
              </w:rPr>
            </w:pPr>
            <w:r>
              <w:rPr>
                <w:rFonts w:ascii="Arial" w:cs="Arial" w:eastAsia="Arial" w:hAnsi="Arial"/>
                <w:sz w:val="16"/>
                <w:szCs w:val="16"/>
                <w:color w:val="auto"/>
              </w:rPr>
              <w:t>Slot machine handle</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1,288,250</w:t>
            </w:r>
          </w:p>
        </w:tc>
        <w:tc>
          <w:tcPr>
            <w:tcW w:w="10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w w:val="98"/>
              </w:rPr>
              <w:t>1,196,299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3,703,990</w:t>
            </w:r>
          </w:p>
        </w:tc>
        <w:tc>
          <w:tcPr>
            <w:tcW w:w="80" w:type="dxa"/>
            <w:vAlign w:val="bottom"/>
          </w:tcPr>
          <w:p>
            <w:pPr>
              <w:spacing w:after="0"/>
              <w:rPr>
                <w:sz w:val="18"/>
                <w:szCs w:val="18"/>
                <w:color w:val="auto"/>
              </w:rPr>
            </w:pP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w w:val="98"/>
              </w:rPr>
              <w:t>3,204,272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27"/>
        </w:trPr>
        <w:tc>
          <w:tcPr>
            <w:tcW w:w="41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Slot machine win </w:t>
            </w:r>
            <w:r>
              <w:rPr>
                <w:rFonts w:ascii="Arial" w:cs="Arial" w:eastAsia="Arial" w:hAnsi="Arial"/>
                <w:sz w:val="14"/>
                <w:szCs w:val="14"/>
                <w:color w:val="auto"/>
              </w:rPr>
              <w:t>(3)</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104,122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98,816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298,842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263,197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07"/>
        </w:trPr>
        <w:tc>
          <w:tcPr>
            <w:tcW w:w="4160" w:type="dxa"/>
            <w:vAlign w:val="bottom"/>
          </w:tcPr>
          <w:p>
            <w:pPr>
              <w:ind w:left="540"/>
              <w:spacing w:after="0"/>
              <w:rPr>
                <w:sz w:val="20"/>
                <w:szCs w:val="20"/>
                <w:color w:val="auto"/>
              </w:rPr>
            </w:pPr>
            <w:r>
              <w:rPr>
                <w:rFonts w:ascii="Arial" w:cs="Arial" w:eastAsia="Arial" w:hAnsi="Arial"/>
                <w:sz w:val="16"/>
                <w:szCs w:val="16"/>
                <w:color w:val="auto"/>
              </w:rPr>
              <w:t>Slot machine win per unit per day</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397</w:t>
            </w:r>
          </w:p>
        </w:tc>
        <w:tc>
          <w:tcPr>
            <w:tcW w:w="80" w:type="dxa"/>
            <w:vAlign w:val="bottom"/>
          </w:tcPr>
          <w:p>
            <w:pPr>
              <w:spacing w:after="0"/>
              <w:rPr>
                <w:sz w:val="18"/>
                <w:szCs w:val="18"/>
                <w:color w:val="auto"/>
              </w:rPr>
            </w:pP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4"/>
        </w:trPr>
        <w:tc>
          <w:tcPr>
            <w:tcW w:w="41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Poker rake</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2,554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NM</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4,580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7"/>
        </w:trPr>
        <w:tc>
          <w:tcPr>
            <w:tcW w:w="4160" w:type="dxa"/>
            <w:vAlign w:val="bottom"/>
          </w:tcPr>
          <w:p>
            <w:pPr>
              <w:ind w:left="340"/>
              <w:spacing w:after="0"/>
              <w:rPr>
                <w:sz w:val="20"/>
                <w:szCs w:val="20"/>
                <w:color w:val="auto"/>
              </w:rPr>
            </w:pPr>
            <w:r>
              <w:rPr>
                <w:rFonts w:ascii="Arial" w:cs="Arial" w:eastAsia="Arial" w:hAnsi="Arial"/>
                <w:sz w:val="16"/>
                <w:szCs w:val="16"/>
                <w:color w:val="auto"/>
              </w:rPr>
              <w:t>Room statistics: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Occupancy</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97.0 %</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87.8 %</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90.6 %</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84.1 %</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60" w:type="dxa"/>
            <w:vAlign w:val="bottom"/>
          </w:tcPr>
          <w:p>
            <w:pPr>
              <w:ind w:left="540"/>
              <w:spacing w:after="0"/>
              <w:rPr>
                <w:sz w:val="20"/>
                <w:szCs w:val="20"/>
                <w:color w:val="auto"/>
              </w:rPr>
            </w:pPr>
            <w:r>
              <w:rPr>
                <w:rFonts w:ascii="Arial" w:cs="Arial" w:eastAsia="Arial" w:hAnsi="Arial"/>
                <w:sz w:val="16"/>
                <w:szCs w:val="16"/>
                <w:color w:val="auto"/>
              </w:rPr>
              <w:t xml:space="preserve">ADR </w:t>
            </w:r>
            <w:r>
              <w:rPr>
                <w:rFonts w:ascii="Arial" w:cs="Arial" w:eastAsia="Arial" w:hAnsi="Arial"/>
                <w:sz w:val="14"/>
                <w:szCs w:val="14"/>
                <w:color w:val="auto"/>
              </w:rPr>
              <w:t>(4)</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19"/>
                <w:szCs w:val="19"/>
                <w:color w:val="auto"/>
              </w:rPr>
            </w:pPr>
          </w:p>
        </w:tc>
        <w:tc>
          <w:tcPr>
            <w:tcW w:w="460" w:type="dxa"/>
            <w:vAlign w:val="bottom"/>
          </w:tcPr>
          <w:p>
            <w:pPr>
              <w:jc w:val="right"/>
              <w:ind w:right="28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374</w:t>
            </w:r>
          </w:p>
        </w:tc>
        <w:tc>
          <w:tcPr>
            <w:tcW w:w="80" w:type="dxa"/>
            <w:vAlign w:val="bottom"/>
          </w:tcPr>
          <w:p>
            <w:pPr>
              <w:spacing w:after="0"/>
              <w:rPr>
                <w:sz w:val="19"/>
                <w:szCs w:val="19"/>
                <w:color w:val="auto"/>
              </w:rPr>
            </w:pP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27"/>
        </w:trPr>
        <w:tc>
          <w:tcPr>
            <w:tcW w:w="41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REVPAR </w:t>
            </w:r>
            <w:r>
              <w:rPr>
                <w:rFonts w:ascii="Arial" w:cs="Arial" w:eastAsia="Arial" w:hAnsi="Arial"/>
                <w:sz w:val="14"/>
                <w:szCs w:val="14"/>
                <w:color w:val="auto"/>
              </w:rPr>
              <w:t>(5)</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339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NM: Not meaningful.</w:t>
      </w:r>
    </w:p>
    <w:p>
      <w:pPr>
        <w:spacing w:after="0" w:line="14"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Note: Encore Boston Harbor's room statistics have been computed based on 69 days of operations for the three months ended September 30, 2021 and 158 days of operations for the nine months ended September 30, 2021, respectively, representing the actual number of days the hotel was open.</w:t>
      </w:r>
    </w:p>
    <w:p>
      <w:pPr>
        <w:spacing w:after="0" w:line="223" w:lineRule="exact"/>
        <w:rPr>
          <w:sz w:val="20"/>
          <w:szCs w:val="20"/>
          <w:color w:val="auto"/>
        </w:rPr>
      </w:pPr>
    </w:p>
    <w:p>
      <w:pPr>
        <w:ind w:left="240" w:hanging="235"/>
        <w:spacing w:after="0" w:line="254" w:lineRule="auto"/>
        <w:tabs>
          <w:tab w:leader="none" w:pos="212" w:val="left"/>
        </w:tabs>
        <w:numPr>
          <w:ilvl w:val="0"/>
          <w:numId w:val="3"/>
        </w:numPr>
        <w:rPr>
          <w:rFonts w:ascii="Arial" w:cs="Arial" w:eastAsia="Arial" w:hAnsi="Arial"/>
          <w:sz w:val="14"/>
          <w:szCs w:val="14"/>
          <w:color w:val="auto"/>
        </w:rPr>
      </w:pPr>
      <w:r>
        <w:rPr>
          <w:rFonts w:ascii="Arial" w:cs="Arial" w:eastAsia="Arial" w:hAnsi="Arial"/>
          <w:sz w:val="14"/>
          <w:szCs w:val="14"/>
          <w:color w:val="auto"/>
        </w:rPr>
        <w:t>Table games win is shown before discounts, commissions and the allocation of casino revenues to rooms, food and beverage and other revenues for services provided to casino customers on a complimentary basis.</w:t>
      </w:r>
    </w:p>
    <w:p>
      <w:pPr>
        <w:ind w:left="240" w:hanging="235"/>
        <w:spacing w:after="0" w:line="271" w:lineRule="auto"/>
        <w:tabs>
          <w:tab w:leader="none" w:pos="201" w:val="left"/>
        </w:tabs>
        <w:numPr>
          <w:ilvl w:val="0"/>
          <w:numId w:val="3"/>
        </w:numPr>
        <w:rPr>
          <w:rFonts w:ascii="Arial" w:cs="Arial" w:eastAsia="Arial" w:hAnsi="Arial"/>
          <w:sz w:val="13"/>
          <w:szCs w:val="13"/>
          <w:color w:val="auto"/>
        </w:rPr>
      </w:pPr>
      <w:r>
        <w:rPr>
          <w:rFonts w:ascii="Arial" w:cs="Arial" w:eastAsia="Arial" w:hAnsi="Arial"/>
          <w:sz w:val="13"/>
          <w:szCs w:val="13"/>
          <w:color w:val="auto"/>
        </w:rPr>
        <w:t>In Macau, table drop is the amount of cash that is deposited in a gaming table's drop box plus cash chips purchased at the casino cage. In Las Vegas, table drop is the amount of cash and net markers issued that are deposited in a gaming table's drop box. At Encore Boston Harbor, table drop is the amount of cash and gross markers that are deposited in a gaming table's drop box.</w:t>
      </w:r>
    </w:p>
    <w:p>
      <w:pPr>
        <w:ind w:left="200" w:hanging="195"/>
        <w:spacing w:after="0"/>
        <w:tabs>
          <w:tab w:leader="none" w:pos="200" w:val="left"/>
        </w:tabs>
        <w:numPr>
          <w:ilvl w:val="0"/>
          <w:numId w:val="3"/>
        </w:numPr>
        <w:rPr>
          <w:rFonts w:ascii="Arial" w:cs="Arial" w:eastAsia="Arial" w:hAnsi="Arial"/>
          <w:sz w:val="14"/>
          <w:szCs w:val="14"/>
          <w:color w:val="auto"/>
        </w:rPr>
      </w:pPr>
      <w:r>
        <w:rPr>
          <w:rFonts w:ascii="Arial" w:cs="Arial" w:eastAsia="Arial" w:hAnsi="Arial"/>
          <w:sz w:val="14"/>
          <w:szCs w:val="14"/>
          <w:color w:val="auto"/>
        </w:rPr>
        <w:t>Slot machine win is calculated as gross slot machine win minus progressive accruals and free play.</w:t>
      </w:r>
    </w:p>
    <w:p>
      <w:pPr>
        <w:spacing w:after="0" w:line="10" w:lineRule="exact"/>
        <w:rPr>
          <w:rFonts w:ascii="Arial" w:cs="Arial" w:eastAsia="Arial" w:hAnsi="Arial"/>
          <w:sz w:val="14"/>
          <w:szCs w:val="14"/>
          <w:color w:val="auto"/>
        </w:rPr>
      </w:pPr>
    </w:p>
    <w:p>
      <w:pPr>
        <w:ind w:left="200" w:hanging="195"/>
        <w:spacing w:after="0"/>
        <w:tabs>
          <w:tab w:leader="none" w:pos="200" w:val="left"/>
        </w:tabs>
        <w:numPr>
          <w:ilvl w:val="0"/>
          <w:numId w:val="3"/>
        </w:numPr>
        <w:rPr>
          <w:rFonts w:ascii="Arial" w:cs="Arial" w:eastAsia="Arial" w:hAnsi="Arial"/>
          <w:sz w:val="14"/>
          <w:szCs w:val="14"/>
          <w:color w:val="auto"/>
        </w:rPr>
      </w:pPr>
      <w:r>
        <w:rPr>
          <w:rFonts w:ascii="Arial" w:cs="Arial" w:eastAsia="Arial" w:hAnsi="Arial"/>
          <w:sz w:val="14"/>
          <w:szCs w:val="14"/>
          <w:color w:val="auto"/>
        </w:rPr>
        <w:t>ADR is average daily rate and is calculated by dividing total room revenues including complimentaries (less service charges, if any) by total rooms occupied.</w:t>
      </w:r>
    </w:p>
    <w:p>
      <w:pPr>
        <w:spacing w:after="0" w:line="10" w:lineRule="exact"/>
        <w:rPr>
          <w:rFonts w:ascii="Arial" w:cs="Arial" w:eastAsia="Arial" w:hAnsi="Arial"/>
          <w:sz w:val="14"/>
          <w:szCs w:val="14"/>
          <w:color w:val="auto"/>
        </w:rPr>
      </w:pPr>
    </w:p>
    <w:p>
      <w:pPr>
        <w:ind w:left="200" w:hanging="195"/>
        <w:spacing w:after="0"/>
        <w:tabs>
          <w:tab w:leader="none" w:pos="20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REVPAR is revenue per available room and is calculated by dividing total room revenues including complimentaries (less service charges, if any) by total rooms available.</w:t>
      </w:r>
    </w:p>
    <w:p>
      <w:pPr>
        <w:ind w:left="200" w:hanging="195"/>
        <w:spacing w:after="0"/>
        <w:tabs>
          <w:tab w:leader="none" w:pos="20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Refer to accompanying reconciliations of Operating Income (Loss) to Adjusted Property EBITDA and Net Loss Attributable to Wynn Resorts, Limited to Adjusted Property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87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SOURCE: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Vincent Zahn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702-770-7555</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13</w:t>
      </w:r>
    </w:p>
    <w:sectPr>
      <w:pgSz w:w="11900" w:h="16838" w:orient="portrait"/>
      <w:cols w:equalWidth="0" w:num="1">
        <w:col w:w="10139"/>
      </w:cols>
      <w:pgMar w:left="320" w:top="10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2022-11-09T15:39:10Z</dcterms:created>
  <dcterms:modified xsi:type="dcterms:W3CDTF">2022-11-09T15:39:10Z</dcterms:modified>
</cp:coreProperties>
</file>