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to</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000-50028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48"/>
        </w:rPr>
        <w:t>WYNN RESORTS, LIMITED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3131 Las Vegas Boulevard South - Las Vegas, Nevada 89109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95"/>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95"/>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5590" w:type="dxa"/>
        <w:jc w:val="left"/>
        <w:tblInd w:w="0" w:type="dxa"/>
        <w:tblLayout w:type="fixed"/>
        <w:tblCellMar>
          <w:top w:w="28" w:type="dxa"/>
          <w:left w:w="28" w:type="dxa"/>
          <w:bottom w:w="28" w:type="dxa"/>
          <w:right w:w="28" w:type="dxa"/>
        </w:tblCellMar>
      </w:tblPr>
      <w:tblGrid>
        <w:gridCol w:w="973"/>
        <w:gridCol w:w="858"/>
        <w:gridCol w:w="868"/>
        <w:gridCol w:w="109"/>
        <w:gridCol w:w="109"/>
        <w:gridCol w:w="109"/>
        <w:gridCol w:w="749"/>
        <w:gridCol w:w="749"/>
        <w:gridCol w:w="1066"/>
      </w:tblGrid>
      <w:tr>
        <w:trPr/>
        <w:tc>
          <w:tcPr>
            <w:tcW w:w="97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Outstanding at October 31, 2025</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103,974,479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7"/>
        <w:gridCol w:w="261"/>
        <w:gridCol w:w="3048"/>
        <w:gridCol w:w="2982"/>
        <w:gridCol w:w="2991"/>
        <w:gridCol w:w="109"/>
        <w:gridCol w:w="109"/>
        <w:gridCol w:w="155"/>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
              <w:r>
                <w:rPr>
                  <w:rStyle w:val="InternetLink"/>
                  <w:rFonts w:ascii="Times New Roman;serif" w:hAnsi="Times New Roman;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
              <w:r>
                <w:rPr>
                  <w:rStyle w:val="InternetLink"/>
                  <w:rFonts w:ascii="Times New Roman;serif" w:hAnsi="Times New Roman;serif"/>
                  <w:b w:val="false"/>
                  <w:color w:val="0000FF"/>
                  <w:sz w:val="20"/>
                  <w:u w:val="single"/>
                </w:rPr>
                <w:t>Financial Statements</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6">
              <w:r>
                <w:rPr>
                  <w:rStyle w:val="InternetLink"/>
                  <w:rFonts w:ascii="Times New Roman;serif" w:hAnsi="Times New Roman;serif"/>
                  <w:b w:val="false"/>
                  <w:color w:val="0000FF"/>
                  <w:sz w:val="20"/>
                  <w:u w:val="single"/>
                </w:rPr>
                <w:t>Condensed Consolidated Balance Sheets - September 30, 2025 (unaudited) and December 31, 2024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9">
              <w:r>
                <w:rPr>
                  <w:rStyle w:val="InternetLink"/>
                  <w:rFonts w:ascii="Times New Roman;serif" w:hAnsi="Times New Roman;serif"/>
                  <w:b w:val="false"/>
                  <w:color w:val="0000FF"/>
                  <w:sz w:val="20"/>
                  <w:u w:val="single"/>
                </w:rPr>
                <w:t>Condensed Consolidated Statements of Operations (unaudited) - Three and Nine Months Ended September 30, 2025 and 2024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9">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22">
              <w:r>
                <w:rPr>
                  <w:rStyle w:val="InternetLink"/>
                  <w:rFonts w:ascii="Times New Roman;serif" w:hAnsi="Times New Roman;serif"/>
                  <w:b w:val="false"/>
                  <w:color w:val="000080"/>
                  <w:sz w:val="20"/>
                  <w:u w:val="single"/>
                </w:rPr>
                <w:t>Condensed Consolidated Statements of Comprehensive Income</w:t>
              </w:r>
            </w:hyperlink>
            <w:hyperlink w:anchor="i7dd1499d03b34d3ea6776d9734b1bdb9_22">
              <w:r>
                <w:rPr>
                  <w:rStyle w:val="InternetLink"/>
                  <w:rFonts w:ascii="Times New Roman;serif" w:hAnsi="Times New Roman;serif"/>
                  <w:b w:val="false"/>
                  <w:color w:val="000080"/>
                  <w:sz w:val="20"/>
                  <w:u w:val="single"/>
                </w:rPr>
                <w:t xml:space="preserve"> (</w:t>
              </w:r>
            </w:hyperlink>
            <w:hyperlink w:anchor="i7dd1499d03b34d3ea6776d9734b1bdb9_22">
              <w:r>
                <w:rPr>
                  <w:rStyle w:val="InternetLink"/>
                  <w:rFonts w:ascii="Times New Roman;serif" w:hAnsi="Times New Roman;serif"/>
                  <w:b w:val="false"/>
                  <w:color w:val="000080"/>
                  <w:sz w:val="20"/>
                  <w:u w:val="single"/>
                </w:rPr>
                <w:t>Loss)</w:t>
              </w:r>
            </w:hyperlink>
            <w:hyperlink w:anchor="i7dd1499d03b34d3ea6776d9734b1bdb9_22">
              <w:r>
                <w:rPr>
                  <w:rStyle w:val="InternetLink"/>
                  <w:rFonts w:ascii="Times New Roman;serif" w:hAnsi="Times New Roman;serif"/>
                  <w:b w:val="false"/>
                  <w:color w:val="000080"/>
                  <w:sz w:val="20"/>
                  <w:u w:val="single"/>
                </w:rPr>
                <w:t xml:space="preserve"> (unaudited) - Three and Nine Months Ended September 30, 2025 and 2024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22">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25">
              <w:r>
                <w:rPr>
                  <w:rStyle w:val="InternetLink"/>
                  <w:rFonts w:ascii="Times New Roman;serif" w:hAnsi="Times New Roman;serif"/>
                  <w:b w:val="false"/>
                  <w:color w:val="0000FF"/>
                  <w:sz w:val="20"/>
                  <w:u w:val="single"/>
                </w:rPr>
                <w:t>Condensed Consolidated Statements of Stockholders’ Deficit (unaudited) - Three and Nine Months Ended September 30, 2025 and 2024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25">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28">
              <w:r>
                <w:rPr>
                  <w:rStyle w:val="InternetLink"/>
                  <w:rFonts w:ascii="Times New Roman;serif" w:hAnsi="Times New Roman;serif"/>
                  <w:b w:val="false"/>
                  <w:color w:val="0000FF"/>
                  <w:sz w:val="20"/>
                  <w:u w:val="single"/>
                </w:rPr>
                <w:t>Condensed Consolidated Statements of Cash Flows (unaudited) - Nine Months Ended September 30, 2025 and 2024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28">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7dd1499d03b34d3ea6776d9734b1bdb9_31">
              <w:r>
                <w:rPr>
                  <w:rStyle w:val="InternetLink"/>
                  <w:rFonts w:ascii="Times New Roman;serif" w:hAnsi="Times New Roman;serif"/>
                  <w:b w:val="false"/>
                  <w:color w:val="0000FF"/>
                  <w:sz w:val="20"/>
                  <w:u w:val="single"/>
                </w:rPr>
                <w:t>Notes to Condensed Consolidated 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31">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88">
              <w:r>
                <w:rPr>
                  <w:rStyle w:val="InternetLink"/>
                  <w:rFonts w:ascii="Times New Roman;serif" w:hAnsi="Times New Roman;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88">
              <w:r>
                <w:rPr>
                  <w:rStyle w:val="InternetLink"/>
                  <w:rFonts w:ascii="Times New Roman;serif" w:hAnsi="Times New Roman;serif"/>
                  <w:b w:val="false"/>
                  <w:color w:val="0000FF"/>
                  <w:sz w:val="20"/>
                  <w:u w:val="single"/>
                </w:rPr>
                <w:t>28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15">
              <w:r>
                <w:rPr>
                  <w:rStyle w:val="InternetLink"/>
                  <w:rFonts w:ascii="Times New Roman;serif" w:hAnsi="Times New Roman;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15">
              <w:r>
                <w:rPr>
                  <w:rStyle w:val="InternetLink"/>
                  <w:rFonts w:ascii="Times New Roman;serif" w:hAnsi="Times New Roman;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15">
              <w:r>
                <w:rPr>
                  <w:rStyle w:val="InternetLink"/>
                  <w:rFonts w:ascii="Times New Roman;serif" w:hAnsi="Times New Roman;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18">
              <w:r>
                <w:rPr>
                  <w:rStyle w:val="InternetLink"/>
                  <w:rFonts w:ascii="Times New Roman;serif" w:hAnsi="Times New Roman;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18">
              <w:r>
                <w:rPr>
                  <w:rStyle w:val="InternetLink"/>
                  <w:rFonts w:ascii="Times New Roman;serif" w:hAnsi="Times New Roman;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18">
              <w:r>
                <w:rPr>
                  <w:rStyle w:val="InternetLink"/>
                  <w:rFonts w:ascii="Times New Roman;serif" w:hAnsi="Times New Roman;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24">
              <w:r>
                <w:rPr>
                  <w:rStyle w:val="InternetLink"/>
                  <w:rFonts w:ascii="Times New Roman;serif" w:hAnsi="Times New Roman;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24">
              <w:r>
                <w:rPr>
                  <w:rStyle w:val="InternetLink"/>
                  <w:rFonts w:ascii="Times New Roman;serif" w:hAnsi="Times New Roman;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24">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27">
              <w:r>
                <w:rPr>
                  <w:rStyle w:val="InternetLink"/>
                  <w:rFonts w:ascii="Times New Roman;serif" w:hAnsi="Times New Roman;serif"/>
                  <w:b w:val="false"/>
                  <w:color w:val="0000FF"/>
                  <w:sz w:val="20"/>
                  <w:u w:val="single"/>
                </w:rPr>
                <w:t>Item 1A.</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27">
              <w:r>
                <w:rPr>
                  <w:rStyle w:val="InternetLink"/>
                  <w:rFonts w:ascii="Times New Roman;serif" w:hAnsi="Times New Roman;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27">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0">
              <w:r>
                <w:rPr>
                  <w:rStyle w:val="InternetLink"/>
                  <w:rFonts w:ascii="Times New Roman;serif" w:hAnsi="Times New Roman;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0">
              <w:r>
                <w:rPr>
                  <w:rStyle w:val="InternetLink"/>
                  <w:rFonts w:ascii="Times New Roman;serif" w:hAnsi="Times New Roman;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30">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3">
              <w:r>
                <w:rPr>
                  <w:rStyle w:val="InternetLink"/>
                  <w:rFonts w:ascii="Times New Roman;serif" w:hAnsi="Times New Roman;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3">
              <w:r>
                <w:rPr>
                  <w:rStyle w:val="InternetLink"/>
                  <w:rFonts w:ascii="Times New Roman;serif" w:hAnsi="Times New Roman;serif"/>
                  <w:b w:val="false"/>
                  <w:color w:val="0000FF"/>
                  <w:sz w:val="20"/>
                  <w:u w:val="single"/>
                </w:rPr>
                <w:t>Default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30">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6">
              <w:r>
                <w:rPr>
                  <w:rStyle w:val="InternetLink"/>
                  <w:rFonts w:ascii="Times New Roman;serif" w:hAnsi="Times New Roman;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6">
              <w:r>
                <w:rPr>
                  <w:rStyle w:val="InternetLink"/>
                  <w:rFonts w:ascii="Times New Roman;serif" w:hAnsi="Times New Roman;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30">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9">
              <w:r>
                <w:rPr>
                  <w:rStyle w:val="InternetLink"/>
                  <w:rFonts w:ascii="Times New Roman;serif" w:hAnsi="Times New Roman;serif"/>
                  <w:b w:val="false"/>
                  <w:color w:val="0000FF"/>
                  <w:sz w:val="20"/>
                  <w:u w:val="single"/>
                </w:rPr>
                <w:t>Item 5.</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39">
              <w:r>
                <w:rPr>
                  <w:rStyle w:val="InternetLink"/>
                  <w:rFonts w:ascii="Times New Roman;serif" w:hAnsi="Times New Roman;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39">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45">
              <w:r>
                <w:rPr>
                  <w:rStyle w:val="InternetLink"/>
                  <w:rFonts w:ascii="Times New Roman;serif" w:hAnsi="Times New Roman;serif"/>
                  <w:b w:val="false"/>
                  <w:color w:val="0000FF"/>
                  <w:sz w:val="20"/>
                  <w:u w:val="single"/>
                </w:rPr>
                <w:t>Item 6.</w:t>
              </w:r>
            </w:hyperlink>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45">
              <w:r>
                <w:rPr>
                  <w:rStyle w:val="InternetLink"/>
                  <w:rFonts w:ascii="Times New Roman;serif" w:hAnsi="Times New Roman;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45">
              <w:r>
                <w:rPr>
                  <w:rStyle w:val="InternetLink"/>
                  <w:rFonts w:ascii="Times New Roman;serif" w:hAnsi="Times New Roman;serif"/>
                  <w:b w:val="false"/>
                  <w:color w:val="0000FF"/>
                  <w:sz w:val="20"/>
                  <w:u w:val="single"/>
                </w:rPr>
                <w:t>53</w:t>
              </w:r>
            </w:hyperlink>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dd1499d03b34d3ea6776d9734b1bdb9_148">
              <w:r>
                <w:rPr>
                  <w:rStyle w:val="InternetLink"/>
                  <w:rFonts w:ascii="Times New Roman;serif" w:hAnsi="Times New Roman;serif"/>
                  <w:b w:val="false"/>
                  <w:color w:val="0000FF"/>
                  <w:sz w:val="20"/>
                  <w:u w:val="single"/>
                </w:rPr>
                <w:t>Signature</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d1499d03b34d3ea6776d9734b1bdb9_148">
              <w:r>
                <w:rPr>
                  <w:rStyle w:val="InternetLink"/>
                  <w:rFonts w:ascii="Times New Roman;serif" w:hAnsi="Times New Roman;serif"/>
                  <w:b w:val="false"/>
                  <w:color w:val="0000FF"/>
                  <w:sz w:val="20"/>
                  <w:u w:val="single"/>
                </w:rPr>
                <w:t>54</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00075"/>
                <wp:effectExtent l="0" t="0" r="0" b="0"/>
                <wp:wrapNone/>
                <wp:docPr id="2" name="Frame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8"/>
        <w:gridCol w:w="2095"/>
        <w:gridCol w:w="2107"/>
        <w:gridCol w:w="215"/>
        <w:gridCol w:w="1076"/>
        <w:gridCol w:w="119"/>
        <w:gridCol w:w="109"/>
        <w:gridCol w:w="109"/>
        <w:gridCol w:w="109"/>
        <w:gridCol w:w="211"/>
        <w:gridCol w:w="1056"/>
        <w:gridCol w:w="171"/>
      </w:tblGrid>
      <w:tr>
        <w:trPr/>
        <w:tc>
          <w:tcPr>
            <w:tcW w:w="2828"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1,486,291 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2,426,155 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$45,207 and $37,694, respectively</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2,532,647</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2,921,679</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6,579,216 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6,521,283 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1,785,599 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1,797,276 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net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867,745 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648,217 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12,802,172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12,977,963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construction payables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531,646 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Gaming taxes payable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1,441,675</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1,539,534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10,563,486 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10,500,484 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operating lease liabilities </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1,628,121 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1,623,890 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13,943,642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13,946,566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Commitments and contingencies (Note 15)</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deficit:</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$0.01; 40,000,000 shares authorized; zero shares issued and outstanding</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par value $0.01; 400,000,000 shares authorized; 134,310,365 and 133,584,126 shares issued; 103,977,280 and 107,821,567 shares outstanding, respectively</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30,333,085 and 25,762,599 shares, respectively</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(2,620,502)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(2,241,607)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3,779,077 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3,698,800 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(1,528,294)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(1,676,990)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Wynn Resorts, Limited stockholders' deficit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(370,042)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(224,161)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(771,428)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deficit</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(1,141,470)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(968,603)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deficit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12,802,172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12,977,963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00075"/>
                <wp:effectExtent l="0" t="0" r="0" b="0"/>
                <wp:wrapNone/>
                <wp:docPr id="3" name="Frame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96"/>
        <w:gridCol w:w="1246"/>
        <w:gridCol w:w="125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9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1,833,747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5,271,941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5,289,164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1,523,258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1,560,086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4,428,263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4,523,328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310,489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133,237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843,678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765,836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(403,404)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362,432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286,793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317,356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224,106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Wynn Resorts, Limited: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00075"/>
                <wp:effectExtent l="0" t="0" r="0" b="0"/>
                <wp:wrapNone/>
                <wp:docPr id="4" name="Frame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82"/>
        <w:gridCol w:w="1452"/>
        <w:gridCol w:w="1411"/>
        <w:gridCol w:w="215"/>
        <w:gridCol w:w="847"/>
        <w:gridCol w:w="111"/>
        <w:gridCol w:w="111"/>
        <w:gridCol w:w="111"/>
        <w:gridCol w:w="111"/>
        <w:gridCol w:w="215"/>
        <w:gridCol w:w="798"/>
        <w:gridCol w:w="111"/>
        <w:gridCol w:w="109"/>
        <w:gridCol w:w="109"/>
        <w:gridCol w:w="109"/>
        <w:gridCol w:w="211"/>
        <w:gridCol w:w="841"/>
        <w:gridCol w:w="109"/>
        <w:gridCol w:w="109"/>
        <w:gridCol w:w="109"/>
        <w:gridCol w:w="109"/>
        <w:gridCol w:w="211"/>
        <w:gridCol w:w="841"/>
        <w:gridCol w:w="163"/>
      </w:tblGrid>
      <w:tr>
        <w:trPr/>
        <w:tc>
          <w:tcPr>
            <w:tcW w:w="168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before and after tax</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10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111,878</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(14,729)</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291,980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306,388</w:t>
            </w:r>
            <w:r>
              <w:rPr>
                <w:color w:val="000000"/>
              </w:rPr>
              <w:t>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(90,097)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attributable to Wynn Resorts, Limited</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76,103</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(38,675)</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231,340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216,291</w:t>
            </w:r>
            <w:r>
              <w:rPr>
                <w:color w:val="000000"/>
              </w:rPr>
              <w:t>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00075"/>
                <wp:effectExtent l="0" t="0" r="0" b="0"/>
                <wp:wrapNone/>
                <wp:docPr id="5" name="Frame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15"/>
        <w:gridCol w:w="645"/>
        <w:gridCol w:w="131"/>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September 30,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July 1, 2025</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103,976,829 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(2,618,638)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3,755,873 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(1,590,690)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(766,434)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(1,207,974)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18,356 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(8,826)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September 30, 2025</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103,977,280</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(2,620,502)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3,779,077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(1,666)</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(1,528,294)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(370,042)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(771,428)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(1,141,470)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32"/>
        <w:gridCol w:w="618"/>
        <w:gridCol w:w="141"/>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September 30,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July 1, 2024</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111,375,062 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(1,918,595)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3,672,049 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(1,866,826)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(792,138)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(901,962)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(19,042)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(1,473,824)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dividends declared</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(14,405)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Transactions with subsidiary minority shareholders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September 30, 2024</w:t>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109,922,076</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(2,037,046)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3,685,242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(4,409)</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(1,926,524)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(281,402)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(784,076)</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(1,065,478)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00075"/>
                <wp:effectExtent l="0" t="0" r="0" b="0"/>
                <wp:wrapNone/>
                <wp:docPr id="6" name="Frame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32"/>
        <w:gridCol w:w="618"/>
        <w:gridCol w:w="141"/>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nine months ended September 30,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January 1, 2025</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107,821,567 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(2,241,607)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(1,676,990)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(744,442)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(968,603)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59,487 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739,939 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(4,570,526)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(71,344)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(18,138)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September 30, 2025</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103,977,280</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(2,620,502)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3,779,077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(1,666)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(1,528,294)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(370,042)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(771,428)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(1,141,470)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82" w:type="dxa"/>
        <w:jc w:val="center"/>
        <w:tblInd w:w="0" w:type="dxa"/>
        <w:tblLayout w:type="fixed"/>
        <w:tblCellMar>
          <w:top w:w="28" w:type="dxa"/>
          <w:left w:w="28" w:type="dxa"/>
          <w:bottom w:w="28" w:type="dxa"/>
          <w:right w:w="28" w:type="dxa"/>
        </w:tblCellMar>
      </w:tblPr>
      <w:tblGrid>
        <w:gridCol w:w="565"/>
        <w:gridCol w:w="220"/>
        <w:gridCol w:w="221"/>
        <w:gridCol w:w="449"/>
        <w:gridCol w:w="452"/>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32"/>
        <w:gridCol w:w="618"/>
        <w:gridCol w:w="141"/>
        <w:gridCol w:w="109"/>
        <w:gridCol w:w="109"/>
        <w:gridCol w:w="109"/>
        <w:gridCol w:w="181"/>
        <w:gridCol w:w="736"/>
        <w:gridCol w:w="109"/>
        <w:gridCol w:w="109"/>
        <w:gridCol w:w="109"/>
        <w:gridCol w:w="109"/>
        <w:gridCol w:w="181"/>
        <w:gridCol w:w="631"/>
        <w:gridCol w:w="109"/>
        <w:gridCol w:w="109"/>
        <w:gridCol w:w="109"/>
        <w:gridCol w:w="109"/>
        <w:gridCol w:w="200"/>
        <w:gridCol w:w="699"/>
        <w:gridCol w:w="122"/>
        <w:gridCol w:w="109"/>
        <w:gridCol w:w="109"/>
        <w:gridCol w:w="109"/>
        <w:gridCol w:w="181"/>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nine months ended September 30,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Wynn Resorts, Ltd.</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deficit</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January 1, 2024</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111,737,245 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(1,836,326)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(2,066,953)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(849,552)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(1,100,934)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(7,815)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544,858 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(2,348,300)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Transactions with subsidiary minority shareholders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Balances, September 30, 2024</w:t>
            </w:r>
          </w:p>
        </w:tc>
        <w:tc>
          <w:tcPr>
            <w:tcW w:w="9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109,922,076</w:t>
            </w:r>
            <w:r>
              <w:rPr>
                <w:color w:val="000000"/>
              </w:rPr>
              <w:t>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(2,037,046)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3,685,242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(4,409)</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(1,926,524)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(281,402)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(784,076)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(1,065,478)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00075"/>
                <wp:effectExtent l="0" t="0" r="0" b="0"/>
                <wp:wrapNone/>
                <wp:docPr id="7" name="Frame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43" w:type="dxa"/>
        <w:jc w:val="center"/>
        <w:tblInd w:w="0" w:type="dxa"/>
        <w:tblLayout w:type="fixed"/>
        <w:tblCellMar>
          <w:top w:w="28" w:type="dxa"/>
          <w:left w:w="28" w:type="dxa"/>
          <w:bottom w:w="28" w:type="dxa"/>
          <w:right w:w="28" w:type="dxa"/>
        </w:tblCellMar>
      </w:tblPr>
      <w:tblGrid>
        <w:gridCol w:w="2097"/>
        <w:gridCol w:w="1839"/>
        <w:gridCol w:w="1853"/>
        <w:gridCol w:w="196"/>
        <w:gridCol w:w="886"/>
        <w:gridCol w:w="109"/>
        <w:gridCol w:w="109"/>
        <w:gridCol w:w="109"/>
        <w:gridCol w:w="109"/>
        <w:gridCol w:w="196"/>
        <w:gridCol w:w="88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financing transactions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Provision for credit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derivatives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charges and 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from changes in: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prepaid expenses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874,637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947,175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net of construction payables and retention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 of investments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maturity of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(1,199,731)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126,512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noncontrolling interest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payments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(611,314)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(337,737)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on cash, cash equivalents and restricted cash</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3,351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(Decrease) increase in cash, cash equivalents and 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(938,895)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739,301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beginning of period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2,521,793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2,969,412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1,582,898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3,708,713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00075"/>
                <wp:effectExtent l="0" t="0" r="0" b="0"/>
                <wp:wrapNone/>
                <wp:docPr id="8" name="Frame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Organization</w:t>
      </w:r>
    </w:p>
    <w:p>
      <w:pPr>
        <w:pStyle w:val="TextBody"/>
        <w:bidi w:val="0"/>
        <w:spacing w:before="0" w:after="0"/>
        <w:ind w:left="0" w:right="0" w:firstLine="22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40% equity interest in Island 3 AMI FZ-LLC ("Island 3"), an unconsolidated affiliate, which is constructing an integrated resort property ("Wynn Al Marjan Island") in Ras Al Khaimah, United Arab Emirates, currently expected to open in 2027.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2 -</w:t>
      </w:r>
      <w:r>
        <w:rPr>
          <w:color w:val="000000"/>
        </w:rPr>
        <w:t>    </w:t>
      </w:r>
      <w:r>
        <w:rPr>
          <w:rFonts w:ascii="Times New Roman;serif" w:hAnsi="Times New Roman;serif"/>
          <w:b/>
          <w:color w:val="000000"/>
          <w:sz w:val="20"/>
        </w:rPr>
        <w:t>Basis of Presentation and Significant Accounting Policies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by the Company pursuant to the rules and regulations of the Securities and Exchange Commission.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nine months ended September 30, 2025 are not necessarily indicative of results to be expected for any other interim period or the full fiscal year ending December 31, 2025. These condensed consolidated financial statements should be read in conjunction with the consolidated financial statements and notes thereto in the Company's Annual Report on Form 10-K for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shd w:fill="FFFFFF" w:val="clear"/>
        </w:rPr>
        <w:t xml:space="preserve">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If the entity does not qualify for consolidation and the Company has significant influence over the operating and financial decisions of the entity, the Company accounts for the entity under the equity method. All significant intercompany accounts and transactions have been eliminated. Certain amounts in the condensed consolidated balance sheet as of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have been reclassified to be consistent with the current period presentation. These reclassifications had no effect on previously reported total assets, total liabilities, and total stockholders' deficit.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and valuations of derivatives.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00075"/>
                <wp:effectExtent l="0" t="0" r="0" b="0"/>
                <wp:wrapNone/>
                <wp:docPr id="9" name="Frame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Gaming Taxes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$509.9 million and $437.2 million for the three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respectively, and $1.40 billion and $1.36 billion for the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respectively.</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As of September 30, 2025, the Company held $475.0 million in fixed deposits, recorded at fair value. 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three and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no impairment was recognized.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Investments in Unconsolidated Affiliates</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Company accounts for its investment in Island 3, an unconsolidated affiliate which is constructing Wynn Al Marjan Island, using the equity method. Under the equity method, the investment's carrying value is adjusted for the Company’s share of the investee's earnings and losses, capital contributions to and distributions from Island 3, and capitalization of interest cost incurred by the Company during the investee's initial development period. The Company recognized an equity-method loss of $7.1 million and $1.6 million for the three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respectively, and $16.6 million and $3.8 million for the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respectively, in Pre-opening expense within the Condensed Consolidated Statements of Operations.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July 2025, the Financial Accounting Standards Board (the “FASB”) issued Accounting Standards Update (“ASU”) 2025-05, F</w:t>
      </w:r>
      <w:r>
        <w:rPr>
          <w:rFonts w:ascii="Times New Roman;serif" w:hAnsi="Times New Roman;serif"/>
          <w:b w:val="false"/>
          <w:i/>
          <w:color w:val="000000"/>
          <w:sz w:val="20"/>
        </w:rPr>
        <w:t xml:space="preserve">inancial Instruments — Credit Losses (Topic 326): Measurement of Credit Losses for Accounts Receivable and Contract Assets </w:t>
      </w:r>
      <w:r>
        <w:rPr>
          <w:rFonts w:ascii="Times New Roman;serif" w:hAnsi="Times New Roman;serif"/>
          <w:b w:val="false"/>
          <w:color w:val="000000"/>
          <w:sz w:val="20"/>
        </w:rPr>
        <w:t>(“ASU 2025-05”), which provides a practical expedient for estimating expected credit losses for current accounts receivable and current contract assets. ASU 2025-05 will be effective for annual periods beginning after December 15, 2025, and interim periods within those annual reporting periods and should be applied prospectively. The Company is currently evaluating the impact that this guidance will have on the Company's consolidated financial statements and related disclosures.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w:t>
      </w:r>
      <w:r>
        <w:rPr>
          <w:color w:val="000000"/>
        </w:rPr>
        <w:t xml:space="preserve"> </w:t>
      </w:r>
      <w:r>
        <w:rPr>
          <w:rFonts w:ascii="Times New Roman;serif" w:hAnsi="Times New Roman;serif"/>
          <w:b w:val="false"/>
          <w:color w:val="000000"/>
          <w:sz w:val="20"/>
        </w:rPr>
        <w:t>(“ASU 2025-06”), which revises the approach to accounting for internal-use software costs by eliminating all references to the stages of software development projects, thereby making the guidance adaptable to a variety of software development methodologies. ASU 2025-06 will be effective for annual periods beginning after December 15, 2027, and interim periods within those annual reporting periods, on a prospective, modified or retrospective basis, with early adoption permitted. The Company is currently evaluating the impact that this guidance will have on the Company's consolidated financial statements and related disclosures.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00075"/>
                <wp:effectExtent l="0" t="0" r="0" b="0"/>
                <wp:wrapNone/>
                <wp:docPr id="10" name="Frame1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Cash, Cash Equivalents and Restricted Cash</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consisted of the following (in thousands):</w:t>
      </w:r>
    </w:p>
    <w:tbl>
      <w:tblPr>
        <w:tblW w:w="10205" w:type="dxa"/>
        <w:jc w:val="left"/>
        <w:tblInd w:w="0" w:type="dxa"/>
        <w:tblLayout w:type="fixed"/>
        <w:tblCellMar>
          <w:top w:w="28" w:type="dxa"/>
          <w:left w:w="28" w:type="dxa"/>
          <w:bottom w:w="28" w:type="dxa"/>
          <w:right w:w="28" w:type="dxa"/>
        </w:tblCellMar>
      </w:tblPr>
      <w:tblGrid>
        <w:gridCol w:w="1683"/>
        <w:gridCol w:w="1480"/>
        <w:gridCol w:w="1489"/>
        <w:gridCol w:w="397"/>
        <w:gridCol w:w="1871"/>
        <w:gridCol w:w="205"/>
        <w:gridCol w:w="188"/>
        <w:gridCol w:w="188"/>
        <w:gridCol w:w="188"/>
        <w:gridCol w:w="390"/>
        <w:gridCol w:w="1836"/>
        <w:gridCol w:w="290"/>
      </w:tblGrid>
      <w:tr>
        <w:trPr/>
        <w:tc>
          <w:tcPr>
            <w:tcW w:w="168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2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Cash </w:t>
            </w:r>
            <w:r>
              <w:rPr>
                <w:rFonts w:ascii="Times New Roman;serif" w:hAnsi="Times New Roman;serif"/>
                <w:b w:val="false"/>
                <w:color w:val="000000"/>
                <w:sz w:val="13"/>
              </w:rPr>
              <w:t>(1)</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1,442,922 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1,639,151 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Cash equivalents</w:t>
            </w:r>
            <w:r>
              <w:rPr>
                <w:color w:val="000000"/>
              </w:rPr>
              <w:t xml:space="preserve"> </w:t>
            </w:r>
            <w:r>
              <w:rPr>
                <w:rFonts w:ascii="Times New Roman;serif" w:hAnsi="Times New Roman;serif"/>
                <w:b w:val="false"/>
                <w:color w:val="000000"/>
                <w:sz w:val="13"/>
              </w:rPr>
              <w:t>(2)</w:t>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787,004 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cash and cash equivalents </w:t>
            </w:r>
          </w:p>
        </w:tc>
        <w:tc>
          <w:tcPr>
            <w:tcW w:w="2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1,486,291</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2,426,155</w:t>
            </w:r>
            <w:r>
              <w:rPr>
                <w:color w:val="000000"/>
              </w:rPr>
              <w:t>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cash</w:t>
            </w:r>
            <w:r>
              <w:rPr>
                <w:color w:val="000000"/>
              </w:rPr>
              <w:t xml:space="preserve"> </w:t>
            </w:r>
            <w:r>
              <w:rPr>
                <w:rFonts w:ascii="Times New Roman;serif" w:hAnsi="Times New Roman;serif"/>
                <w:b w:val="false"/>
                <w:color w:val="000000"/>
                <w:sz w:val="13"/>
              </w:rPr>
              <w:t>(3)</w:t>
            </w:r>
          </w:p>
        </w:tc>
        <w:tc>
          <w:tcPr>
            <w:tcW w:w="2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95,638 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cash, cash equivalents and restricted cash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1,582,898</w:t>
            </w: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2,521,793</w:t>
            </w:r>
            <w:r>
              <w:rPr>
                <w:color w:val="000000"/>
              </w:rPr>
              <w:t>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(1) Cash consists of cash on hand and bank deposits. </w:t>
            </w:r>
          </w:p>
          <w:p>
            <w:pPr>
              <w:pStyle w:val="TableContents"/>
              <w:bidi w:val="0"/>
              <w:spacing w:lineRule="auto" w:line="240" w:before="0" w:after="0"/>
              <w:ind w:left="0" w:right="0" w:hanging="270"/>
              <w:jc w:val="both"/>
              <w:rPr/>
            </w:pPr>
            <w:r>
              <w:rPr>
                <w:rFonts w:ascii="Times New Roman;serif" w:hAnsi="Times New Roman;serif"/>
                <w:b w:val="false"/>
                <w:color w:val="000000"/>
                <w:sz w:val="16"/>
              </w:rPr>
              <w:t>(2) Cash equivalents consists of bank time deposits and money market funds, which excludes $475.0 million of short-term investments described in</w:t>
            </w:r>
            <w:r>
              <w:rPr>
                <w:color w:val="000000"/>
              </w:rPr>
              <w:t xml:space="preserve"> </w:t>
            </w:r>
            <w:r>
              <w:rPr>
                <w:rFonts w:ascii="Times New Roman;serif" w:hAnsi="Times New Roman;serif"/>
                <w:b w:val="false"/>
                <w:i/>
                <w:color w:val="000000"/>
                <w:sz w:val="16"/>
              </w:rPr>
              <w:t>Note 2 - Basis of Presentation and Significant Accounting Policies.</w:t>
            </w:r>
          </w:p>
          <w:p>
            <w:pPr>
              <w:pStyle w:val="TableContents"/>
              <w:bidi w:val="0"/>
              <w:spacing w:lineRule="auto" w:line="240"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(3) Restricted cash consists of cash subject to certain contractual restrictions, cash collateral associated with obligations and cash held in trusts in accordance with WML's share award plans, and as of September 30, 2025 and December 31, 2024 included $87.3 million and $87.5 million, respectively, in the form of a first demand bank guarantee in favor of the Macau government to support the legal and contractual obligations of Wynn Resorts (Macau) S.A. ("Wynn Macau SA") through the term of Wynn Macau SA's gaming concession contract. </w:t>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supplemental cash flow disclosures of the Company (in thousands):</w:t>
      </w:r>
    </w:p>
    <w:tbl>
      <w:tblPr>
        <w:tblW w:w="8528" w:type="dxa"/>
        <w:jc w:val="left"/>
        <w:tblInd w:w="0" w:type="dxa"/>
        <w:tblLayout w:type="fixed"/>
        <w:tblCellMar>
          <w:top w:w="28" w:type="dxa"/>
          <w:left w:w="28" w:type="dxa"/>
          <w:bottom w:w="28" w:type="dxa"/>
          <w:right w:w="28" w:type="dxa"/>
        </w:tblCellMar>
      </w:tblPr>
      <w:tblGrid>
        <w:gridCol w:w="2124"/>
        <w:gridCol w:w="1867"/>
        <w:gridCol w:w="1873"/>
        <w:gridCol w:w="211"/>
        <w:gridCol w:w="826"/>
        <w:gridCol w:w="109"/>
        <w:gridCol w:w="109"/>
        <w:gridCol w:w="109"/>
        <w:gridCol w:w="109"/>
        <w:gridCol w:w="211"/>
        <w:gridCol w:w="826"/>
        <w:gridCol w:w="154"/>
      </w:tblGrid>
      <w:tr>
        <w:trPr/>
        <w:tc>
          <w:tcPr>
            <w:tcW w:w="212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settled with shares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construction payables related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settlement of liabilities in connection with an asset 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arising from obtaining finance lease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arising from obtaining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4 -    Receivables, net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Accounts Receivable and Credit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Receivables, net consisted of the following (in thousands): </w:t>
      </w:r>
    </w:p>
    <w:tbl>
      <w:tblPr>
        <w:tblW w:w="6130" w:type="dxa"/>
        <w:jc w:val="left"/>
        <w:tblInd w:w="0" w:type="dxa"/>
        <w:tblLayout w:type="fixed"/>
        <w:tblCellMar>
          <w:top w:w="28" w:type="dxa"/>
          <w:left w:w="28" w:type="dxa"/>
          <w:bottom w:w="28" w:type="dxa"/>
          <w:right w:w="28" w:type="dxa"/>
        </w:tblCellMar>
      </w:tblPr>
      <w:tblGrid>
        <w:gridCol w:w="982"/>
        <w:gridCol w:w="864"/>
        <w:gridCol w:w="868"/>
        <w:gridCol w:w="280"/>
        <w:gridCol w:w="1119"/>
        <w:gridCol w:w="145"/>
        <w:gridCol w:w="109"/>
        <w:gridCol w:w="109"/>
        <w:gridCol w:w="109"/>
        <w:gridCol w:w="270"/>
        <w:gridCol w:w="1078"/>
        <w:gridCol w:w="197"/>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278,062 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236,642 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397,866</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361,710</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352,659</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324,016</w:t>
            </w: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approximately 79.0% and 70.9%,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allowance for casino credit losses was 15.5% and 14.7% of gross casino receivables as of September 30, 2025 and December 31, 2024, respectively. Although the Company believes that its allowance is adequate, it is possible the estimated amounts of cash collections with respect to receivables could change. The Company’s allowances for credit losses from its hotel and other receivables were not material.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00075"/>
                <wp:effectExtent l="0" t="0" r="0" b="0"/>
                <wp:wrapNone/>
                <wp:docPr id="11" name="Frame1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76" w:before="0" w:after="0"/>
        <w:ind w:left="0" w:right="0" w:firstLine="495"/>
        <w:jc w:val="both"/>
        <w:rPr/>
      </w:pPr>
      <w:r>
        <w:rPr>
          <w:rFonts w:ascii="Times New Roman;serif" w:hAnsi="Times New Roman;serif"/>
          <w:b w:val="false"/>
          <w:color w:val="000000"/>
          <w:sz w:val="20"/>
        </w:rPr>
        <w:t>The following table shows the movement in the Company's allowance for credit losses recognized for receivables that occurred during the periods presented (in thousands):</w:t>
      </w:r>
      <w:r>
        <w:rPr>
          <w:color w:val="000000"/>
        </w:rPr>
        <w:t> </w:t>
      </w:r>
    </w:p>
    <w:tbl>
      <w:tblPr>
        <w:tblW w:w="6653" w:type="dxa"/>
        <w:jc w:val="left"/>
        <w:tblInd w:w="0" w:type="dxa"/>
        <w:tblLayout w:type="fixed"/>
        <w:tblCellMar>
          <w:top w:w="28" w:type="dxa"/>
          <w:left w:w="28" w:type="dxa"/>
          <w:bottom w:w="28" w:type="dxa"/>
          <w:right w:w="28" w:type="dxa"/>
        </w:tblCellMar>
      </w:tblPr>
      <w:tblGrid>
        <w:gridCol w:w="1510"/>
        <w:gridCol w:w="1328"/>
        <w:gridCol w:w="1331"/>
        <w:gridCol w:w="211"/>
        <w:gridCol w:w="736"/>
        <w:gridCol w:w="109"/>
        <w:gridCol w:w="109"/>
        <w:gridCol w:w="109"/>
        <w:gridCol w:w="109"/>
        <w:gridCol w:w="211"/>
        <w:gridCol w:w="73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Write-offs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Recoveries of receivables previously written off</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Effect of exchange rate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39,186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Property and Equipment, net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250" w:type="dxa"/>
        <w:jc w:val="left"/>
        <w:tblInd w:w="0" w:type="dxa"/>
        <w:tblLayout w:type="fixed"/>
        <w:tblCellMar>
          <w:top w:w="28" w:type="dxa"/>
          <w:left w:w="28" w:type="dxa"/>
          <w:bottom w:w="28" w:type="dxa"/>
          <w:right w:w="28" w:type="dxa"/>
        </w:tblCellMar>
      </w:tblPr>
      <w:tblGrid>
        <w:gridCol w:w="1027"/>
        <w:gridCol w:w="902"/>
        <w:gridCol w:w="906"/>
        <w:gridCol w:w="248"/>
        <w:gridCol w:w="1168"/>
        <w:gridCol w:w="128"/>
        <w:gridCol w:w="109"/>
        <w:gridCol w:w="109"/>
        <w:gridCol w:w="109"/>
        <w:gridCol w:w="240"/>
        <w:gridCol w:w="1129"/>
        <w:gridCol w:w="175"/>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8,681,915 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8,547,922 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1,225,766 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1,210,455 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3,599,279 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3,424,361 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Airplanes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14,007,329</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13,580,797</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(7,428,113)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(7,059,514)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6,579,216</w:t>
            </w: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6,521,283</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construction in progress consisted primarily of costs capitalized for various capital enhancements at the Company's properties.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Depreciation expense for the three months ended September 30, 2025 and </w:t>
      </w:r>
      <w:r>
        <w:rPr>
          <w:rFonts w:ascii="Times New Roman;serif" w:hAnsi="Times New Roman;serif"/>
          <w:b w:val="false"/>
          <w:color w:val="000000"/>
          <w:sz w:val="18"/>
        </w:rPr>
        <w:t>2024</w:t>
      </w:r>
      <w:r>
        <w:rPr>
          <w:color w:val="000000"/>
        </w:rPr>
        <w:t xml:space="preserve"> </w:t>
      </w:r>
      <w:r>
        <w:rPr>
          <w:rFonts w:ascii="Times New Roman;serif" w:hAnsi="Times New Roman;serif"/>
          <w:b w:val="false"/>
          <w:color w:val="000000"/>
          <w:sz w:val="20"/>
        </w:rPr>
        <w:t xml:space="preserve">was $139.5 million and $142.6 million, respectively, and depreciation expense for the nine months ended September 30, 2025 and </w:t>
      </w:r>
      <w:r>
        <w:rPr>
          <w:rFonts w:ascii="Times New Roman;serif" w:hAnsi="Times New Roman;serif"/>
          <w:b w:val="false"/>
          <w:color w:val="000000"/>
          <w:sz w:val="18"/>
        </w:rPr>
        <w:t>2024</w:t>
      </w:r>
      <w:r>
        <w:rPr>
          <w:color w:val="000000"/>
        </w:rPr>
        <w:t xml:space="preserve"> </w:t>
      </w:r>
      <w:r>
        <w:rPr>
          <w:rFonts w:ascii="Times New Roman;serif" w:hAnsi="Times New Roman;serif"/>
          <w:b w:val="false"/>
          <w:color w:val="000000"/>
          <w:sz w:val="20"/>
        </w:rPr>
        <w:t>was $422.2 million and $462.9 million,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00075"/>
                <wp:effectExtent l="0" t="0" r="0" b="0"/>
                <wp:wrapNone/>
                <wp:docPr id="12" name="Frame1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Long-Term Debt</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(in thousands):</w:t>
      </w:r>
    </w:p>
    <w:p>
      <w:pPr>
        <w:pStyle w:val="TextBody"/>
        <w:bidi w:val="0"/>
        <w:spacing w:lineRule="auto" w:line="288" w:before="0" w:after="0"/>
        <w:ind w:left="0" w:right="0" w:firstLine="45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65"/>
        <w:gridCol w:w="2160"/>
        <w:gridCol w:w="2169"/>
        <w:gridCol w:w="229"/>
        <w:gridCol w:w="1192"/>
        <w:gridCol w:w="118"/>
        <w:gridCol w:w="109"/>
        <w:gridCol w:w="109"/>
        <w:gridCol w:w="109"/>
        <w:gridCol w:w="222"/>
        <w:gridCol w:w="1156"/>
        <w:gridCol w:w="167"/>
      </w:tblGrid>
      <w:tr>
        <w:trPr/>
        <w:tc>
          <w:tcPr>
            <w:tcW w:w="2465"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Macau Related:</w:t>
            </w:r>
          </w:p>
        </w:tc>
        <w:tc>
          <w:tcPr>
            <w:tcW w:w="15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WM Cayman II Revolver, due 2028</w:t>
            </w:r>
            <w:r>
              <w:rPr>
                <w:color w:val="000000"/>
              </w:rPr>
              <w:t xml:space="preserve"> </w:t>
            </w:r>
            <w:r>
              <w:rPr>
                <w:rFonts w:ascii="Times New Roman;serif" w:hAnsi="Times New Roman;serif"/>
                <w:b w:val="false"/>
                <w:color w:val="000000"/>
                <w:sz w:val="13"/>
              </w:rPr>
              <w:t>(1)</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1,151,874 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5 1/2% Senior Notes, due 2026</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5 1/2% Senior Notes, due 2027</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5 5/8% Senior Notes, due 2028</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5 1/8% Senior Notes, due 2029</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6 3/4% Senior Notes, due 2034</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WML 4 1/2% Convertible Bonds, due 2029</w:t>
            </w:r>
            <w:r>
              <w:rPr>
                <w:color w:val="000000"/>
              </w:rPr>
              <w:t xml:space="preserve"> </w:t>
            </w:r>
            <w:r>
              <w:rPr>
                <w:rFonts w:ascii="Times New Roman;serif" w:hAnsi="Times New Roman;serif"/>
                <w:b w:val="false"/>
                <w:color w:val="000000"/>
                <w:sz w:val="13"/>
              </w:rPr>
              <w:t>(2)</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U.S. and Corporate Related:</w:t>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WRF Credit Facilities </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Term Loan, due 2027</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Term Loan, due 2030</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WLV 5 1/4% Senior Notes, due 2027</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5 1/8% Senior Notes, due 2029</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7 1/8% Senior Notes, due 2031</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6 1/4% Senior Notes, due 2033</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Retail Term Loan, due 2027</w:t>
            </w:r>
            <w:r>
              <w:rPr>
                <w:color w:val="000000"/>
              </w:rPr>
              <w:t xml:space="preserve"> </w:t>
            </w:r>
            <w:r>
              <w:rPr>
                <w:rFonts w:ascii="Times New Roman;serif" w:hAnsi="Times New Roman;serif"/>
                <w:b w:val="false"/>
                <w:color w:val="000000"/>
                <w:sz w:val="13"/>
              </w:rPr>
              <w:t>(4)</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10,632,330</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10,644,999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Convertible Bond Conversion Option Derivative</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original issue discounts and premium, net</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(136,272)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10,568,191</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10,541,734</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 net of current portion</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10,563,486</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10,500,484</w:t>
            </w:r>
            <w:r>
              <w:rPr>
                <w:color w:val="000000"/>
              </w:rPr>
              <w:t>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 As of September 30, 2025, the borrowings under the WM Cayman II Revolver bear interest at the term secured overnight financing rate ("Term SOFR") plus a credit adjustment spread of 0.10% or the Hong Kong Interbank Offered Rate ("HIBOR"), in each case plus a margin of 1.875% to 2.875% per annum based on WM Cayman II’s leverage ratio on a consolidated basis. Approximately $239.1 million and $910.5 million of the WM Cayman II Revolver bears interest at a rate of Term SOFR plus 1.975% per year and HIBOR plus 1.875% per year, respectively. As of September 30, 2025, the weighted average interest rate was approximately 5.56%. As of September 30, 2025, the available borrowing capacity under the WM Cayman II Revolver was $1.36 billion.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(2) As of September 30, 2025, the net carrying amount of the WML Convertible Bonds was $513.8 million, with unamortized debt discount and debt issuance costs of $86.2 million. The Company recorded contractual interest expense of $6.8 million in each period and amortization of discounts and issuance costs of $5.3 million and $4.8 million during the three months ended September 30, 2025 and 2024, respectively, and contractual interest expense of $20.3 million in each period and amortization of discounts and issuance costs of $15.4 million and $14.0 million during the nine months ended September 30, 2025 and 2024, respectively.</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(3) The WRF Credit Facilities bear interest at a rate of Term SOFR plus 1.75% per year. As of September 30, 2025, the weighted average interest rate was approximately 5.91%. Additionally, as of September 30, 2025, the available borrowing capacity under the WRF Revolver was $1.23 billion, net of $16.2 million in outstanding letters of credit. </w:t>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(4) The Retail Term Loan bears interest at a rate of adjusted daily simple secured overnight financing rate ("SOFR") plus 2.15% per year. As of September 30, 2025, the effective interest rate was 5.54%.</w:t>
      </w:r>
    </w:p>
    <w:p>
      <w:pPr>
        <w:pStyle w:val="TextBody"/>
        <w:bidi w:val="0"/>
        <w:spacing w:before="0" w:after="0"/>
        <w:ind w:left="0" w:right="0" w:firstLine="18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WML Senior Notes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WML issued $1.0 billion aggregate principal amount of 6 3/4% Senior Notes due 2034 (the "2034 WML Senior Notes") pursuant to an indenture between WML and Deutsche Bank Trust Company Americas, as trustee. The 2034 WML Senior Notes were issued at par for proceeds of $989.0 million, net of $11.0 million of related fees and expenses. In connection with the issuance of the 2034 WML Senior Notes, the Company recorded debt issuance costs of $11.0 million within the Condensed Consolidated Balance Sheet.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in accordance with the terms and conditions of the WML 5 1/2% Senior Notes due 2026 ("2026 WML Senior Notes") indenture, WML used the net proceeds from the 2034 WML Senior Notes, along with cash on hand,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00075"/>
                <wp:effectExtent l="0" t="0" r="0" b="0"/>
                <wp:wrapNone/>
                <wp:docPr id="13" name="Frame1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redeem in full the outstanding $1.0 billion aggregate principal amount of 2026 WML Senior Notes at a price equal to 100% of the principal amount.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WM Cayman II Revolver Facility Agreement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2025, WM Cayman II increased borrowing capacity under the WM Cayman II Revolver by an additional aggregate amount of $1.0 billion equivalent through the exercise of an accordion feature under the existing facility agreement. As a result, the total committed amount of the WM Cayman II Revolver has increased to $2.5 billion equivalent. In connection with the exercise of the accordion feature on the WM Cayman II Revolver, the Company recorded debt issuance costs of $11.6 million within the Condensed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WRF Credit Facility Agreement Amendment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Wynn Resorts Finance, LLC ("WRF") and certain of its subsidiaries entered into an amendment (the "WRF Facility Amendment") to its existing credit agreement among Deutsche Bank AG New York Branch, as administrative agent and collateral agent, and the other lenders party thereto. </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WRF Facility Amendment (i) extends the final maturity date with respect to all or a portion of the term loan commitments from September 20, 2027 to June 12, 2030, (ii) extends the termination date with respect to all or a portion of the existing revolving commitments and the maturity date with respect to the corresponding revolving loans from September 20, 2027 to June 12, 2030, and (iii) allows for $500.0 million of incremental extended revolving commitments with a stated maturity date of June 12, 2030. In addition, mandatory quarterly repayments on the outstanding term loans were extended, with quarterly repayments of $4.7 million due beginning in September 2026, increasing to $9.4 million each quarter beginning in September 2027. In connection with the WRF Facility Amendment, the Company recognized a loss on debt financing transactions of $1.1 million within the accompanying Condensed Consolidated Statement of Operations, and the Company recorded debt issuance costs of $5.9 million within the Condensed Consolidated Balance Sheet.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Debt Covenant Compliance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management believes the Company was in compliance with all debt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of Long-Term Debt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long-term debt as of September 30, 2025 and December 31, 2024 was approximately $10.75 billion and $10.46 billion, respectively, compared to its carrying value, excluding debt issuance costs and original issue discount and premium, of $10.63 billion and $10.64 billion, respectively. The estimated fair value of the Company's long-term debt is based on recent trades, if available, and indicative pricing from market information (Level 2 inputs).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WML Convertible Bond Conversion Option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conversion feature contained within the WML Convertible Bonds (the "WML Convertible Bond Conversion Option Derivative") is not indexed to WML's equity and, as such, is required to be bifurcated from the debt host contract and accounted for as a free-standing derivative, reported at fair value as of the end of each reporting period, with changes recognized in the Condensed Consolidated Statements of Operations. The following table sets forth the inputs to the lattice models that were used to value the WML Convertible Bond Conversion Option Derivative: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00075"/>
                <wp:effectExtent l="0" t="0" r="0" b="0"/>
                <wp:wrapNone/>
                <wp:docPr id="14" name="Frame1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5289" w:type="dxa"/>
        <w:jc w:val="center"/>
        <w:tblInd w:w="0" w:type="dxa"/>
        <w:tblLayout w:type="fixed"/>
        <w:tblCellMar>
          <w:top w:w="28" w:type="dxa"/>
          <w:left w:w="28" w:type="dxa"/>
          <w:bottom w:w="28" w:type="dxa"/>
          <w:right w:w="28" w:type="dxa"/>
        </w:tblCellMar>
      </w:tblPr>
      <w:tblGrid>
        <w:gridCol w:w="677"/>
        <w:gridCol w:w="595"/>
        <w:gridCol w:w="602"/>
        <w:gridCol w:w="588"/>
        <w:gridCol w:w="625"/>
        <w:gridCol w:w="331"/>
        <w:gridCol w:w="109"/>
        <w:gridCol w:w="109"/>
        <w:gridCol w:w="109"/>
        <w:gridCol w:w="568"/>
        <w:gridCol w:w="603"/>
        <w:gridCol w:w="373"/>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stock price</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HK$</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HK$</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volatility</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Dividend yield </w:t>
            </w:r>
            <w:r>
              <w:rPr>
                <w:rFonts w:ascii="Times New Roman;serif" w:hAnsi="Times New Roman;serif"/>
                <w:b w:val="false"/>
                <w:color w:val="000000"/>
                <w:sz w:val="13"/>
              </w:rPr>
              <w:t>(1)</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 xml:space="preserve">(1) Dividend yield is assumed to be zero in the lattice model used to value the WML Convertible Bond Conversion Option Derivative, due to a dividend protection feature in the WML Convertible Bond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As of September 30, 2025 and December 31, 2024, the estimated fair value of the embedded derivative was a liability of $61.5 million and $33.0 million, respectively, recorded in Long-term debt in the accompanying Condensed Consolidated Balance Sheets. In connection with the change in fair value, the Company recorded a loss of $18.5 million and $3.9 million for the three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respectively, and a loss of $28.5 million and $2.2 million for the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respectively, within Change in derivatives fair value in the accompanying Condensed Consolidated Statements of Operations.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Swaps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entered into foreign currency swap agreements (the "Foreign Currency Swaps") with the objective of managing foreign currency exchange rate risk associated with the outstanding U.S. dollar denominated WML Senior Notes. The Foreign Currency Swaps exchange predetermined amounts of Hong Kong dollars for U.S. dollars at a contractual spot rate, and as of September 30, 2025, have an aggregate notional amount of $4.10 billion, and have maturities between October 2027 and August 2030.</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net fair value of the Foreign Currency Swaps was a liability of $14.4 million, with $15.4 million recorded in Prepaid expenses and other and $29.8 million recorded in Other long-term liabilities in the accompanying Condensed Consolidated Balance Sheets. The fair values of the Foreign Currency Swaps were estimated based on discounted future cash flows, incorporating foreign currency spot rates and market yield curves (Level 2 inputs). Gains and losses on the Foreign Currency Swaps are recorded in earnings, as these instruments are not designated as hedges. The Company recorded a gain of $6.1 million and a loss of $8.4 million in the three and nine months ended September 30, 2025, respectively, within Change in derivatives fair value in the accompanying Condensed Consolidated Statements of Operations.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Stockholders' Deficit</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Equity Repurchase Program</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Company’s Board of Directors authorized an increase in the amount of the Company's outstanding shares of common stock available for repurchase under the previously available repurchase authorization to $1.00 billion.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repurchased 600 and 4,365,212 shares of its common stock at average prices of $99.27 and $82.06 per share, respectively, for an aggregate cost of $0.1 million and $358.2 million, respectively, under the equity repurchase program. During both the three and nine months ended September 30, 2024, the Company repurchased 1,464,773 and 2,206,113 shares of its common stock at average prices of $80.37 and $84.19 per share, respectively, for an aggregate cost of $117.7 million and $185.7 million, respectively, under the equity repurchase program. As of September 30, 2025, the Company had $454.9 million in repurchase authority remaining under the program.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0075"/>
                <wp:effectExtent l="0" t="0" r="0" b="0"/>
                <wp:wrapNone/>
                <wp:docPr id="15" name="Frame1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paid a cash dividend of $0.25 per share on its common stock during each of the three month periods ended March 31, 2025, June 30, 2025, and September 30, 2025 and recorded $26.6 million, $26.1 million, and $25.9 million against accumulated deficit, respectively. The Company paid a cash dividend of $0.25 per share on its common stock in each of the three month periods ended March 31, 2024, June 30, 2024, and September 30, 2024 and recorded $28.0 million against accumulated deficit in each of the three month periods ended March 31, 2024 and June 30, 2024 and $27.7 million in the three month period ended September 30, 2024, against accumulated deficit.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6, 2025, the Company's Board of Directors declared a cash dividend of $0.25 per share on its common stock, payable on November 26, 2025 to stockholders of record as of November 17, 2025.</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Wynn Macau,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June 2025, WML paid a cash dividend of HK$0.185 per share on its common stock for a total U.S. dollar equivalent of approximately $124.0 million. The Company's share of this dividend was $88.5 million, and the noncontrolling interest holders' share of this dividend was $35.5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September 2025, WML paid a cash dividend of </w:t>
      </w:r>
      <w:r>
        <w:rPr>
          <w:rFonts w:ascii="Times New Roman;serif" w:hAnsi="Times New Roman;serif"/>
          <w:b w:val="false"/>
          <w:color w:val="000000"/>
          <w:sz w:val="20"/>
          <w:shd w:fill="FFFFFF" w:val="clear"/>
        </w:rPr>
        <w:t>HK$0.185 per share on its common stock for a total U.S. dollar equivalent of $125.0 million. The Company's share of this dividend was $89.2 million, and the noncontrolling interest holders' share of this dividend was $35.8 million.</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WML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connection with the offering of the WML Convertible Bonds, WM Cayman Holdings I Limited ("WM Cayman I"), a wholly owned subsidiary of the Company and holder of our approximate 72% ownership interest in WML, entered into a stock borrowing and lending agreement with Goldman Sachs International (the "WML Stock Borrower") in March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As of the date of this report, the WML Stock Borrower held 79,774,985 WML shares under the Securities Lending Agreement.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Retail Joint Venture</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Retail Joint Venture made aggregate distributions of $5.8 million and $2.0 million during the three months ended September 30, 2025 and 2024, respectively, and $18.1 million and $10.6 million during the nine months ended September 30, 2025 and 2024, respectively, to its non-controlling interest holder. For more information on the Retail Joint Venture, see Note 16, "Retail Joint Venture."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00075"/>
                <wp:effectExtent l="0" t="0" r="0" b="0"/>
                <wp:wrapNone/>
                <wp:docPr id="16" name="Frame1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9 - Fair Value Measurements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The following tables present assets and liabilities carried at fair value (in thousands):</w:t>
      </w:r>
      <w:r>
        <w:rPr>
          <w:color w:val="000000"/>
        </w:rPr>
        <w:t> </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1580"/>
        <w:gridCol w:w="1385"/>
        <w:gridCol w:w="1396"/>
        <w:gridCol w:w="260"/>
        <w:gridCol w:w="1041"/>
        <w:gridCol w:w="134"/>
        <w:gridCol w:w="109"/>
        <w:gridCol w:w="109"/>
        <w:gridCol w:w="109"/>
        <w:gridCol w:w="256"/>
        <w:gridCol w:w="748"/>
        <w:gridCol w:w="132"/>
        <w:gridCol w:w="109"/>
        <w:gridCol w:w="109"/>
        <w:gridCol w:w="109"/>
        <w:gridCol w:w="211"/>
        <w:gridCol w:w="826"/>
        <w:gridCol w:w="109"/>
        <w:gridCol w:w="109"/>
        <w:gridCol w:w="109"/>
        <w:gridCol w:w="109"/>
        <w:gridCol w:w="221"/>
        <w:gridCol w:w="757"/>
        <w:gridCol w:w="168"/>
      </w:tblGrid>
      <w:tr>
        <w:trPr/>
        <w:tc>
          <w:tcPr>
            <w:tcW w:w="15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Market</w:t>
              <w:br/>
              <w:t>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br/>
              <w:t>Inputs</w:t>
              <w:br/>
              <w:t>(Level 3)</w:t>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43,369</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96,607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deposits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475,000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Swaps (see Note 7)</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15,349</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WML Convertible Bond Conversion Option Derivative (see Note 7)</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61,522</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Swaps (see Note 7)</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29,762</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w:t>
              <w:br/>
              <w:t>Market</w:t>
              <w:br/>
              <w:t>Prices in</w:t>
              <w:br/>
              <w:t>Active Markets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w:t>
              <w:br/>
              <w:t>Inputs</w:t>
              <w:br/>
              <w:t>(Level 3)</w:t>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787,004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95,638</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7,510</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WML Convertible Bond Conversion Option Derivative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(see Note 7)</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33,007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00075"/>
                <wp:effectExtent l="0" t="0" r="0" b="0"/>
                <wp:wrapNone/>
                <wp:docPr id="17" name="Frame1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 Customer Contract Liabilities </w: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providing goods and services to its customers, there is often a timing difference between the Company receiving cash and the Company recording revenue for providing services or holding events. </w:t>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primary liabilities associated with customer contracts are as follows (in thousands):</w:t>
      </w:r>
    </w:p>
    <w:tbl>
      <w:tblPr>
        <w:tblW w:w="10205" w:type="dxa"/>
        <w:jc w:val="left"/>
        <w:tblInd w:w="0" w:type="dxa"/>
        <w:tblLayout w:type="fixed"/>
        <w:tblCellMar>
          <w:top w:w="28" w:type="dxa"/>
          <w:left w:w="28" w:type="dxa"/>
          <w:bottom w:w="28" w:type="dxa"/>
          <w:right w:w="28" w:type="dxa"/>
        </w:tblCellMar>
      </w:tblPr>
      <w:tblGrid>
        <w:gridCol w:w="741"/>
        <w:gridCol w:w="447"/>
        <w:gridCol w:w="449"/>
        <w:gridCol w:w="217"/>
        <w:gridCol w:w="866"/>
        <w:gridCol w:w="112"/>
        <w:gridCol w:w="109"/>
        <w:gridCol w:w="109"/>
        <w:gridCol w:w="109"/>
        <w:gridCol w:w="216"/>
        <w:gridCol w:w="863"/>
        <w:gridCol w:w="111"/>
        <w:gridCol w:w="109"/>
        <w:gridCol w:w="109"/>
        <w:gridCol w:w="109"/>
        <w:gridCol w:w="220"/>
        <w:gridCol w:w="769"/>
        <w:gridCol w:w="113"/>
        <w:gridCol w:w="109"/>
        <w:gridCol w:w="109"/>
        <w:gridCol w:w="109"/>
        <w:gridCol w:w="217"/>
        <w:gridCol w:w="866"/>
        <w:gridCol w:w="112"/>
        <w:gridCol w:w="109"/>
        <w:gridCol w:w="109"/>
        <w:gridCol w:w="109"/>
        <w:gridCol w:w="216"/>
        <w:gridCol w:w="863"/>
        <w:gridCol w:w="111"/>
        <w:gridCol w:w="109"/>
        <w:gridCol w:w="109"/>
        <w:gridCol w:w="109"/>
        <w:gridCol w:w="221"/>
        <w:gridCol w:w="670"/>
        <w:gridCol w:w="170"/>
      </w:tblGrid>
      <w:tr>
        <w:trPr/>
        <w:tc>
          <w:tcPr>
            <w:tcW w:w="7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 (decrease)</w:t>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Casino outstanding chips and front money deposits </w:t>
            </w:r>
            <w:r>
              <w:rPr>
                <w:rFonts w:ascii="Times New Roman;serif" w:hAnsi="Times New Roman;serif"/>
                <w:b w:val="false"/>
                <w:color w:val="000000"/>
                <w:sz w:val="13"/>
              </w:rPr>
              <w:t>(1)</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Advance room deposits and ticket sales </w:t>
            </w:r>
            <w:r>
              <w:rPr>
                <w:rFonts w:ascii="Times New Roman;serif" w:hAnsi="Times New Roman;serif"/>
                <w:b w:val="false"/>
                <w:color w:val="000000"/>
                <w:sz w:val="13"/>
              </w:rPr>
              <w:t>(2)</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gaming-related liabilities </w:t>
            </w:r>
            <w:r>
              <w:rPr>
                <w:rFonts w:ascii="Times New Roman;serif" w:hAnsi="Times New Roman;serif"/>
                <w:b w:val="false"/>
                <w:color w:val="000000"/>
                <w:sz w:val="13"/>
              </w:rPr>
              <w:t>(3)</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Loyalty program and related liabilities </w:t>
            </w:r>
            <w:r>
              <w:rPr>
                <w:rFonts w:ascii="Times New Roman;serif" w:hAnsi="Times New Roman;serif"/>
                <w:b w:val="false"/>
                <w:color w:val="000000"/>
                <w:sz w:val="13"/>
              </w:rPr>
              <w:t>(4)</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554,781</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539,335</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15,446</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569,675</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578,979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(9,304)</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Stock-Based Compensation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compensation cost for stock-based compensation plans was recorded as follows (in thousands):</w:t>
      </w:r>
    </w:p>
    <w:p>
      <w:pPr>
        <w:pStyle w:val="TextBody"/>
        <w:bidi w:val="0"/>
        <w:spacing w:before="0" w:after="0"/>
        <w:ind w:left="0" w:right="0" w:firstLine="450"/>
        <w:jc w:val="left"/>
        <w:rPr/>
      </w:pPr>
      <w:r>
        <w:rPr/>
      </w:r>
    </w:p>
    <w:tbl>
      <w:tblPr>
        <w:tblW w:w="9335" w:type="dxa"/>
        <w:jc w:val="left"/>
        <w:tblInd w:w="0" w:type="dxa"/>
        <w:tblLayout w:type="fixed"/>
        <w:tblCellMar>
          <w:top w:w="28" w:type="dxa"/>
          <w:left w:w="28" w:type="dxa"/>
          <w:bottom w:w="28" w:type="dxa"/>
          <w:right w:w="28" w:type="dxa"/>
        </w:tblCellMar>
      </w:tblPr>
      <w:tblGrid>
        <w:gridCol w:w="1332"/>
        <w:gridCol w:w="1171"/>
        <w:gridCol w:w="1186"/>
        <w:gridCol w:w="232"/>
        <w:gridCol w:w="810"/>
        <w:gridCol w:w="120"/>
        <w:gridCol w:w="120"/>
        <w:gridCol w:w="120"/>
        <w:gridCol w:w="120"/>
        <w:gridCol w:w="232"/>
        <w:gridCol w:w="810"/>
        <w:gridCol w:w="120"/>
        <w:gridCol w:w="109"/>
        <w:gridCol w:w="109"/>
        <w:gridCol w:w="109"/>
        <w:gridCol w:w="224"/>
        <w:gridCol w:w="782"/>
        <w:gridCol w:w="115"/>
        <w:gridCol w:w="115"/>
        <w:gridCol w:w="115"/>
        <w:gridCol w:w="115"/>
        <w:gridCol w:w="224"/>
        <w:gridCol w:w="782"/>
        <w:gridCol w:w="163"/>
      </w:tblGrid>
      <w:tr>
        <w:trPr/>
        <w:tc>
          <w:tcPr>
            <w:tcW w:w="133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 expense</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13,670</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70,901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44,206</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capitalized</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stock-based compensation costs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24,071</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15,002</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75,186</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48,159</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12 - Income Taxes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Company recorded an income tax expense of $61.1 million and $17.1 million for the three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respectively, and an income tax expense of $82.7 million and $45.1 million for the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respectively. The increase in income tax expense for the three and nine month periods ended September 30, 2025 primarily reflects an increase in the valuation allowance on foreign tax credit carryforwards.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statutory tax rate of 21% and the effective tax rate of 22.4% is due to an increase in the valuation allowance on foreign tax credit carryforwards.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00075"/>
                <wp:effectExtent l="0" t="0" r="0" b="0"/>
                <wp:wrapNone/>
                <wp:docPr id="18" name="Frame1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4, 2025, the U.S. president signed into law the budget and reconciliation bill, commonly referred to as the One Big Beautiful Bill Act, which includes a broad range of tax reform provisions. The Company has evaluated the impact of these provisions on the Company's effective tax rate and deferred tax assets for 2025 and future periods. These U.S. federal tax law changes increase tax deductions and reduce the utilization of foreign tax credit carryforwards. The Company, in response, increased its valuation allowance on foreign tax credit carryforwards during the three months ended September 30, 2025.</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Earnings Per Share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at the later of the date of issuance or beginning of the period presented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Other potentially dilutive securities include outstanding stock options and unvested restricted stock.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The weighted average number of common and common equivalent shares used in the calculation of basic and diluted EPS consisted of the following (in thousands, except per share amounts):</w:t>
      </w:r>
      <w:r>
        <w:rPr>
          <w:color w:val="000000"/>
        </w:rPr>
        <w:t> </w:t>
      </w:r>
    </w:p>
    <w:p>
      <w:pPr>
        <w:pStyle w:val="TextBody"/>
        <w:bidi w:val="0"/>
        <w:spacing w:before="0" w:after="0"/>
        <w:ind w:left="0" w:right="0" w:firstLine="450"/>
        <w:jc w:val="both"/>
        <w:rPr/>
      </w:pPr>
      <w:r>
        <w:rPr/>
      </w:r>
    </w:p>
    <w:tbl>
      <w:tblPr>
        <w:tblW w:w="10205" w:type="dxa"/>
        <w:jc w:val="left"/>
        <w:tblInd w:w="0" w:type="dxa"/>
        <w:tblLayout w:type="fixed"/>
        <w:tblCellMar>
          <w:top w:w="28" w:type="dxa"/>
          <w:left w:w="28" w:type="dxa"/>
          <w:bottom w:w="28" w:type="dxa"/>
          <w:right w:w="28" w:type="dxa"/>
        </w:tblCellMar>
      </w:tblPr>
      <w:tblGrid>
        <w:gridCol w:w="1762"/>
        <w:gridCol w:w="1445"/>
        <w:gridCol w:w="1453"/>
        <w:gridCol w:w="216"/>
        <w:gridCol w:w="754"/>
        <w:gridCol w:w="111"/>
        <w:gridCol w:w="111"/>
        <w:gridCol w:w="111"/>
        <w:gridCol w:w="111"/>
        <w:gridCol w:w="216"/>
        <w:gridCol w:w="777"/>
        <w:gridCol w:w="111"/>
        <w:gridCol w:w="109"/>
        <w:gridCol w:w="109"/>
        <w:gridCol w:w="109"/>
        <w:gridCol w:w="211"/>
        <w:gridCol w:w="841"/>
        <w:gridCol w:w="109"/>
        <w:gridCol w:w="109"/>
        <w:gridCol w:w="109"/>
        <w:gridCol w:w="109"/>
        <w:gridCol w:w="211"/>
        <w:gridCol w:w="841"/>
        <w:gridCol w:w="160"/>
      </w:tblGrid>
      <w:tr>
        <w:trPr/>
        <w:tc>
          <w:tcPr>
            <w:tcW w:w="176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Wynn Resorts, Limited - basic</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88,341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224,106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 of Wynn Resorts, Limited subsidiaries: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Assumed conversion of WML Convertible Bonds </w:t>
            </w:r>
            <w:r>
              <w:rPr>
                <w:rFonts w:ascii="Times New Roman;serif" w:hAnsi="Times New Roman;serif"/>
                <w:b w:val="false"/>
                <w:color w:val="000000"/>
                <w:sz w:val="13"/>
              </w:rPr>
              <w:t>(1)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Wynn Resorts, Limited - diluted</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88,341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(32,053)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224,106</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dilutive effect of stock options, nonvested, and performance nonvested shares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and common equivalent shares outstanding</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103,636</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109,727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110,810</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Wynn Resorts, Limited per common share, basic</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Wynn Resorts, Limited per common share, diluted</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 nonvested, and performance nonvested shares excluded from the calculation of diluted net income per share</w:t>
            </w:r>
          </w:p>
        </w:tc>
        <w:tc>
          <w:tcPr>
            <w:tcW w:w="97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The assumed conversion of the WML Convertible Bonds had an anti-dilutive impact for the three and nine months ended September 30, 2025 and 2024.</w:t>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00075"/>
                <wp:effectExtent l="0" t="0" r="0" b="0"/>
                <wp:wrapNone/>
                <wp:docPr id="19" name="Frame1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Note 14 - Leases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Lessor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minimum and contingent operating lease income for the periods presented (in thousands):</w:t>
      </w:r>
    </w:p>
    <w:p>
      <w:pPr>
        <w:pStyle w:val="TextBody"/>
        <w:bidi w:val="0"/>
        <w:spacing w:before="0" w:after="0"/>
        <w:jc w:val="both"/>
        <w:rPr/>
      </w:pPr>
      <w:r>
        <w:rPr/>
      </w:r>
    </w:p>
    <w:tbl>
      <w:tblPr>
        <w:tblW w:w="7909" w:type="dxa"/>
        <w:jc w:val="left"/>
        <w:tblInd w:w="0" w:type="dxa"/>
        <w:tblLayout w:type="fixed"/>
        <w:tblCellMar>
          <w:top w:w="28" w:type="dxa"/>
          <w:left w:w="28" w:type="dxa"/>
          <w:bottom w:w="28" w:type="dxa"/>
          <w:right w:w="28" w:type="dxa"/>
        </w:tblCellMar>
      </w:tblPr>
      <w:tblGrid>
        <w:gridCol w:w="798"/>
        <w:gridCol w:w="701"/>
        <w:gridCol w:w="705"/>
        <w:gridCol w:w="232"/>
        <w:gridCol w:w="810"/>
        <w:gridCol w:w="120"/>
        <w:gridCol w:w="120"/>
        <w:gridCol w:w="120"/>
        <w:gridCol w:w="120"/>
        <w:gridCol w:w="232"/>
        <w:gridCol w:w="810"/>
        <w:gridCol w:w="120"/>
        <w:gridCol w:w="109"/>
        <w:gridCol w:w="109"/>
        <w:gridCol w:w="109"/>
        <w:gridCol w:w="211"/>
        <w:gridCol w:w="841"/>
        <w:gridCol w:w="109"/>
        <w:gridCol w:w="109"/>
        <w:gridCol w:w="109"/>
        <w:gridCol w:w="109"/>
        <w:gridCol w:w="211"/>
        <w:gridCol w:w="84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Minimum rental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rental income</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rental income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51,707</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48,364</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155,377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153,244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Commitments and Contingencies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and its affiliates are involved in litigation arising in the normal course of business. In the opinion of management, such litigation is not expected to have a material effect on the Company's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Island 3 Funding Commitment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construction of Wynn Al Marjan Island, the Company is required to contribute capital to Island 3 to fund 40% of the project design and development costs in exchange for a pro-rata share of equity in Island 3. During the three and nine months ended September 30, 2025, the Company contributed $93.9 million and $203.3 million of cash into Island 3, respectively, bringing our life-to-date cash contributions to $835.0 million. The Company's remaining 40% pro-rata share of the required equity for the construction of Wynn Al Marjan Island is estimated to be between $500 million and $575 million inclusive of capitalized interest, fees, and certain improvements on the Island.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Island 3 has partnered with Aman Group, a developer and operator of hotels, resorts and branded residences, to construct a second development adjacent to Wynn Al Marjan Island, which will feature a 132-room hotel and a residential tower with one- to five- bedroom units and a limited collection of standalone villas (“Janu Al Marjan Island”). Janu Al Marjan Island, expected to open in late 2028, will be managed and operated by Aman Group and will offer a variety of guest experiences. The Company’s estimated capital contributions to Island 3 for the construction of the Janu Al Marjan Island are between $25 million and $50 million, net of estimated branded residence sales and estimated 50% loan-to-cost financing to fund project costs.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Al Marjan Facility Completion Guarantee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Wynn Al Marjan Island FZ-LLC (the "Borrower"), a wholly-owned subsidiary of Island 3, an unconsolidated affiliate, entered into a facility agreement with a syndicate of lenders (the "Al Marjan Facility Agreement") which provides the Borrower with a $2.4 billion (or equivalent in local currency) delayed draw secured term loan facility to finance the development of Wynn Al Marjan Island (the "Al Marjan Facility").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not a party to the Al Marjan Facility Agreement, but as a condition precedent to the Al Marjan Facility being made available to the Borrower, the Company and the government of Ras Al Khaimah, acting through the Investment and Development Office of Ras Al Khaimah (collectively the "Al Marjan Guarantors"), entered into a guarantee (the "Completion Guarantee") in favor of First Abu Dhabi Bank PJSC, as security agent for itself (the "Security Agent") and the other secured parties (collectively, the "Secured Parties") under the Al Marjan Facility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Completion Guarantee, the Al Marjan Guarantors, irrevocably and unconditionally jointly and severally, (a) have guaranteed to each Secured Party punctual performance by the Borrower of certain of its obligations under the Al Marjan Facility Agreement, and (b) have undertaken with each Secured Party: (i) to provide, within 10 business days upon receiving written demand by the Security Agent, (A) sufficient funds to ensure that practical completion of the project (as provided in the Al Marjan Facility Agreement) takes place no later than June 30, 2028 and (B) to fund amounts equal 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00075"/>
                <wp:effectExtent l="0" t="0" r="0" b="0"/>
                <wp:wrapNone/>
                <wp:docPr id="20" name="Frame2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project cost overruns, to the extent the Borrower fails to fund such overruns; and (ii) to pay, whenever the Borrower does not pay, interest, commitment fees and other finance costs payable under the Al Marjan Facility Agreement as well as scheduled payments under any interest rate hedging agreement.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upon the occurrence of certain specified events of default, change of control events or credit rating downgrades under the Al Marjan Facility Agreement or the occurrence of certain commercial gaming license related events (including, among others, the loss of the commercial gaming license permitting the Borrower to conduct commercial gaming at the project and as further provided in the Al Marjan Facility Agreement), the Al Marjan Guarantors, irrevocably and unconditionally jointly and severally, have undertaken to pay, to the extent the Borrower does not pay, all then outstanding principal, interest, hedging liabilities and any and all other amounts and expenses then due and payable under the Al Marjan Facility Agreement and related agreements, within 10 business days upon receiving written demand by the Security Agent (or, in respect of the occurrence of certain commercial gaming license related events, if later, on the date falling 180 days following the occurrence of such event).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guarantees and undertakings provided by the Al Marjan Guarantors under the Completion Guarantee terminate on the earlier of: (1) the date on which all secured liabilities under the Al Marjan Facility Agreement have been paid in full, and (2) the date of practical completion of the project.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Retail Joint Venture</w:t>
      </w:r>
    </w:p>
    <w:p>
      <w:pPr>
        <w:pStyle w:val="TextBody"/>
        <w:bidi w:val="0"/>
        <w:spacing w:before="0" w:after="0"/>
        <w:ind w:left="0" w:right="0" w:firstLine="27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Retail Joint Venture had total assets of $99.5 million and $100.3 million, respectively, and total liabilities of $607.2 million and $605.8 million, respectively. As of September 30, 2025 and December 31, 2024, the Retail Joint Venture's liabilities included long-term debt of $598.1 million and $597.3 million, respectively, net of debt issuance costs, related to the outstanding borrowings under the Retail Term Loan.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 Segment Information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identified its reportable segments based on factors such as geography, regulatory environment, the Company's organizational and management reporting structure and the information reviewed by its chief operating decision maker, the Company's Chief Executive Officer ("CEO"). The primary profitability measure used by the Company's CEO to review segment operating results and allocate resources is Adjusted Property EBITDAR.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and (iv) Encore Boston Harbor. For geographical reporting purposes, Wynn Macau, Wynn Palace, and Other Macau (which represents the assets of the Company's Macau holding company and other ancillary entities) have been aggregated into Macau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segment information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00075"/>
                <wp:effectExtent l="0" t="0" r="0" b="0"/>
                <wp:wrapNone/>
                <wp:docPr id="21" name="Frame2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685"/>
        <w:gridCol w:w="368"/>
        <w:gridCol w:w="328"/>
        <w:gridCol w:w="109"/>
        <w:gridCol w:w="109"/>
        <w:gridCol w:w="109"/>
        <w:gridCol w:w="211"/>
        <w:gridCol w:w="841"/>
        <w:gridCol w:w="109"/>
        <w:gridCol w:w="109"/>
        <w:gridCol w:w="109"/>
        <w:gridCol w:w="109"/>
        <w:gridCol w:w="211"/>
        <w:gridCol w:w="841"/>
        <w:gridCol w:w="109"/>
        <w:gridCol w:w="109"/>
        <w:gridCol w:w="109"/>
        <w:gridCol w:w="109"/>
        <w:gridCol w:w="212"/>
        <w:gridCol w:w="845"/>
        <w:gridCol w:w="109"/>
        <w:gridCol w:w="109"/>
        <w:gridCol w:w="109"/>
        <w:gridCol w:w="109"/>
        <w:gridCol w:w="212"/>
        <w:gridCol w:w="830"/>
        <w:gridCol w:w="109"/>
        <w:gridCol w:w="109"/>
        <w:gridCol w:w="109"/>
        <w:gridCol w:w="109"/>
        <w:gridCol w:w="255"/>
        <w:gridCol w:w="491"/>
        <w:gridCol w:w="132"/>
        <w:gridCol w:w="109"/>
        <w:gridCol w:w="109"/>
        <w:gridCol w:w="109"/>
        <w:gridCol w:w="211"/>
        <w:gridCol w:w="976"/>
        <w:gridCol w:w="158"/>
      </w:tblGrid>
      <w:tr>
        <w:trPr/>
        <w:tc>
          <w:tcPr>
            <w:tcW w:w="68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Entertainment, retail and 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635,472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365,513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621,012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211,750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1,833,747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107,998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58,394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570,087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259,598</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310,489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(120,926)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189,563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128,427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88,341</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0075"/>
                <wp:effectExtent l="0" t="0" r="0" b="0"/>
                <wp:wrapNone/>
                <wp:docPr id="22" name="Frame2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685"/>
        <w:gridCol w:w="368"/>
        <w:gridCol w:w="327"/>
        <w:gridCol w:w="109"/>
        <w:gridCol w:w="109"/>
        <w:gridCol w:w="109"/>
        <w:gridCol w:w="211"/>
        <w:gridCol w:w="841"/>
        <w:gridCol w:w="109"/>
        <w:gridCol w:w="109"/>
        <w:gridCol w:w="109"/>
        <w:gridCol w:w="109"/>
        <w:gridCol w:w="211"/>
        <w:gridCol w:w="841"/>
        <w:gridCol w:w="109"/>
        <w:gridCol w:w="109"/>
        <w:gridCol w:w="109"/>
        <w:gridCol w:w="109"/>
        <w:gridCol w:w="212"/>
        <w:gridCol w:w="845"/>
        <w:gridCol w:w="109"/>
        <w:gridCol w:w="109"/>
        <w:gridCol w:w="109"/>
        <w:gridCol w:w="109"/>
        <w:gridCol w:w="212"/>
        <w:gridCol w:w="830"/>
        <w:gridCol w:w="109"/>
        <w:gridCol w:w="109"/>
        <w:gridCol w:w="109"/>
        <w:gridCol w:w="109"/>
        <w:gridCol w:w="231"/>
        <w:gridCol w:w="528"/>
        <w:gridCol w:w="120"/>
        <w:gridCol w:w="109"/>
        <w:gridCol w:w="109"/>
        <w:gridCol w:w="109"/>
        <w:gridCol w:w="211"/>
        <w:gridCol w:w="976"/>
        <w:gridCol w:w="158"/>
      </w:tblGrid>
      <w:tr>
        <w:trPr/>
        <w:tc>
          <w:tcPr>
            <w:tcW w:w="68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Entertainment, retail and 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351,957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607,172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214,121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1,693,323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162,283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100,594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527,677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charges and other</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394,440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133,237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(121,525)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(32,053)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00075"/>
                <wp:effectExtent l="0" t="0" r="0" b="0"/>
                <wp:wrapNone/>
                <wp:docPr id="23" name="Frame2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319" w:type="dxa"/>
        <w:jc w:val="left"/>
        <w:tblInd w:w="0" w:type="dxa"/>
        <w:tblLayout w:type="fixed"/>
        <w:tblCellMar>
          <w:top w:w="28" w:type="dxa"/>
          <w:left w:w="28" w:type="dxa"/>
          <w:bottom w:w="28" w:type="dxa"/>
          <w:right w:w="28" w:type="dxa"/>
        </w:tblCellMar>
      </w:tblPr>
      <w:tblGrid>
        <w:gridCol w:w="676"/>
        <w:gridCol w:w="358"/>
        <w:gridCol w:w="317"/>
        <w:gridCol w:w="109"/>
        <w:gridCol w:w="109"/>
        <w:gridCol w:w="109"/>
        <w:gridCol w:w="211"/>
        <w:gridCol w:w="97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53"/>
        <w:gridCol w:w="487"/>
        <w:gridCol w:w="131"/>
        <w:gridCol w:w="109"/>
        <w:gridCol w:w="109"/>
        <w:gridCol w:w="109"/>
        <w:gridCol w:w="211"/>
        <w:gridCol w:w="991"/>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Entertainment, retail and 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1,711,042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1,039,286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1,884,930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636,683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5,271,941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519,373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294,707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661,586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179,707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1,655,373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811,695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843,678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(474,139)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369,539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286,793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227,306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0075"/>
                <wp:effectExtent l="0" t="0" r="0" b="0"/>
                <wp:wrapNone/>
                <wp:docPr id="24" name="Frame2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399" w:type="dxa"/>
        <w:jc w:val="left"/>
        <w:tblInd w:w="0" w:type="dxa"/>
        <w:tblLayout w:type="fixed"/>
        <w:tblCellMar>
          <w:top w:w="28" w:type="dxa"/>
          <w:left w:w="28" w:type="dxa"/>
          <w:bottom w:w="28" w:type="dxa"/>
          <w:right w:w="28" w:type="dxa"/>
        </w:tblCellMar>
      </w:tblPr>
      <w:tblGrid>
        <w:gridCol w:w="676"/>
        <w:gridCol w:w="358"/>
        <w:gridCol w:w="317"/>
        <w:gridCol w:w="109"/>
        <w:gridCol w:w="109"/>
        <w:gridCol w:w="109"/>
        <w:gridCol w:w="211"/>
        <w:gridCol w:w="97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631"/>
        <w:gridCol w:w="109"/>
        <w:gridCol w:w="109"/>
        <w:gridCol w:w="109"/>
        <w:gridCol w:w="109"/>
        <w:gridCol w:w="211"/>
        <w:gridCol w:w="991"/>
        <w:gridCol w:w="154"/>
      </w:tblGrid>
      <w:tr>
        <w:trPr/>
        <w:tc>
          <w:tcPr>
            <w:tcW w:w="6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Palace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Las Vegas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Entertainment, retail and other</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1,654,740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1,100,970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1,872,374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644,513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5,289,164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taxes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rFonts w:ascii="Times New Roman;serif" w:hAnsi="Times New Roman;serif"/>
                <w:b/>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679,315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188,284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1,745,867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charges and other</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980,031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765,836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non-operating income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(403,404)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362,432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317,356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224,106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(1) Includes lease revenue accounted for under lease accounting guidance. For more information on leases, see Note 14, "Leases." </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Primarily comprised of payroll, cost of goods sold, marketing, promotional, facilities, taxes and licenses (excluding gaming taxes) and other operating expenses.</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For Las Vegas Operations, includes table and slot license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00075"/>
                <wp:effectExtent l="0" t="0" r="0" b="0"/>
                <wp:wrapNone/>
                <wp:docPr id="25" name="Frame2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"Adjusted Property EBITDAR" is net income (loss)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For each of the three and nine months ended September 30, 2024, includes $130.0 million of forfeitures pursuant to a non-prosecution agreement, the Company's $9.4 million contribution towards a legal settlement, $12.5 million of contract termination and other costs related to the closure of Wynn Interactive's digital sports betting and casino gaming business. Property charges and other expenses for the nine months ended September 30, 2024 also included $61.5 million of expensed project costs related to a discontinued development project, partially offset by a gain of $24.6 million related to the sale of certain Wynn Interactive assets.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00075"/>
                <wp:effectExtent l="0" t="0" r="0" b="0"/>
                <wp:wrapNone/>
                <wp:docPr id="26" name="Frame2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WYNN RESORTS, LIMITED 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7906" w:type="dxa"/>
        <w:jc w:val="left"/>
        <w:tblInd w:w="0" w:type="dxa"/>
        <w:tblLayout w:type="fixed"/>
        <w:tblCellMar>
          <w:top w:w="28" w:type="dxa"/>
          <w:left w:w="28" w:type="dxa"/>
          <w:bottom w:w="28" w:type="dxa"/>
          <w:right w:w="28" w:type="dxa"/>
        </w:tblCellMar>
      </w:tblPr>
      <w:tblGrid>
        <w:gridCol w:w="799"/>
        <w:gridCol w:w="701"/>
        <w:gridCol w:w="705"/>
        <w:gridCol w:w="213"/>
        <w:gridCol w:w="852"/>
        <w:gridCol w:w="110"/>
        <w:gridCol w:w="110"/>
        <w:gridCol w:w="110"/>
        <w:gridCol w:w="110"/>
        <w:gridCol w:w="213"/>
        <w:gridCol w:w="852"/>
        <w:gridCol w:w="110"/>
        <w:gridCol w:w="109"/>
        <w:gridCol w:w="109"/>
        <w:gridCol w:w="109"/>
        <w:gridCol w:w="211"/>
        <w:gridCol w:w="841"/>
        <w:gridCol w:w="109"/>
        <w:gridCol w:w="109"/>
        <w:gridCol w:w="109"/>
        <w:gridCol w:w="109"/>
        <w:gridCol w:w="211"/>
        <w:gridCol w:w="84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Macau Operations:</w:t>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Macau Operations</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45,535</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33,132</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181,175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110,870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Operations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Boston Harbor</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163,988</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101,353</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489,185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292,690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620" w:type="dxa"/>
        <w:jc w:val="left"/>
        <w:tblInd w:w="0" w:type="dxa"/>
        <w:tblLayout w:type="fixed"/>
        <w:tblCellMar>
          <w:top w:w="28" w:type="dxa"/>
          <w:left w:w="28" w:type="dxa"/>
          <w:bottom w:w="28" w:type="dxa"/>
          <w:right w:w="28" w:type="dxa"/>
        </w:tblCellMar>
      </w:tblPr>
      <w:tblGrid>
        <w:gridCol w:w="796"/>
        <w:gridCol w:w="701"/>
        <w:gridCol w:w="707"/>
        <w:gridCol w:w="230"/>
        <w:gridCol w:w="1196"/>
        <w:gridCol w:w="119"/>
        <w:gridCol w:w="109"/>
        <w:gridCol w:w="109"/>
        <w:gridCol w:w="109"/>
        <w:gridCol w:w="223"/>
        <w:gridCol w:w="1159"/>
        <w:gridCol w:w="162"/>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Macau Operations: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2,823,996 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2,813,190 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1,150,623 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1,412,795 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Macau</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Macau Operations</w:t>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4,999,633</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5,004,913</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Operations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3,157,399 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Boston Harbor</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1,954,362 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1,980,420 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2,667,813 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2,835,231 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12,802,172</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12,977,963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00075"/>
                <wp:effectExtent l="0" t="0" r="0" b="0"/>
                <wp:wrapNone/>
                <wp:docPr id="27" name="Frame2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should be read in conjunction with, and is qualified in its entirety by, the unaudited condensed consolidated financial statements and the notes thereto included elsewhere in this Quarterly Report on Form 10-Q and the audited consolidated financial statements appearing in our Annual Report on Form 10-K for the year ended December 31, 2024.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2024 and other factors we describe from time to time in our periodic filings with the Securities and Exchange Commission ("SEC"), such as:</w:t>
      </w:r>
    </w:p>
    <w:p>
      <w:pPr>
        <w:pStyle w:val="TextBody"/>
        <w:bidi w:val="0"/>
        <w:spacing w:before="0" w:after="0"/>
        <w:ind w:left="0" w:right="0" w:firstLine="45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extensive regulation of our business and the cost of compliance or failure to comply with applicable laws and regulations;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pending or future investigations, litigation and other disputes;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dependence on key managers and employees;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our ability to maintain our gaming licenses and concessions and comply with applicable gaming law;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international relations, national security policies, anticorruption campaigns and other geopolitical events, which may impact the number of visitors to our properties and the amount of money they are willing to spend;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public perception of our resorts and the level of service we provide;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dependence on a limited number of resorts and locations for all of our cash flow and our subsidiaries' ability to pay us dividends and distributions;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competition in the casino/hotel and resort industries and actions taken by our competitors, including new development and construction activities of competitors;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ability to maintain our customer relationships and collect and enforce gaming receivables;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win rates for our gaming operations;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construction and regulatory risks associated with our current and future construction projects or co-investments in such projects;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any violations by us of various anti-money laundering laws or the Foreign Corrupt Practices Act;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compliance with environmental requirements and potential cleanup responsibility and liability as an owner or operator of property;</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adverse incidents or adverse publicity concerning our resorts or our corporate responsibilities;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changes in and compliance with the gaming laws or regulations in the various jurisdictions in which we operate;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changes in tax laws or regulations related to taxation, including changes in the rates of taxation;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our collection and use of personal data and our level of compliance with applicable governmental regulations, credit card industry standards and other applicable data security standards;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cybersecurity risk, including cyber and physical security breaches, system failure, computer viruses, and negligent or intentional misuse by customers, company employees, or employees of third-party vendors;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our ability to protect our intellectual property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00075"/>
                <wp:effectExtent l="0" t="0" r="0" b="0"/>
                <wp:wrapNone/>
                <wp:docPr id="28" name="Frame2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labor actions and other labor problems;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our current and future insurance coverage levels;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risks specifically associated with our Macau Operations;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level of our indebtedness and our ability to meet our debt service obligations (including sensitivity to fluctuations in interest rates);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continued compliance with the covenants in our debt agreements.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of the People's Republic of China ("Macau"), Wynn Palace and Wynn Macau (collectively, our "Macau Operations"). In Las Vegas, Nevada, we operate and, with the exception of certain retail space, own 100% of Wynn Las Vegas.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 40% equity interest in Island 3 AMI FZ-LLC ("Island 3"), an unconsolidated affiliate, which is constructing an integrated resort property ("Wynn Al Marjan Island") in Ras Al Khaimah, United Arab Emirates.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Operating Measures</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pStyle w:val="TextBody"/>
        <w:bidi w:val="0"/>
        <w:spacing w:before="0" w:after="0"/>
        <w:ind w:left="0" w:right="0" w:firstLine="720"/>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Table drop in mass market for our Macau Operations is the amount of cash that is deposited in a gaming table's drop box plus cash chips purchased at the casino cage.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Table drop for our Las Vegas Operations is the amount of cash and net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Table drop for Encore Boston Harbor is the amount of cash and gross markers issued that are deposited in a gaming table's drop box.</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Rolling chips are non-negotiable identifiable chips that are used to track turnover for purposes of calculating incentives within our Macau Operations' VIP program.</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Turnover is the sum of all losing rolling chip wagers within our Macau Operations' VIP program.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00075"/>
                <wp:effectExtent l="0" t="0" r="0" b="0"/>
                <wp:wrapNone/>
                <wp:docPr id="29" name="Frame2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Average daily rate ("ADR") is calculated by dividing total room revenues, including complimentaries (less service charges, if any), by total rooms occupied.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Revenue per available room ("REVPAR") is calculated by dividing total room revenues, including complimentaries (less service charges, if any), by total rooms available. </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 xml:space="preserve">Occupancy is calculated by dividing total occupied rooms, including complimentary rooms, by the total rooms available. </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Below is a discussion of the methodologies used to calculate win percentages at our resorts.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Summary of third quarter 2025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financial results for the periods presented (dollars in thousands, except per share data):</w:t>
      </w:r>
    </w:p>
    <w:tbl>
      <w:tblPr>
        <w:tblW w:w="12158" w:type="dxa"/>
        <w:jc w:val="left"/>
        <w:tblInd w:w="0" w:type="dxa"/>
        <w:tblLayout w:type="fixed"/>
        <w:tblCellMar>
          <w:top w:w="28" w:type="dxa"/>
          <w:left w:w="28" w:type="dxa"/>
          <w:bottom w:w="28" w:type="dxa"/>
          <w:right w:w="28" w:type="dxa"/>
        </w:tblCellMar>
      </w:tblPr>
      <w:tblGrid>
        <w:gridCol w:w="337"/>
        <w:gridCol w:w="296"/>
        <w:gridCol w:w="298"/>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396"/>
        <w:gridCol w:w="220"/>
        <w:gridCol w:w="221"/>
        <w:gridCol w:w="109"/>
        <w:gridCol w:w="109"/>
        <w:gridCol w:w="109"/>
        <w:gridCol w:w="211"/>
        <w:gridCol w:w="976"/>
        <w:gridCol w:w="109"/>
        <w:gridCol w:w="109"/>
        <w:gridCol w:w="109"/>
        <w:gridCol w:w="109"/>
        <w:gridCol w:w="211"/>
        <w:gridCol w:w="976"/>
        <w:gridCol w:w="109"/>
        <w:gridCol w:w="109"/>
        <w:gridCol w:w="109"/>
        <w:gridCol w:w="109"/>
        <w:gridCol w:w="211"/>
        <w:gridCol w:w="736"/>
        <w:gridCol w:w="109"/>
        <w:gridCol w:w="109"/>
        <w:gridCol w:w="109"/>
        <w:gridCol w:w="109"/>
        <w:gridCol w:w="215"/>
        <w:gridCol w:w="206"/>
        <w:gridCol w:w="294"/>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Wynn Resorts,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operating revenues for the three months ended September 30, 2025 was largely driven by increased operating revenues of $129.2 million at our Macau Operations, despite a one-day closure caused by typhoon Ragasa.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increase in net income attributable to Wynn Resorts, Limited for the three months ended September 30, 2025 was primarily attributable to the increase in operating revenues, as well as a decrease in property charges and other expenses. Property charges and other expenses for the three months ended September 30, 2024 included $130.0 million of forfeitures pursuant to a non-prosecution agreement (the "NPA").</w:t>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00075"/>
                <wp:effectExtent l="0" t="0" r="0" b="0"/>
                <wp:wrapNone/>
                <wp:docPr id="30" name="Frame3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results for the three months ended September 30, 2025 compared to the three months ended September 30,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operating revenues (dollars in thousands): </w:t>
      </w:r>
    </w:p>
    <w:p>
      <w:pPr>
        <w:pStyle w:val="TextBody"/>
        <w:bidi w:val="0"/>
        <w:spacing w:before="0" w:after="0"/>
        <w:ind w:left="0" w:right="0" w:firstLine="450"/>
        <w:jc w:val="left"/>
        <w:rPr/>
      </w:pPr>
      <w:r>
        <w:rPr/>
      </w:r>
    </w:p>
    <w:tbl>
      <w:tblPr>
        <w:tblW w:w="8852" w:type="dxa"/>
        <w:jc w:val="left"/>
        <w:tblInd w:w="0" w:type="dxa"/>
        <w:tblLayout w:type="fixed"/>
        <w:tblCellMar>
          <w:top w:w="28" w:type="dxa"/>
          <w:left w:w="28" w:type="dxa"/>
          <w:bottom w:w="28" w:type="dxa"/>
          <w:right w:w="28" w:type="dxa"/>
        </w:tblCellMar>
      </w:tblPr>
      <w:tblGrid>
        <w:gridCol w:w="864"/>
        <w:gridCol w:w="758"/>
        <w:gridCol w:w="763"/>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115,682 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1,000,985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871,747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129,238</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1,833,747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1,693,323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140,424</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ind w:left="0" w:right="0" w:hanging="27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66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1,174,717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1,018,754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155,963</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Non-casino revenues: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non-casino revenues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659,030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674,569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(15,539)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1,833,747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1,693,323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140,424</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Casino revenues for the three months ended September 30, 2025 were 64.1% of operating revenues, compared to 60.2% for the same period of 2024. Non-casino revenues for the three months ended September 30, 2025 were 35.9% of operating revenues, compared to 39.8% for the same period of 2024.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Casino revenues</w:t>
      </w:r>
      <w:r>
        <w:rPr>
          <w:color w:val="000000"/>
        </w:rPr>
        <w:t>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Casino revenues increased primarily due to higher mass market table games volume and table games win at our Macau Operations and higher casino volumes at our Las Vegas Operations, resulting in increased table games and slot machine win.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00075"/>
                <wp:effectExtent l="0" t="0" r="0" b="0"/>
                <wp:wrapNone/>
                <wp:docPr id="31" name="Frame3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our casino revenues and associated key operating measures (dollars in thousands, except for win per unit per day): </w:t>
      </w:r>
    </w:p>
    <w:p>
      <w:pPr>
        <w:pStyle w:val="TextBody"/>
        <w:bidi w:val="0"/>
        <w:spacing w:before="0" w:after="0"/>
        <w:ind w:left="0" w:right="0" w:firstLine="495"/>
        <w:jc w:val="both"/>
        <w:rPr/>
      </w:pPr>
      <w:r>
        <w:rPr/>
      </w:r>
    </w:p>
    <w:tbl>
      <w:tblPr>
        <w:tblW w:w="9610" w:type="dxa"/>
        <w:jc w:val="left"/>
        <w:tblInd w:w="0" w:type="dxa"/>
        <w:tblLayout w:type="fixed"/>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69"/>
        <w:gridCol w:w="1151"/>
        <w:gridCol w:w="139"/>
        <w:gridCol w:w="109"/>
        <w:gridCol w:w="109"/>
        <w:gridCol w:w="109"/>
        <w:gridCol w:w="381"/>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Macau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3,261,314 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3,199,140 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VIP table games win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2,057,789 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(182,170)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1,633,273 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1,515,462 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815,319 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Note: Our casino operations in Macau were closed for a 1-day period in September 2025 due to Typhoon Ragasa.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0075"/>
                <wp:effectExtent l="0" t="0" r="0" b="0"/>
                <wp:wrapNone/>
                <wp:docPr id="32" name="Frame3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1,695,799 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122,334 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00075"/>
                <wp:effectExtent l="0" t="0" r="0" b="0"/>
                <wp:wrapNone/>
                <wp:docPr id="33" name="Frame3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Non-casino revenues</w:t>
      </w:r>
    </w:p>
    <w:p>
      <w:pPr>
        <w:pStyle w:val="TextBody"/>
        <w:bidi w:val="0"/>
        <w:spacing w:before="0" w:after="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our room revenues and associated key operating measures: </w:t>
      </w:r>
    </w:p>
    <w:tbl>
      <w:tblPr>
        <w:tblW w:w="10046"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295"/>
        <w:gridCol w:w="1113"/>
        <w:gridCol w:w="152"/>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Wynn Palace</w:t>
            </w:r>
            <w:r>
              <w:rPr>
                <w:rFonts w:ascii="Times New Roman;serif" w:hAnsi="Times New Roman;serif"/>
                <w:b w:val="false"/>
                <w:color w:val="000000"/>
                <w:sz w:val="16"/>
              </w:rPr>
              <w:t>:</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Room revenues decreased $14.3 million, primarily due to lower ADR at our Macau Operations.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00075"/>
                <wp:effectExtent l="0" t="0" r="0" b="0"/>
                <wp:wrapNone/>
                <wp:docPr id="34" name="Frame3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operating expenses (dollars in thousands): </w:t>
      </w:r>
    </w:p>
    <w:p>
      <w:pPr>
        <w:pStyle w:val="TextBody"/>
        <w:bidi w:val="0"/>
        <w:spacing w:before="0" w:after="0"/>
        <w:ind w:left="0" w:right="0" w:firstLine="450"/>
        <w:jc w:val="both"/>
        <w:rPr/>
      </w:pPr>
      <w:r>
        <w:rPr/>
      </w:r>
    </w:p>
    <w:tbl>
      <w:tblPr>
        <w:tblW w:w="9062" w:type="dxa"/>
        <w:jc w:val="left"/>
        <w:tblInd w:w="0" w:type="dxa"/>
        <w:tblLayout w:type="fixed"/>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991"/>
        <w:gridCol w:w="109"/>
        <w:gridCol w:w="109"/>
        <w:gridCol w:w="109"/>
        <w:gridCol w:w="109"/>
        <w:gridCol w:w="295"/>
        <w:gridCol w:w="1113"/>
        <w:gridCol w:w="152"/>
        <w:gridCol w:w="109"/>
        <w:gridCol w:w="109"/>
        <w:gridCol w:w="109"/>
        <w:gridCol w:w="381"/>
        <w:gridCol w:w="381"/>
        <w:gridCol w:w="5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(144,321)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1,523,258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1,560,086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(36,828)</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total operating expenses was primarily due to the decrease in property charges and other expenses at our Las Vegas Operations and Corporate and other, partially offset by an increase in casino expenses at our Macau Operations driven by an increase in gaming tax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Casino expenses increased $9.6 million and $69.6 million at Wynn Macau and Wynn Palace, respectively, which includes increases of $6.1 million and $59.9 million in gaming tax expense at Wynn Macau and Wynn Palace, respectively, as a result of higher casino revenues.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Food and beverage expenses increased $7.9 million at Wynn Palace, primarily as a result of increased covers; and $4.8 million at our Las Vegas Operations largely due to higher stock-based compensation expense as a result of stock awards granted in connection with the 20th anniversary of the opening of Wynn Las Vegas ("20th Anniversary").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charges and other expenses for the three months ended September 30, 2025 consisted primarily of asset abandonments and disposals of $4.6 million at our Macau Operations. Property charges and other expenses for the three months ended September 30, 2024 consisted primarily of $130.0 million of forfeitures pursuant to the NPA and the Company's $9.4 million contribution towards a legal settlement. Property charges and other expenses for the three months ended September 30, 2024 also included $12.5 million of contract termination and other costs related to the closure of Wynn Interactive's digital sports betting and casino gaming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00075"/>
                <wp:effectExtent l="0" t="0" r="0" b="0"/>
                <wp:wrapNone/>
                <wp:docPr id="35" name="Frame3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 decreased $10.3 million due to a decrease in the weighted average debt balance to $11.09 billion for the three months ended September 30, 2025 from $11.40 billion for the three months ended September 30, 2024. In addition, we capitalized interest of $11.6 million and $7.8 million in the three months ended September 30, 2025 and 2024,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interest income of $16.6 million and $30.7 million in the three months ended September 30, 2025 and 2024, respectively,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incurred a foreign currency remeasurement gain of $33.9 million and $21.3 million for the three months ended September 30, 2025 and 2024, respectively. The impact of the exchange rate fluctuation of the Macau pataca, in relation to the U.S. dollar, on the remeasurements of U.S. dollar denominated debt and other obligations from our Macau-related entities drove the variability between periods.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recorded a loss of $13.2 million for the three months ended September 30, 2025, from change in derivatives fair value, which primarily includes a loss of $18.5 million related to the conversion feature on the WML Convertible Bonds and a gain of $6.1 million related to foreign currency swaps. We recorded a loss of $5.5 million for the three months ended September 30, 2024, from change in derivatives fair value, primarily related to the conversion feature on the WML Convertible Bonds. F</w:t>
      </w:r>
      <w:r>
        <w:rPr>
          <w:rFonts w:ascii="Times New Roman;serif" w:hAnsi="Times New Roman;serif"/>
          <w:b w:val="false"/>
          <w:color w:val="000000"/>
          <w:sz w:val="20"/>
          <w:shd w:fill="FFFFFF" w:val="clear"/>
        </w:rPr>
        <w:t xml:space="preserve">or more information on the Company's derivative instruments, refer to </w:t>
      </w:r>
      <w:r>
        <w:rPr>
          <w:rFonts w:ascii="Times New Roman;serif" w:hAnsi="Times New Roman;serif"/>
          <w:b w:val="false"/>
          <w:color w:val="000000"/>
          <w:sz w:val="20"/>
        </w:rPr>
        <w:t>Item 1—"Notes to Condensed Consolidated Financial Statements," Note 7, "Derivative Instruments."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 $0.6 million loss on debt financing transactions for the three months ended September 30, 2025, primarily related to the redemption of the WML 5 1/2% Senior Notes due 2026 ("2026 WML Senior Notes"). We recorded a $0.1 million loss on debt financing transactions in the three months ended September 30, 2024 related to the WRF Credit Facility amendment.</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an income tax expense of $61.1 million and $17.1 million for the three months ended September 30, 2025 and 2024, respectively. The increase in income tax expense for the three months ended September 30, 2025, primarily reflects an increase in the valuation allowance on foreign tax credit carryforwards.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net income attributable to noncontrolling interests of $40.1 million and $26.6 million for the three months ended September 30, 2025 and 2024, respectively, primarily related to the noncontrolling interest's share of net income from WML. </w:t>
      </w:r>
    </w:p>
    <w:p>
      <w:pPr>
        <w:pStyle w:val="TextBody"/>
        <w:bidi w:val="0"/>
        <w:spacing w:before="0" w:after="0"/>
        <w:ind w:left="0" w:right="0" w:firstLine="45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00075"/>
                <wp:effectExtent l="0" t="0" r="0" b="0"/>
                <wp:wrapNone/>
                <wp:docPr id="36" name="Frame3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Financial results for the nine months ended September 30, 2025 compared to the nine months ended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revenues</w:t>
      </w:r>
    </w:p>
    <w:p>
      <w:pPr>
        <w:pStyle w:val="TextBody"/>
        <w:bidi w:val="0"/>
        <w:spacing w:before="0" w:after="0"/>
        <w:ind w:left="0" w:right="0" w:firstLine="27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operating revenues (dollars in thousands):</w:t>
      </w:r>
    </w:p>
    <w:p>
      <w:pPr>
        <w:pStyle w:val="TextBody"/>
        <w:bidi w:val="0"/>
        <w:spacing w:before="0" w:after="0"/>
        <w:ind w:left="0" w:right="0" w:firstLine="450"/>
        <w:jc w:val="left"/>
        <w:rPr/>
      </w:pPr>
      <w:r>
        <w:rPr/>
      </w:r>
    </w:p>
    <w:tbl>
      <w:tblPr>
        <w:tblW w:w="8673" w:type="dxa"/>
        <w:jc w:val="left"/>
        <w:tblInd w:w="0" w:type="dxa"/>
        <w:tblLayout w:type="fixed"/>
        <w:tblCellMar>
          <w:top w:w="28" w:type="dxa"/>
          <w:left w:w="28" w:type="dxa"/>
          <w:bottom w:w="28" w:type="dxa"/>
          <w:right w:w="28" w:type="dxa"/>
        </w:tblCellMar>
      </w:tblPr>
      <w:tblGrid>
        <w:gridCol w:w="798"/>
        <w:gridCol w:w="701"/>
        <w:gridCol w:w="706"/>
        <w:gridCol w:w="211"/>
        <w:gridCol w:w="991"/>
        <w:gridCol w:w="109"/>
        <w:gridCol w:w="109"/>
        <w:gridCol w:w="109"/>
        <w:gridCol w:w="109"/>
        <w:gridCol w:w="211"/>
        <w:gridCol w:w="991"/>
        <w:gridCol w:w="109"/>
        <w:gridCol w:w="109"/>
        <w:gridCol w:w="109"/>
        <w:gridCol w:w="109"/>
        <w:gridCol w:w="295"/>
        <w:gridCol w:w="1113"/>
        <w:gridCol w:w="152"/>
        <w:gridCol w:w="109"/>
        <w:gridCol w:w="109"/>
        <w:gridCol w:w="109"/>
        <w:gridCol w:w="381"/>
        <w:gridCol w:w="381"/>
        <w:gridCol w:w="543"/>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2,750,328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2,755,710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(5,382)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Boston Harbor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5,271,941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5,289,164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(17,223)</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NM - Not meaningful. </w:t>
      </w:r>
    </w:p>
    <w:p>
      <w:pPr>
        <w:pStyle w:val="TextBody"/>
        <w:bidi w:val="0"/>
        <w:spacing w:before="0" w:after="0"/>
        <w:ind w:left="0" w:right="0" w:hanging="27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casino and non-casino operating revenues (dollars in thousands):</w:t>
      </w:r>
    </w:p>
    <w:p>
      <w:pPr>
        <w:pStyle w:val="TextBody"/>
        <w:bidi w:val="0"/>
        <w:spacing w:before="0" w:after="0"/>
        <w:ind w:left="0" w:right="0" w:firstLine="450"/>
        <w:jc w:val="left"/>
        <w:rPr/>
      </w:pPr>
      <w:r>
        <w:rPr/>
      </w:r>
    </w:p>
    <w:tbl>
      <w:tblPr>
        <w:tblW w:w="9662" w:type="dxa"/>
        <w:jc w:val="left"/>
        <w:tblInd w:w="0" w:type="dxa"/>
        <w:tblLayout w:type="fixed"/>
        <w:tblCellMar>
          <w:top w:w="28" w:type="dxa"/>
          <w:left w:w="28" w:type="dxa"/>
          <w:bottom w:w="28" w:type="dxa"/>
          <w:right w:w="28" w:type="dxa"/>
        </w:tblCellMar>
      </w:tblPr>
      <w:tblGrid>
        <w:gridCol w:w="1157"/>
        <w:gridCol w:w="1015"/>
        <w:gridCol w:w="1023"/>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3,266,981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3,149,166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117,815</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Non-casino revenues: </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 xml:space="preserve">Total non-casino revenues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2,004,960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2,139,998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(135,038)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5,271,941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5,289,164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(17,223)</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Casino revenues for the nine months ended September 30, 2025 were 62.0% of operating revenues, compared to 59.5% for the same period of 2024. Non-casino revenues for the nine months ended September 30, 2025 were 38.0% of operating revenues, compared to 40.5% for the same period of </w:t>
      </w:r>
      <w:r>
        <w:rPr>
          <w:rFonts w:ascii="Times New Roman;serif" w:hAnsi="Times New Roman;serif"/>
          <w:b w:val="false"/>
          <w:color w:val="000000"/>
          <w:sz w:val="18"/>
        </w:rPr>
        <w:t>2024</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00075"/>
                <wp:effectExtent l="0" t="0" r="0" b="0"/>
                <wp:wrapNone/>
                <wp:docPr id="37" name="Frame3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Casino revenues</w:t>
      </w:r>
    </w:p>
    <w:p>
      <w:pPr>
        <w:pStyle w:val="TextBody"/>
        <w:bidi w:val="0"/>
        <w:spacing w:before="0" w:after="0"/>
        <w:ind w:left="0" w:right="0" w:firstLine="36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Casino revenues increased primarily due to higher VIP and mass market table games win at Wynn Palace and higher table games and slot machine win at our Las Vegas Operations, partially offset by decreased VIP and mass market table games win at Wynn Macau during the nine months ended September 30,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our casino revenues and associated key operating measures (dollars in thousands, except for win per unit per day):  </w:t>
      </w:r>
    </w:p>
    <w:p>
      <w:pPr>
        <w:pStyle w:val="TextBody"/>
        <w:bidi w:val="0"/>
        <w:spacing w:before="0" w:after="0"/>
        <w:jc w:val="both"/>
        <w:rPr/>
      </w:pPr>
      <w:r>
        <w:rPr/>
      </w:r>
    </w:p>
    <w:tbl>
      <w:tblPr>
        <w:tblW w:w="9716" w:type="dxa"/>
        <w:jc w:val="center"/>
        <w:tblInd w:w="0" w:type="dxa"/>
        <w:tblLayout w:type="fixed"/>
        <w:tblCellMar>
          <w:top w:w="28" w:type="dxa"/>
          <w:left w:w="28" w:type="dxa"/>
          <w:bottom w:w="28" w:type="dxa"/>
          <w:right w:w="28" w:type="dxa"/>
        </w:tblCellMar>
      </w:tblPr>
      <w:tblGrid>
        <w:gridCol w:w="1032"/>
        <w:gridCol w:w="906"/>
        <w:gridCol w:w="911"/>
        <w:gridCol w:w="211"/>
        <w:gridCol w:w="1081"/>
        <w:gridCol w:w="271"/>
        <w:gridCol w:w="109"/>
        <w:gridCol w:w="109"/>
        <w:gridCol w:w="109"/>
        <w:gridCol w:w="211"/>
        <w:gridCol w:w="976"/>
        <w:gridCol w:w="271"/>
        <w:gridCol w:w="109"/>
        <w:gridCol w:w="109"/>
        <w:gridCol w:w="109"/>
        <w:gridCol w:w="254"/>
        <w:gridCol w:w="1175"/>
        <w:gridCol w:w="131"/>
        <w:gridCol w:w="109"/>
        <w:gridCol w:w="109"/>
        <w:gridCol w:w="109"/>
        <w:gridCol w:w="381"/>
        <w:gridCol w:w="381"/>
        <w:gridCol w:w="54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Macau Operations:</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11,337,407 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win as a % of turnover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 market:</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5,606,241 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VIP win as a % of turnover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 market:</w:t>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4,793,914 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2,718,205 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Note: Our casino operations in Macau were closed for a 1-day period in September 2025 due to Typhoon Ragasa.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00075"/>
                <wp:effectExtent l="0" t="0" r="0" b="0"/>
                <wp:wrapNone/>
                <wp:docPr id="38" name="Frame3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611" w:type="dxa"/>
        <w:jc w:val="left"/>
        <w:tblInd w:w="0" w:type="dxa"/>
        <w:tblLayout w:type="fixed"/>
        <w:tblCellMar>
          <w:top w:w="28" w:type="dxa"/>
          <w:left w:w="28" w:type="dxa"/>
          <w:bottom w:w="28" w:type="dxa"/>
          <w:right w:w="28" w:type="dxa"/>
        </w:tblCellMar>
      </w:tblPr>
      <w:tblGrid>
        <w:gridCol w:w="1033"/>
        <w:gridCol w:w="906"/>
        <w:gridCol w:w="910"/>
        <w:gridCol w:w="211"/>
        <w:gridCol w:w="976"/>
        <w:gridCol w:w="271"/>
        <w:gridCol w:w="109"/>
        <w:gridCol w:w="109"/>
        <w:gridCol w:w="109"/>
        <w:gridCol w:w="211"/>
        <w:gridCol w:w="976"/>
        <w:gridCol w:w="271"/>
        <w:gridCol w:w="109"/>
        <w:gridCol w:w="109"/>
        <w:gridCol w:w="109"/>
        <w:gridCol w:w="287"/>
        <w:gridCol w:w="1125"/>
        <w:gridCol w:w="148"/>
        <w:gridCol w:w="109"/>
        <w:gridCol w:w="109"/>
        <w:gridCol w:w="109"/>
        <w:gridCol w:w="381"/>
        <w:gridCol w:w="381"/>
        <w:gridCol w:w="543"/>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Encore Boston Harbor:</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00075"/>
                <wp:effectExtent l="0" t="0" r="0" b="0"/>
                <wp:wrapNone/>
                <wp:docPr id="39" name="Frame3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Non-casino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our room revenues and associated key operating measures:</w:t>
      </w:r>
    </w:p>
    <w:p>
      <w:pPr>
        <w:pStyle w:val="TextBody"/>
        <w:bidi w:val="0"/>
        <w:spacing w:before="0" w:after="0"/>
        <w:jc w:val="both"/>
        <w:rPr/>
      </w:pPr>
      <w:r>
        <w:rPr/>
      </w:r>
    </w:p>
    <w:tbl>
      <w:tblPr>
        <w:tblW w:w="10046" w:type="dxa"/>
        <w:jc w:val="left"/>
        <w:tblInd w:w="0" w:type="dxa"/>
        <w:tblLayout w:type="fixed"/>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295"/>
        <w:gridCol w:w="1113"/>
        <w:gridCol w:w="152"/>
        <w:gridCol w:w="109"/>
        <w:gridCol w:w="109"/>
        <w:gridCol w:w="109"/>
        <w:gridCol w:w="381"/>
        <w:gridCol w:w="381"/>
        <w:gridCol w:w="543"/>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Encore Boston Harbor:</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Room revenues decreased $80.6 million due to lower ADR across all of our properties.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Food and beverage revenues decreased $38.0 million, primarily due to a decrease in revenues from nightlife venues at our Las Vegas Operations during the nine months ended September 30, 2025. The nine months ended September 30, 2024 included incremental food and beverage revenue at our Las Vegas Operations from Super Bowl-related events.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Entertainment, retail and other revenues decreased $16.4 million, primarily due to a decrease in operating revenues at Wynn Interactive following the closure of its digital sports betting and casino business in the third quarter of 2024. </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00075"/>
                <wp:effectExtent l="0" t="0" r="0" b="0"/>
                <wp:wrapNone/>
                <wp:docPr id="40" name="Frame4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table below presents operating expenses (dollars in thousands):</w:t>
      </w:r>
    </w:p>
    <w:tbl>
      <w:tblPr>
        <w:tblW w:w="9062" w:type="dxa"/>
        <w:jc w:val="left"/>
        <w:tblInd w:w="0" w:type="dxa"/>
        <w:tblLayout w:type="fixed"/>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991"/>
        <w:gridCol w:w="109"/>
        <w:gridCol w:w="109"/>
        <w:gridCol w:w="109"/>
        <w:gridCol w:w="109"/>
        <w:gridCol w:w="295"/>
        <w:gridCol w:w="1113"/>
        <w:gridCol w:w="152"/>
        <w:gridCol w:w="109"/>
        <w:gridCol w:w="109"/>
        <w:gridCol w:w="109"/>
        <w:gridCol w:w="381"/>
        <w:gridCol w:w="381"/>
        <w:gridCol w:w="54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4,428,263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4,523,328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(95,065)</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total operating expenses was primarily due to a decrease in depreciation and amortization expense at Encore Boston Harbor and Corporate and other and a decrease in property charges and other expenses at our Las Vegas Operations and Corporate and other, partially offset by an increase in casino expenses at Wynn Palace.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Casino expenses increased $71.4 million at Wynn Palace, including an increase of $56.2 million in gaming tax expense driven by an increase in casino revenue, and $21.2 million at our Las Vegas Operations, primarily driven by higher stock-based compensation expense from stock awards granted in connection the 20th Anniversary. These increases were partially offset by a $12.8 million decrease at Wynn Macau, including a decrease of $19.4 million in gaming tax expense driven by a decrease in casino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Room expenses increased $10.0 million at our Las Vegas Operations, largely due to higher stock-based compensation expense as a result of stock awards granted to employees in connection with the 20th Anniversary.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Entertainment, retail and other expenses decreased $21.7 million at Corporate and other as a result of decreased operating costs related to Wynn Interactive following the closure of its digital sports betting and casino gaming business in the third quarter of 2024.</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$23.4 million, primarily due to the one-time cost of the 20th Anniversary celebrations, including higher stock-based compensation expense as a result of stock awards granted in connection with the 20th Anniversary.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Pre-opening expense increased $12.8 million at Corporate and other largely due to pre-opening costs associated with Wynn Al Marjan Island.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decreased $33.5 million at Encore Boston Harbor as a result of certain assets being fully depreciated five years after the opening of the property in June of 2019, and $15.5 million at Corporate and other as a result of the closure of Wynn Interactive's digital sports betting and casino gaming business in the third quarter of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charges and other expenses for the nine months ended September 30, 2025 consisted primarily of $6.6 million and $5.8 million of contract terminations and other expenses at our Las Vegas Operations and Encore Boston Harbor, respectively; and $11.7 million, $3.7 million and $2.8 million of asset abandonments and disposals at our Macau Operations, our Las Vegas Operations and Corporate and other,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Property charges and other expenses for the nine months ended September 30, 2024 consisted primarily of $130.0 million of forfeitures pursuant to the NPA and the Company's $9.4 million contribution towards a legal settlement. Property charges and other expenses for the nine months ended September 30, 2024 also included $12.6 million of asset abandonments at Wynn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00075"/>
                <wp:effectExtent l="0" t="0" r="0" b="0"/>
                <wp:wrapNone/>
                <wp:docPr id="41" name="Frame4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Palace, $61.5 million of expensed project costs related to a discontinued development project at Corporate and other and $16.8 million of contract terminations and other costs related to Wynn Interactive, partially offset by a gain of $24.6 million related to the sale of certain Wynn Interactive assets.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non-operating income and expenses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Interest expense, net of capitalized interest, decreased $55.2 million primarily due to a decrease in the weighted average debt balance to $10.99 billion for the nine months ended September 30, 2025 from $11.58 billion for the nine months ended September 30, 2024, and a decrease in the weighted average interest rate to 5.68% for the nine months ended September 30, 2025 from 5.97% for the nine months ended September 30, 2024. In addition, we capitalized interest of $32.8 million and $13.6 million for the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We recorded interest income of $51.8 million and $105.8 million in the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respectively, primarily related to interest earned on cash and cash equivalents held at financial institutions.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We incurred a foreign currency remeasurement loss of $10.7 million and a gain of $25.3 million for the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respectively. The impact of the exchange rate fluctuation of the Macau pataca, in relation to the U.S. dollar, on the remeasurements of U.S. dollar denominated debt and other obligations from our Macau-related entities primarily drove the variability between periods.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 loss of $43.8 million for the nine months ended September 30, 2025, from change in derivatives fair value, which primarily includes a loss of $28.5 million related to the conversion feature on the WML Convertible Bonds and a loss of $8.4 million related to foreign currency swaps. We recorded a loss of $7.9 million from changes in derivatives fair value for the nine months ended September 30, 2024, primarily related to the interest rate collar on the Retail Term Loan.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 $1.7 million loss on debt financing transactions for the nine months ended September 30, 2025 related to the amendment of the WRF credit facility and the redemption of the 2026 WML Senior Notes. We recorded a $1.7 million loss on debt financing transactions for the nine months ended September 30, 2024, primarily related to the issuance of the 2031 Add-On WRF Senior Notes and the repurchase of the tendered 2025 WLV Senior Notes.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$82.7 million and $45.1 million for the nine months ended September 30, 2025 and 2024, respectively. The increase in income tax expense for the nine months ended September 30, 2025 primarily reflects an increase in the valuation allowance on foreign tax credit carryforwards.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recognized net income attributable to noncontrolling interests of $59.5 million and $93.3 million for the nine months ended September 30, 2025 and 2024, respectively, primarily related to the noncontrolling interest's share of net income from WML.</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00075"/>
                <wp:effectExtent l="0" t="0" r="0" b="0"/>
                <wp:wrapNone/>
                <wp:docPr id="42" name="Frame4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further described in Item 1—"Notes to Condensed Consolidated Financial Statements," Note 17, "Segment Information," we use Adjusted Property EBITDAR to manage the operating results of our segments. Adjusted Property EBITDAR is net income (loss)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Adjusted Property EBITDAR (dollars in thousands) for Wynn Palace, Wynn Macau, Las Vegas Operations, Encore Boston Harbor, and Corporate and other as reviewed by management and summarized in Item 1—"Notes to Condensed Consolidated Financial Statements," Note 17, "Segment Information." That footnote also presents a reconciliation of Adjusted Property EBITDAR to net income attributable to Wynn Resorts, Limited. </w:t>
      </w:r>
    </w:p>
    <w:p>
      <w:pPr>
        <w:pStyle w:val="TextBody"/>
        <w:bidi w:val="0"/>
        <w:spacing w:before="0" w:after="0"/>
        <w:ind w:left="0" w:right="0" w:firstLine="450"/>
        <w:jc w:val="both"/>
        <w:rPr/>
      </w:pPr>
      <w:r>
        <w:rPr/>
      </w:r>
    </w:p>
    <w:tbl>
      <w:tblPr>
        <w:tblW w:w="11528" w:type="dxa"/>
        <w:jc w:val="left"/>
        <w:tblInd w:w="0" w:type="dxa"/>
        <w:tblLayout w:type="fixed"/>
        <w:tblCellMar>
          <w:top w:w="28" w:type="dxa"/>
          <w:left w:w="28" w:type="dxa"/>
          <w:bottom w:w="28" w:type="dxa"/>
          <w:right w:w="28" w:type="dxa"/>
        </w:tblCellMar>
      </w:tblPr>
      <w:tblGrid>
        <w:gridCol w:w="440"/>
        <w:gridCol w:w="359"/>
        <w:gridCol w:w="2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1"/>
        <w:gridCol w:w="220"/>
        <w:gridCol w:w="221"/>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320"/>
        <w:gridCol w:w="206"/>
        <w:gridCol w:w="294"/>
      </w:tblGrid>
      <w:tr>
        <w:trPr/>
        <w:tc>
          <w:tcPr>
            <w:tcW w:w="44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Palace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 Vegas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Encore Boston Harbor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Property EBITDAR at Wynn Palace increased $38.0 million for the three months ended September 30, 2025 due to an increase in operating revenues of $115.7 million primarily related to higher casino revenue, partially offset by increased casino expense, inclusive of gaming taxes. Adjusted Property EBITDAR at Wynn Palace decreased $29.7 million for the nine months ended September 30, 2025, primarily due to a decrease in rooms revenue as a result of lower ADR.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Property EBITDAR at Wynn Macau increased $7.4 million for the three months ended September 30, 2025 due to a $13.6 million increase in operating revenues, largely attributable to higher casino revenue, partially offset by increased casino expense, inclusive of gaming taxes. Adjusted Property EBITDAR at Wynn Macau for the nine months ended September 30, 2025 decreased $39.0 million due to a decrease in operating revenues of $61.7 million, largely attributable to lower casino revenue, partially offset by a decrease in casino expense, inclusive of gaming taxes.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Adjusted Property EBITDAR at our Las Vegas Operations for the three months ended September 30, 2025 increased $0.7 million. Adjusted Property EBITDAR at our Las Vegas Operations decreased $17.7 million for the nine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00075"/>
                <wp:effectExtent l="0" t="0" r="0" b="0"/>
                <wp:wrapNone/>
                <wp:docPr id="43" name="Frame4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September 30, 2025, primarily due to a decrease of $48.5 million in non-gaming revenues, partially offset by lower operating expenses. The nine months ended September 30, 2024 included incremental food and beverage revenue from Super Bowl-related events and from outlets undergoing renovations.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Property EBITDAR at Encore Boston Harbor decreased $4.6 million for the three months ended September 30, 2025, primarily due to a $2.4 million decrease in operating revenues, coupled with an increase in operating expenses. Adjusted Property EBITDAR decreased $8.6 million for the nine months ended September 30, 2025, primarily due to a decrease in operating revenues of $7.8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Adjusted Property EBITDAR at Corporate and other decreased $0.9 million and $4.5 million for the three and nine months ended September 30, 2025, respectively, as a result of ceasing our digital sports betting and casino gaming operations in the third quarter of 2024.</w:t>
      </w:r>
    </w:p>
    <w:p>
      <w:pPr>
        <w:pStyle w:val="TextBody"/>
        <w:bidi w:val="0"/>
        <w:spacing w:before="0" w:after="0"/>
        <w:jc w:val="left"/>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Refer to the discussions above regarding the specific details of our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00075"/>
                <wp:effectExtent l="0" t="0" r="0" b="0"/>
                <wp:wrapNone/>
                <wp:docPr id="44" name="Frame4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flows were as follows (in thousands):</w:t>
      </w:r>
    </w:p>
    <w:tbl>
      <w:tblPr>
        <w:tblW w:w="8588" w:type="dxa"/>
        <w:jc w:val="left"/>
        <w:tblInd w:w="0" w:type="dxa"/>
        <w:tblLayout w:type="fixed"/>
        <w:tblCellMar>
          <w:top w:w="28" w:type="dxa"/>
          <w:left w:w="28" w:type="dxa"/>
          <w:bottom w:w="28" w:type="dxa"/>
          <w:right w:w="28" w:type="dxa"/>
        </w:tblCellMar>
      </w:tblPr>
      <w:tblGrid>
        <w:gridCol w:w="2113"/>
        <w:gridCol w:w="1854"/>
        <w:gridCol w:w="1867"/>
        <w:gridCol w:w="211"/>
        <w:gridCol w:w="901"/>
        <w:gridCol w:w="109"/>
        <w:gridCol w:w="109"/>
        <w:gridCol w:w="109"/>
        <w:gridCol w:w="109"/>
        <w:gridCol w:w="211"/>
        <w:gridCol w:w="841"/>
        <w:gridCol w:w="154"/>
      </w:tblGrid>
      <w:tr>
        <w:trPr/>
        <w:tc>
          <w:tcPr>
            <w:tcW w:w="211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Cash Flows - Summary</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947,175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Cash flows from investing activities: </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net of construction payables and retention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investments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of investments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and other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 and 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(1,199,731)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126,512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payments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financing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(611,314)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(337,737)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on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(938,895)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739,301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decrease in cash flows from operating activities was primarily due to a decrease in operating income at our Macau Operations.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investing activities primarily consist of project capital expenditures and maintenance capital expenditures associated with maintaining and continually refining our world-class integrated resort properties.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00075"/>
                <wp:effectExtent l="0" t="0" r="0" b="0"/>
                <wp:wrapNone/>
                <wp:docPr id="45" name="Frame45"/>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incurred capital expenditures of $188.8 million at our Las Vegas Operations, $132.4 million at Wynn Palace, $48.8 million at Wynn Macau, and $17.9 million at Encore Boston Harbor, primarily related to enhancements at our properties and maintenance capital expenditures, and $101.3 million at Corporate and other primarily related to future development projects. In addition, during the nine months ended September 30, 2025, we invested $236.1 million, including $203.3 million of cash contributions, in the joint venture that is constructing Wynn Al Marjan Island and purchased $475.0 million in investments, comprised of fixed deposits maturing in less than one year.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2024, we incurred capital expenditures of $106.0 million at our Las Vegas Operations, $72.1 million at Wynn Palace, $38.8 million at Wynn Macau, and $27.5 million at Encore Boston Harbor, primarily related to maintenance capital expenditures, and $48.4 million at Corporate and other primarily related to future development projects. In addition, during the nine months ended September 30, 2024, we invested $455.0 million, including $442.7 million of cash contributions, in the joint venture that is constructing Wynn Al Marjan Island and received proceeds of $300.0 million and $550.0 million upon the maturity of our investments in debt securities and fixed deposits, respectively.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below table presents proceeds from the issuance, repayments, and repurchases of the specified debt instruments during the nine months ended September 30, 2025 (in thousands):</w:t>
      </w:r>
    </w:p>
    <w:p>
      <w:pPr>
        <w:pStyle w:val="TextBody"/>
        <w:bidi w:val="0"/>
        <w:spacing w:before="0" w:after="0"/>
        <w:ind w:left="0" w:right="0" w:firstLine="450"/>
        <w:jc w:val="both"/>
        <w:rPr/>
      </w:pPr>
      <w:r>
        <w:rPr/>
      </w:r>
    </w:p>
    <w:tbl>
      <w:tblPr>
        <w:tblW w:w="9912" w:type="dxa"/>
        <w:jc w:val="left"/>
        <w:tblInd w:w="0" w:type="dxa"/>
        <w:tblLayout w:type="fixed"/>
        <w:tblCellMar>
          <w:top w:w="28" w:type="dxa"/>
          <w:left w:w="28" w:type="dxa"/>
          <w:bottom w:w="28" w:type="dxa"/>
          <w:right w:w="28" w:type="dxa"/>
        </w:tblCellMar>
      </w:tblPr>
      <w:tblGrid>
        <w:gridCol w:w="1995"/>
        <w:gridCol w:w="1751"/>
        <w:gridCol w:w="1759"/>
        <w:gridCol w:w="294"/>
        <w:gridCol w:w="1384"/>
        <w:gridCol w:w="152"/>
        <w:gridCol w:w="109"/>
        <w:gridCol w:w="109"/>
        <w:gridCol w:w="109"/>
        <w:gridCol w:w="350"/>
        <w:gridCol w:w="1645"/>
        <w:gridCol w:w="255"/>
      </w:tblGrid>
      <w:tr>
        <w:trPr/>
        <w:tc>
          <w:tcPr>
            <w:tcW w:w="1995"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Proceeds from 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 and repurchases</w:t>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6 3/4% Senior Notes, due 2034 ("2034 WML Senior Notes")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WML 5 1/2% Senior Notes, due 2026 ("2026 WML Senior Notes")</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Credit Facilities:</w:t>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Term Loan, due 2027</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763,125 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Term Loan, due 2030</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1,752,812</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1,763,125</w:t>
            </w: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during the nine months ended September 30, 2025, we repurchased shares of our common stock for an aggregate cost of $379.7 million, including 4,365,212 shares of our common stock repurchased pursuant to our publicly announced equity repurchase program for an aggregate cost of $358.2 million. We also made dividend payments of $148.9 million, finance lease payments of $19.2 million, paid $26.4 million for financing costs related to the financing activities above, and used cash of $18.1 million for distributions to noncontrolling interest holders of the Retail Joint Venture.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below table presents proceeds from the issuance, repayments, and repurchases of the specified debt instruments during the nine months ended September 30, 2024 (in thousands):</w:t>
      </w:r>
    </w:p>
    <w:p>
      <w:pPr>
        <w:pStyle w:val="TextBody"/>
        <w:bidi w:val="0"/>
        <w:spacing w:before="0" w:after="0"/>
        <w:ind w:left="0" w:right="0" w:firstLine="450"/>
        <w:jc w:val="both"/>
        <w:rPr/>
      </w:pPr>
      <w:r>
        <w:rPr/>
      </w:r>
    </w:p>
    <w:tbl>
      <w:tblPr>
        <w:tblW w:w="7527" w:type="dxa"/>
        <w:jc w:val="left"/>
        <w:tblInd w:w="0" w:type="dxa"/>
        <w:tblLayout w:type="fixed"/>
        <w:tblCellMar>
          <w:top w:w="28" w:type="dxa"/>
          <w:left w:w="28" w:type="dxa"/>
          <w:bottom w:w="28" w:type="dxa"/>
          <w:right w:w="28" w:type="dxa"/>
        </w:tblCellMar>
      </w:tblPr>
      <w:tblGrid>
        <w:gridCol w:w="1127"/>
        <w:gridCol w:w="994"/>
        <w:gridCol w:w="999"/>
        <w:gridCol w:w="294"/>
        <w:gridCol w:w="1384"/>
        <w:gridCol w:w="152"/>
        <w:gridCol w:w="109"/>
        <w:gridCol w:w="109"/>
        <w:gridCol w:w="109"/>
        <w:gridCol w:w="350"/>
        <w:gridCol w:w="1645"/>
        <w:gridCol w:w="255"/>
      </w:tblGrid>
      <w:tr>
        <w:trPr/>
        <w:tc>
          <w:tcPr>
            <w:tcW w:w="112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Proceeds from issuance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 and repurchases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6 1/4% Senior Notes, due 2033</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7 1/8% Senior Notes, due 2031</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WM Cayman II Revolver, due 2028</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351,787 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WLV 5 1/2% Senior Notes, due 2025</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796,691 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Credit Facilities:</w:t>
            </w:r>
          </w:p>
        </w:tc>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WRF Term Loan, due 2027</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1,283,794</w:t>
            </w: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1,251,210</w:t>
            </w:r>
            <w:r>
              <w:rPr>
                <w:color w:val="000000"/>
              </w:rPr>
              <w:t>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during the nine months ended September 30, 2024, we repurchased shares of our common stock for an aggregate cost of $198.2 million, including 2,206,113 shares of our common stock repurchased pursuant to our publicly announced equity repurchase program for an aggregate cost of $185.7 million. We also made dividend payments of $112.0 million, finance lease payments of $14.5 million, paid $31.5 million for financing costs related to the financing activities above, and used cash of $10.6 million for distributions to noncontrolling interest holders of the Retail Joint Venture.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00075"/>
                <wp:effectExtent l="0" t="0" r="0" b="0"/>
                <wp:wrapNone/>
                <wp:docPr id="46" name="Frame46"/>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unrestricted cash and cash equivalents, investments and available revolver borrowing capacity, presented by significant financing entity as of September 30, 2025 (in thousands): </w:t>
      </w:r>
    </w:p>
    <w:tbl>
      <w:tblPr>
        <w:tblW w:w="9966" w:type="dxa"/>
        <w:jc w:val="left"/>
        <w:tblInd w:w="0" w:type="dxa"/>
        <w:tblLayout w:type="fixed"/>
        <w:tblCellMar>
          <w:top w:w="28" w:type="dxa"/>
          <w:left w:w="28" w:type="dxa"/>
          <w:bottom w:w="28" w:type="dxa"/>
          <w:right w:w="28" w:type="dxa"/>
        </w:tblCellMar>
      </w:tblPr>
      <w:tblGrid>
        <w:gridCol w:w="1193"/>
        <w:gridCol w:w="1050"/>
        <w:gridCol w:w="1056"/>
        <w:gridCol w:w="403"/>
        <w:gridCol w:w="1894"/>
        <w:gridCol w:w="208"/>
        <w:gridCol w:w="109"/>
        <w:gridCol w:w="109"/>
        <w:gridCol w:w="109"/>
        <w:gridCol w:w="212"/>
        <w:gridCol w:w="848"/>
        <w:gridCol w:w="109"/>
        <w:gridCol w:w="109"/>
        <w:gridCol w:w="109"/>
        <w:gridCol w:w="109"/>
        <w:gridCol w:w="364"/>
        <w:gridCol w:w="1710"/>
        <w:gridCol w:w="265"/>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Investments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Revolver Borrowing Capacity</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Macau, Limited and subsidiaries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973,301 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1,355,012 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Wynn Resorts Finance, LLC </w:t>
            </w:r>
            <w:r>
              <w:rPr>
                <w:rFonts w:ascii="Times New Roman;serif" w:hAnsi="Times New Roman;serif"/>
                <w:b w:val="false"/>
                <w:color w:val="000000"/>
                <w:sz w:val="13"/>
              </w:rPr>
              <w:t>(2)</w:t>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228,739 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1,233,783 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Wynn Resorts, Limited and other</w:t>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1,486,291</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475,000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2,588,795</w:t>
            </w: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Investments consist of fixed deposits maturing in less than one year.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Excluding Wynn Macau, Limited and subsidiaries.</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Wynn Macau, Limited and subsidiaries</w:t>
      </w:r>
      <w:r>
        <w:rPr>
          <w:rFonts w:ascii="Times New Roman;serif" w:hAnsi="Times New Roman;serif"/>
          <w:b w:val="false"/>
          <w:color w:val="000000"/>
          <w:sz w:val="20"/>
        </w:rPr>
        <w:t>. WML generates cash from our Macau Operations and may utilize proceeds from the WM Cayman II Revolver as needed. We expect to use this cash to service our WML Senior Notes, WM Cayman II Revolver, and WML Convertible Bonds, to pay dividends to shareholders of WML (of which we own approximately 72%), and to fund working capital and capital expenditure requirements at WML and our Macau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estimated project capital expenditures of between $200 million and $250 million during 2025 and between $450 million and $500 million during 2026 related to enhancements at our Macau Operations. We expect to make maintenance capital expenditures at our Macau Operations of between $70 million and $80 million during 2025.</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WML is a holding company and, as a result, its ability to pay dividends to WRF is dependent on WML receiving distributions from its subsidiaries. WML, as guarantor under the WM Cayman II Revolver facility agreement, may be subject to certain restrictions on payments of dividends or distributions to its shareholders, unless certain financial criteria have been satisfied. The WM Cayman II Revolver facility agreement contains representations, warranties, covenants and events of default customary for similar financings, including, but not limited to, restrictions on indebtedness to be incurred by WM Cayman II or its subsidiaries.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June 2025, WML paid a cash dividend of HK$0.185 per share on its common stock for a total U.S. dollar equivalent of approximately $124.0 million in respect of the year ended December 31, 2024. Our share of this dividend was $88.5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September 2025, WML paid a cash dividend of </w:t>
      </w:r>
      <w:r>
        <w:rPr>
          <w:rFonts w:ascii="Times New Roman;serif" w:hAnsi="Times New Roman;serif"/>
          <w:b w:val="false"/>
          <w:color w:val="000000"/>
          <w:sz w:val="20"/>
          <w:shd w:fill="FFFFFF" w:val="clear"/>
        </w:rPr>
        <w:t>HK$0.185 per share on its common stock for a total U.S. dollar equivalent of $125.0 million in respect of the six months ended June 30, 2025. Our share of this dividend was $89.2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July 2025, WM Cayman II increased borrowing capacity under the WM Cayman II Revolver by an additional aggregate amount of $1.0 billion equivalent through the exercise of an accordion feature under the existing facility agreement. As a result, the total committed amount of the WM Cayman II Revolver has increased to $2.5 billion equivalent. In connection with the exercise of the accordion feature on the WM Cayman II Revolver, we recorded debt issuance costs of $11.6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WML issued $1.0 billion aggregate principal amount of the 2034 WML Senior Notes. The 2034 WML Senior Notes were issued at par for proceeds of $989.0 million, net of $11.0 million of related fees and expenses.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2025, we redeemed in full the outstanding $1.0 billion aggregate principal amount of 2026 WML Senior Notes using net proceeds from the issuance of the 2034 WML Senior Notes, along with cash on hand, at a price equal to 100% of the principal amount.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If our portion of cash available for repatriation was repatriated on September 30, 2025, it would be subject to minimal U.S. taxes.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00075"/>
                <wp:effectExtent l="0" t="0" r="0" b="0"/>
                <wp:wrapNone/>
                <wp:docPr id="47" name="Frame47"/>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Wynn Resorts Finance, LLC and subsidiaries.</w:t>
      </w:r>
      <w:r>
        <w:rPr>
          <w:color w:val="000000"/>
        </w:rPr>
        <w:t xml:space="preserve"> </w:t>
      </w:r>
      <w:r>
        <w:rPr>
          <w:rFonts w:ascii="Times New Roman;serif" w:hAnsi="Times New Roman;serif"/>
          <w:b w:val="false"/>
          <w:color w:val="000000"/>
          <w:sz w:val="20"/>
        </w:rPr>
        <w:t>Wynn Resorts Finance, LLC ("WRF" or "Wynn Resorts Finance") 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to pay dividends or distributions to Wynn Resorts, and to fund working capital and capital expenditure requirements as needed.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make estimated project capital expenditures of between $200 million and $225 million during 2025 and between $375 million and $400 million during 2026 related to enhancements at our Las Vegas Operations. We expect to make maintenance capital expenditures at our Las Vegas Operations and Encore Boston Harbor of between $90 million and $115 million, on a combined basis, during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WRF is a holding company and, as a result, its ability to pay dividends or distributions to Wynn Resorts is dependent on WRF receiving distributions from its subsidiaries. The WRF Credit Agreement contains customary negative and financial covenants, including, but not limited to, covenants that restrict WRF's ability to pay dividends or distributions and incur additional indebtedness.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2025, WRF and certain of its subsidiaries entered into an amendment (the "WRF Credit Facility Amendment") to its existing credit agreement. The WRF Credit Facility Amendment (i) extends the final maturity date with respect to all or a portion of the term loan commitments from September 20, 2027 to June 12, 2030, (ii) extends the termination date with respect to all or a portion of the existing revolving commitments and the maturity date with respect to the corresponding revolving commitments from September 20, 2027 to June 12, 2030 and (iii) allows for $500.0 million of incremental extended revolving commitments with a stated maturity date of June 12, 2030.</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Wynn Resorts, Limited and other subsidiaries.</w:t>
      </w:r>
      <w:r>
        <w:rPr>
          <w:color w:val="000000"/>
        </w:rPr>
        <w:t xml:space="preserve"> </w:t>
      </w:r>
      <w:r>
        <w:rPr>
          <w:rFonts w:ascii="Times New Roman;serif" w:hAnsi="Times New Roman;serif"/>
          <w:b w:val="false"/>
          <w:color w:val="000000"/>
          <w:sz w:val="20"/>
        </w:rPr>
        <w:t>Wynn Resorts, Limited is a holding company and, as a result, our ability to pay dividends is dependent 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$150.0 million for the year ending December 31, 2025. We expect to use cash held by Wynn Resorts, Limited and other to service our Retail Term Loan, to fund working capital needs of our subsidiaries, pay dividends, make required capital contributions to the entity which owns Wynn Al Marjan Island, and for general corporate purposes.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the Company contributed $93.9 million of cash into Island 3, bringing our life-to-date cash contributions to $835.0 million. We estimate our remaining 40% pro-rata share of the required equity for the construction of the Wynn Al Marjan Island integrated resort is between $500 million and $575 million, inclusive of capitalized interest, fees, and certain improvements on the Island. Wynn Al Marjan Island is currently expected to open in 2027.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Island 3 has partnered with Aman Group, a developer and operator of hotels, resorts and branded residences, to construct a second development adjacent to Wynn Al Marjan Island, which will feature a 132-room hotel and a residential tower with one- to five- bedroom units and a limited collection of standalone villas (“Janu Al Marjan Island”). Janu Al Marjan Island, expected to open in late 2028, will be managed and operated by Aman Group and will offer a variety of guest experiences. The Company’s estimated capital contributions to Island 3 for the construction of the Janu Al Marjan Island are between $25 million and $50 million, net of estimated branded residence sales and estimated 50% loan-to-cost financing to fund project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paid a cash dividend of $0.25 per share in each of the quarters ended March 31, 2025, June 30, 2025, and September 30, 2025, and recorded $26.6 million, $26.1 million, $25.9 million in the quarters ended March 31, 2025, June 30, 2025, and September 30, 2025, respectively, against accumulated deficit.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6, 2025, the Company announced that its Board of Directors declared a cash dividend of $0.25 per share, payable on November 26, 2025 to stockholders of record as of November 17, 2025.</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Factors Affecting Liquidity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may refinance all or a portion of our indebtedness on or before maturity. We cannot assure you that we will be able to refinance any of the indebtedness on acceptable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00075"/>
                <wp:effectExtent l="0" t="0" r="0" b="0"/>
                <wp:wrapNone/>
                <wp:docPr id="48" name="Frame48"/>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Company’s Board of Directors authorized an increase in the amount of the Company's outstanding shares of common stock available for repurchase under the previously available repurchase authorization to $1.00 billion.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As of September 30, 2025, we had $454.9 million in repurchase authority remaining under the program.</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Contractual Commitments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 xml:space="preserve">the nine months ended September 30, 2025, </w:t>
      </w:r>
      <w:r>
        <w:rPr>
          <w:rFonts w:ascii="Times New Roman;serif" w:hAnsi="Times New Roman;serif"/>
          <w:b w:val="false"/>
          <w:color w:val="000000"/>
          <w:sz w:val="20"/>
          <w:shd w:fill="FFFFFF" w:val="clear"/>
        </w:rPr>
        <w:t xml:space="preserve">except as described below, there have been no material changes to the contractual obligations previously reported in our Annual Report on Form 10-K for the year ended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of the financing transactions described in our discussion of capital resources above, our long-term debt obligations will decrease by $10.3 million in the remainder of 2025, $1.03 billion in 2026, $652.4 million in 2027 and will increase by $37.6 million in each of 2028 and 2029, and $1.64 billion thereafter. As of September 30, 2025, our annual fixed interest payments are expected to increase by $39.3 million in 2026, $67.5 million in each of 2027, 2028, and 2029, and $303.8 million thereafter. Our variable interest payments are expected to decrease by $0.2 million in the remainder of 2025 and increase by $1.8 million in 2026, $13.5 million in 2027, $42.6 million in 2028, $40.3 million in 2029, and $30.8 million thereafter.</w:t>
      </w:r>
    </w:p>
    <w:p>
      <w:pPr>
        <w:pStyle w:val="TextBody"/>
        <w:bidi w:val="0"/>
        <w:spacing w:before="0" w:after="0"/>
        <w:ind w:left="0" w:right="0" w:firstLine="450"/>
        <w:jc w:val="both"/>
        <w:rPr/>
      </w:pPr>
      <w:r>
        <w:rPr/>
      </w:r>
    </w:p>
    <w:p>
      <w:pPr>
        <w:pStyle w:val="TextBody"/>
        <w:bidi w:val="0"/>
        <w:spacing w:lineRule="auto" w:line="288" w:before="0" w:after="0"/>
        <w:ind w:left="0" w:right="0" w:firstLine="18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Off Balance Sheet Arrangements </w:t>
      </w:r>
    </w:p>
    <w:p>
      <w:pPr>
        <w:pStyle w:val="TextBody"/>
        <w:bidi w:val="0"/>
        <w:spacing w:before="0" w:after="0"/>
        <w:ind w:left="0" w:right="0" w:firstLine="18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February 2025, Wynn Al Marjan Island FZ-LLC, a wholly-owned subsidiary of Island 3, an unconsolidated affiliate, entered into a facility agreement which provides a $2.4 billion (or equivalent in local currency) delayed draw secured term loan facility to finance the development of Wynn Al Marjan Island (the "Al Marjan Facility"). The Company is not a party to the Al Marjan Facility agreement, but entered into a guarantee in favor of the secured parties under the Al Marjan Facility agreement. For additional information, refer to Note 15, "Commitments and Contingencies" of Part I in this Quarterly Report on Form 10-Q.</w:t>
      </w:r>
    </w:p>
    <w:p>
      <w:pPr>
        <w:pStyle w:val="TextBody"/>
        <w:bidi w:val="0"/>
        <w:spacing w:before="0" w:after="0"/>
        <w:ind w:left="0" w:right="0" w:firstLine="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description of our critical accounting policies is included in Item 7 of our Annual Report on Form 10-K for the year ended December 31, 2024. There have been no significant changes to these policies for the nine months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Recently Adopted Accounting Standards and Accounting Standards Issued But Not Yet Adopted</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related disclosure in Note 2, "Basis of Presentation and Significant Accounting Policies" of Part I in this Quarterly Report on Form 10-Q.</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00075"/>
                <wp:effectExtent l="0" t="0" r="0" b="0"/>
                <wp:wrapNone/>
                <wp:docPr id="49" name="Frame49"/>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currency exchange rates and commodity prices.</w:t>
      </w:r>
    </w:p>
    <w:p>
      <w:pPr>
        <w:pStyle w:val="TextBody"/>
        <w:bidi w:val="0"/>
        <w:spacing w:before="0" w:after="0"/>
        <w:ind w:left="0" w:right="0" w:firstLine="225"/>
        <w:jc w:val="both"/>
        <w:rPr/>
      </w:pPr>
      <w:r>
        <w:rPr/>
      </w:r>
    </w:p>
    <w:p>
      <w:pPr>
        <w:pStyle w:val="TextBody"/>
        <w:bidi w:val="0"/>
        <w:spacing w:lineRule="auto" w:line="288" w:before="0" w:after="0"/>
        <w:ind w:left="0" w:right="0" w:firstLine="225"/>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about market risks to which we are exposed is included within our Annual Report on Form 10-K for the year ended December 31, 2024. </w:t>
      </w:r>
    </w:p>
    <w:p>
      <w:pPr>
        <w:pStyle w:val="TextBody"/>
        <w:bidi w:val="0"/>
        <w:spacing w:before="0" w:after="0"/>
        <w:ind w:left="0" w:right="0" w:firstLine="225"/>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Rate Risks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Sensitivity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order to mitigate exposure to interest rate fluctuations on the Retail Term Loan, in October 2024, the Company entered into an interest rate swap with a notional value of $600.0 million, maturing in February 2027. The interest rate swap effectively fixes the variable component of the interest rate on the Retail Term Loan at 3.385% through February 2027.</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As of September 30, 2025, approximately 82% </w:t>
      </w:r>
      <w:r>
        <w:rPr>
          <w:rFonts w:ascii="Times New Roman;serif" w:hAnsi="Times New Roman;serif"/>
          <w:b w:val="false"/>
          <w:color w:val="000000"/>
          <w:sz w:val="20"/>
          <w:shd w:fill="FFFFFF" w:val="clear"/>
        </w:rPr>
        <w:t xml:space="preserve">of our long-term debt was based on fixed rates. Based on our outstanding borrowings as of </w:t>
      </w:r>
      <w:r>
        <w:rPr>
          <w:rFonts w:ascii="Times New Roman;serif" w:hAnsi="Times New Roman;serif"/>
          <w:b w:val="false"/>
          <w:color w:val="000000"/>
          <w:sz w:val="20"/>
        </w:rPr>
        <w:t>September 30, 2025 and after giving effect to the interest rate swap on the Retail Term Loan</w:t>
      </w:r>
      <w:r>
        <w:rPr>
          <w:rFonts w:ascii="Times New Roman;serif" w:hAnsi="Times New Roman;serif"/>
          <w:b w:val="false"/>
          <w:color w:val="000000"/>
          <w:sz w:val="20"/>
          <w:shd w:fill="FFFFFF" w:val="clear"/>
        </w:rPr>
        <w:t>, an assumed 100 basis point change in the variable rates would cause our annual interest expense to change by</w:t>
      </w:r>
      <w:r>
        <w:rPr>
          <w:color w:val="000000"/>
        </w:rPr>
        <w:t xml:space="preserve"> </w:t>
      </w:r>
      <w:r>
        <w:rPr>
          <w:rFonts w:ascii="Times New Roman;serif" w:hAnsi="Times New Roman;serif"/>
          <w:b w:val="false"/>
          <w:color w:val="000000"/>
          <w:sz w:val="20"/>
        </w:rPr>
        <w:t>$19.0 million.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Currency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a party to foreign currency swap agreements with the objective of managing foreign currency exchange rate risk associated with the outstanding U.S. dollar denominated WML Senior Notes. The foreign currency swaps exchange predetermined amounts of Hong Kong dollars for U.S. dollars at a contractual spot rate, and as of September 30, 2025, have an aggregate notional amount of $4.10 billion, and have maturities between October 2027 and August 2030. For additional information, refer to Note 7, "Derivative Instruments" of Part I in this Quarterly Report on Form 10-Q.</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our balances as of September 30, 2025 and after giving effect to our foreign currency swaps, an assumed 1% change in the U.S. dollar/Hong Kong dollar exchange rate would cause a gain/loss of $3.4 million to our income before income taxes.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00075"/>
                <wp:effectExtent l="0" t="0" r="0" b="0"/>
                <wp:wrapNone/>
                <wp:docPr id="50" name="Frame50"/>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00075"/>
                <wp:effectExtent l="0" t="0" r="0" b="0"/>
                <wp:wrapNone/>
                <wp:docPr id="51" name="Frame51"/>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description of our risk factors can be found in Item 1A, Part I of our Annual Report on Form 10-K for the year ended December 31, 2024. There were no material changes to those risk factors during the nine months ended September 30, 2025.</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share repurchases made by the Company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733"/>
        <w:gridCol w:w="385"/>
        <w:gridCol w:w="388"/>
        <w:gridCol w:w="109"/>
        <w:gridCol w:w="109"/>
        <w:gridCol w:w="109"/>
        <w:gridCol w:w="476"/>
        <w:gridCol w:w="440"/>
        <w:gridCol w:w="441"/>
        <w:gridCol w:w="109"/>
        <w:gridCol w:w="109"/>
        <w:gridCol w:w="109"/>
        <w:gridCol w:w="263"/>
        <w:gridCol w:w="901"/>
        <w:gridCol w:w="136"/>
        <w:gridCol w:w="109"/>
        <w:gridCol w:w="109"/>
        <w:gridCol w:w="109"/>
        <w:gridCol w:w="696"/>
        <w:gridCol w:w="696"/>
        <w:gridCol w:w="698"/>
        <w:gridCol w:w="109"/>
        <w:gridCol w:w="109"/>
        <w:gridCol w:w="109"/>
        <w:gridCol w:w="467"/>
        <w:gridCol w:w="1830"/>
        <w:gridCol w:w="347"/>
      </w:tblGrid>
      <w:tr>
        <w:trPr/>
        <w:tc>
          <w:tcPr>
            <w:tcW w:w="73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3"/>
              </w:rPr>
              <w:t>(1)</w:t>
            </w:r>
            <w:r>
              <w:rPr>
                <w:color w:val="000000"/>
              </w:rPr>
              <w:t xml:space="preserve">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(in thousands)</w:t>
            </w:r>
          </w:p>
        </w:tc>
      </w:tr>
      <w:tr>
        <w:trPr/>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 to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454,880 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2025 to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454,880 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2025 to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454,880 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Shares purchased in July 2025, August 2025, and September 2025 include 2,305, 4,974 and 5,638 shares, respectively, purchased in satisfaction of employee tax withholding obligations on vested restricted stock granted under our stock incentive plans. Refer to Note 13, "Stock-Based Compensation" to our Consolidated Financial Statements included in our Annual Report on Form 10-K for the year ended December 31, 2024 for additional details on our stock incentive plans.</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(2) On April 20, 2016, the Company announced that the Board of Directors authorized an equity repurchase program of up to $1.0 billion of our common stock, with no expiration. On November 1, 2024, the Company’s Board of Directors authorized the Company to repurchase a total of up to $1.0 billion of the Company’s outstanding shares of common stock, increasing the previously available repurchase authorization by approximately $766 million. The equity repurchase program authorizes discretionary repurchases by the Company from time to time through open market purchases, including pursuant to plans designed to comply with Rule 10b5-1 under the Securities Exchange Act of 1934, as amended, privately negotiated transactions, accelerated share repurchases, or block trades, subject to market conditions, applicable legal requirements and other factors. The repurchase authorization has no expiration date, and the equity repurchase program may be suspended, discontinued or accelerated at any time. Any shares acquired are expected to be held as treasury shares and available for general corporate purposes.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Item 3. Default Upon Senior Securities. </w:t>
      </w:r>
    </w:p>
    <w:p>
      <w:pPr>
        <w:pStyle w:val="TextBody"/>
        <w:bidi w:val="0"/>
        <w:spacing w:before="0" w:after="0"/>
        <w:ind w:left="0" w:right="0" w:firstLine="49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Section 16 of the Exchange Act) adopted, modified or terminated a “Rule 10b5-1 trading arrangement” or a “non-Rule 10b5-1 trading arrangement” (each as defined in Item 408(a) and (c) of Regulation S-K) during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00075"/>
                <wp:effectExtent l="0" t="0" r="0" b="0"/>
                <wp:wrapNone/>
                <wp:docPr id="52" name="Frame52"/>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99"/>
        <w:gridCol w:w="2650"/>
        <w:gridCol w:w="3783"/>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Third Amended and Restated Articles of Incorporation of the Registrant. (Incorporated by reference from the Quarterly Report on Form 10-Q filed by the Registrant on May 8, 2015.)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Ninth Amended and Restated Bylaws of the Registrant. (Incorporated by reference from the Annual Report on Form 10-K filed by the Registrant on February 28, 2020.)</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80"/>
                  <w:sz w:val="20"/>
                  <w:u w:val="single"/>
                </w:rPr>
                <w:t>Indenture, dated as of August 19, 2025, by and between Wynn Macau, Limited and Deutsche Bank Trust Company Americas, as trustee, related to the senior notes due 2034</w:t>
              </w:r>
            </w:hyperlink>
            <w:hyperlink r:id="rId5">
              <w:r>
                <w:rPr>
                  <w:rStyle w:val="InternetLink"/>
                  <w:rFonts w:ascii="Times New Roman;serif" w:hAnsi="Times New Roman;serif"/>
                  <w:b w:val="false"/>
                  <w:color w:val="000080"/>
                  <w:sz w:val="20"/>
                  <w:u w:val="single"/>
                </w:rPr>
                <w:t>.</w:t>
              </w:r>
            </w:hyperlink>
            <w:hyperlink r:id="rId6">
              <w:r>
                <w:rPr>
                  <w:rStyle w:val="InternetLink"/>
                  <w:rFonts w:ascii="Times New Roman;serif" w:hAnsi="Times New Roman;serif"/>
                  <w:b w:val="false"/>
                  <w:color w:val="000080"/>
                  <w:sz w:val="20"/>
                  <w:u w:val="single"/>
                </w:rPr>
                <w:t xml:space="preserve"> (Incorporated by reference from the Current Report on Form 8-K filed by the Registrant on August 19, 2025</w:t>
              </w:r>
            </w:hyperlink>
            <w:hyperlink r:id="rId7">
              <w:r>
                <w:rPr>
                  <w:rStyle w:val="InternetLink"/>
                  <w:rFonts w:ascii="Times New Roman;serif" w:hAnsi="Times New Roman;serif"/>
                  <w:b w:val="false"/>
                  <w:color w:val="000080"/>
                  <w:sz w:val="20"/>
                  <w:u w:val="single"/>
                </w:rPr>
                <w:t>.</w:t>
              </w:r>
            </w:hyperlink>
            <w:hyperlink r:id="rId8">
              <w:r>
                <w:rPr>
                  <w:rStyle w:val="InternetLink"/>
                  <w:rFonts w:ascii="Times New Roman;serif" w:hAnsi="Times New Roman;serif"/>
                  <w:b w:val="false"/>
                  <w:color w:val="000080"/>
                  <w:sz w:val="20"/>
                  <w:u w:val="single"/>
                </w:rPr>
                <w:t>)</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1-wynnxexecutiveretire.htm">
              <w:r>
                <w:rPr>
                  <w:rStyle w:val="InternetLink"/>
                  <w:rFonts w:ascii="Times New Roman;serif" w:hAnsi="Times New Roman;serif"/>
                  <w:b w:val="false"/>
                  <w:color w:val="000080"/>
                  <w:sz w:val="20"/>
                  <w:u w:val="single"/>
                </w:rPr>
                <w:t>Wynn Resorts, Limited Executive Retirement Plan, as amended on November 3, 2025</w:t>
              </w:r>
            </w:hyperlink>
            <w:hyperlink w:anchor="ex101-wynnxexecutiveretire.htm">
              <w:r>
                <w:rPr>
                  <w:rStyle w:val="InternetLink"/>
                  <w:rFonts w:ascii="Times New Roman;serif" w:hAnsi="Times New Roman;serif"/>
                  <w:b w:val="false"/>
                  <w:color w:val="000080"/>
                  <w:sz w:val="20"/>
                  <w:u w:val="single"/>
                </w:rPr>
                <w:t>.</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eoscertificationxq3.htm">
              <w:r>
                <w:rPr>
                  <w:rStyle w:val="InternetLink"/>
                  <w:rFonts w:ascii="Times New Roman;serif" w:hAnsi="Times New Roman;serif"/>
                  <w:b w:val="false"/>
                  <w:color w:val="0000FF"/>
                  <w:sz w:val="20"/>
                  <w:u w:val="single"/>
                </w:rPr>
                <w:t>Certification of Chief Executive Officer of Periodic Report Pursuant to Rule 13a–4(a) and Rule 15d–14(a).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foscertificationxq3.htm">
              <w:r>
                <w:rPr>
                  <w:rStyle w:val="InternetLink"/>
                  <w:rFonts w:ascii="Times New Roman;serif" w:hAnsi="Times New Roman;serif"/>
                  <w:b w:val="false"/>
                  <w:color w:val="0000FF"/>
                  <w:sz w:val="20"/>
                  <w:u w:val="single"/>
                </w:rPr>
                <w:t>Certification of Chief Financial Officer of Periodic Report Pursuant to Rule 13a–14(a) and Rule 15d–14(a).</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eoandcfocertification.htm">
              <w:r>
                <w:rPr>
                  <w:rStyle w:val="InternetLink"/>
                  <w:rFonts w:ascii="Times New Roman;serif" w:hAnsi="Times New Roman;serif"/>
                  <w:b w:val="false"/>
                  <w:color w:val="0000FF"/>
                  <w:sz w:val="20"/>
                  <w:u w:val="single"/>
                </w:rPr>
                <w:t>Certification of CEO and CFO Pursuant to 18 U.S.C. Section 1350 (furnished herewith).</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The following material from Wynn Resorts, Limited's Quarterly Report on Form 10-Q, formatted in Inline XBRL (Inline Extensible Business Reporting Language): (i) the Condensed Consolidated Balance Sheets as of September 30, 2025 and December 31, 2024; (ii) the Condensed Consolidated Statements of Operations for the three and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(iii) the Condensed Consolidated Statements of Comprehensive Income (Loss) for the three and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(iv) the Condensed Consolidated Statements of Stockholders' Deficit for the three and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xml:space="preserve">; (v) the Condensed Consolidated Statements of Cash Flows for the nine months ended September 30, 2025 and </w:t>
            </w:r>
            <w:r>
              <w:rPr>
                <w:rFonts w:ascii="Times New Roman;serif" w:hAnsi="Times New Roman;serif"/>
                <w:b w:val="false"/>
                <w:color w:val="000000"/>
                <w:sz w:val="18"/>
              </w:rPr>
              <w:t>2024</w:t>
            </w:r>
            <w:r>
              <w:rPr>
                <w:rFonts w:ascii="Times New Roman;serif" w:hAnsi="Times New Roman;serif"/>
                <w:b w:val="false"/>
                <w:color w:val="000000"/>
                <w:sz w:val="20"/>
              </w:rPr>
              <w:t>; and (vi) Notes to Condensed Consolidated Financial Statements. The instance document does not appear in the Interactive Data File because its XBRL tags are embedded within the Inline XBRL document.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00075"/>
                <wp:effectExtent l="0" t="0" r="0" b="0"/>
                <wp:wrapNone/>
                <wp:docPr id="53" name="Frame53"/>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0pt;mso-position-horizontal:left;mso-position-horizontal-relative:text">
                <v:textbox>
                  <w:txbxContent>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dd1499d03b34d3ea6776d9734b1bdb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026"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134"/>
        <w:gridCol w:w="134"/>
        <w:gridCol w:w="136"/>
        <w:gridCol w:w="109"/>
        <w:gridCol w:w="109"/>
        <w:gridCol w:w="109"/>
        <w:gridCol w:w="1102"/>
        <w:gridCol w:w="1102"/>
        <w:gridCol w:w="156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Cameron-Doe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Cameron-Doe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00075"/>
                <wp:effectExtent l="0" t="0" r="0" b="0"/>
                <wp:wrapNone/>
                <wp:docPr id="54" name="Frame54"/>
                <a:graphic xmlns:a="http://schemas.openxmlformats.org/drawingml/2006/main">
                  <a:graphicData uri="http://schemas.microsoft.com/office/word/2010/wordprocessingShape">
                    <wps:wsp>
                      <wps:cNvSpPr txBox="1"/>
                      <wps:spPr>
                        <a:xfrm>
                          <a:off x="0" y="0"/>
                          <a:ext cx="6480175" cy="600075"/>
                        </a:xfrm>
                        <a:prstGeom prst="rect"/>
                        <a:solidFill>
                          <a:srgbClr val="FFFFFF"/>
                        </a:solidFill>
                      </wps:spPr>
                      <wps:txb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25pt;mso-wrap-distance-left:0pt;mso-wrap-distance-right:0pt;mso-wrap-distance-top:0pt;mso-wrap-distance-bottom:0pt;margin-top:0pt;mso-position-vertical:top;mso-position-vertical-relative:text;margin-left:-481.35pt;mso-position-horizontal:left;mso-position-horizontal-relative:text">
                <v:textbox>
                  <w:txbxContent>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80" w:after="24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WYNN RESORTS, LIMITED</w:t>
        <w:br/>
        <w:t>EXECUTIVE RETIREMENT PLAN</w:t>
        <w:br/>
        <w:t>(as amended November 3, 2025)</w:t>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u w:val="single"/>
        </w:rPr>
        <w:t>Purpose</w:t>
      </w:r>
      <w:r>
        <w:rPr>
          <w:rFonts w:ascii="Times New Roman;serif" w:hAnsi="Times New Roman;serif"/>
          <w:b w:val="false"/>
          <w:color w:val="000000"/>
          <w:sz w:val="24"/>
        </w:rPr>
        <w:t>. Wynn Resorts, Limited, a Nevada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has adopted the Wynn Resorts, Limited Executive Retirement Plan (the “</w:t>
      </w:r>
      <w:r>
        <w:rPr>
          <w:rFonts w:ascii="Times New Roman;serif" w:hAnsi="Times New Roman;serif"/>
          <w:b w:val="false"/>
          <w:i/>
          <w:color w:val="000000"/>
          <w:sz w:val="24"/>
        </w:rPr>
        <w:t>Plan</w:t>
      </w:r>
      <w:r>
        <w:rPr>
          <w:color w:val="000000"/>
        </w:rPr>
        <w:t>”</w:t>
      </w:r>
      <w:r>
        <w:rPr>
          <w:rFonts w:ascii="Times New Roman;serif" w:hAnsi="Times New Roman;serif"/>
          <w:b w:val="false"/>
          <w:color w:val="000000"/>
          <w:sz w:val="24"/>
        </w:rPr>
        <w:t>) to provide retirement benefits to Eligible Executives (as defined below) and who retire on or after November 1, 2023 (the “</w:t>
      </w:r>
      <w:r>
        <w:rPr>
          <w:rFonts w:ascii="Times New Roman;serif" w:hAnsi="Times New Roman;serif"/>
          <w:b w:val="false"/>
          <w:i/>
          <w:color w:val="000000"/>
          <w:sz w:val="24"/>
        </w:rPr>
        <w:t>Effective Date</w:t>
      </w:r>
      <w:r>
        <w:rPr>
          <w:color w:val="000000"/>
        </w:rPr>
        <w:t>”</w:t>
      </w:r>
      <w:r>
        <w:rPr>
          <w:rFonts w:ascii="Times New Roman;serif" w:hAnsi="Times New Roman;serif"/>
          <w:b w:val="false"/>
          <w:color w:val="000000"/>
          <w:sz w:val="24"/>
        </w:rPr>
        <w:t>). The Plan is intended to recognize the valuable services provided to the Company by its employees and is intended to result in a positive scenario for both Eligible Executives and the Company, where the Eligible Executives will remain incentivized to transfer knowledge and contacts, and assist in long-term organizational success following their Retirement (as defined below), while the Company will benefit from a smooth, minimally disruptive transition.</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u w:val="single"/>
        </w:rPr>
        <w:t>Definitions</w:t>
      </w:r>
      <w:r>
        <w:rPr>
          <w:rFonts w:ascii="Times New Roman;serif" w:hAnsi="Times New Roman;serif"/>
          <w:b w:val="false"/>
          <w:color w:val="000000"/>
          <w:sz w:val="24"/>
        </w:rPr>
        <w:t>. For purposes of the Plan, the following terms shall have the respective meanings set forth below:</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val="false"/>
          <w:i/>
          <w:color w:val="000000"/>
          <w:sz w:val="24"/>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val="false"/>
          <w:i/>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 xml:space="preserve"> “</w:t>
      </w:r>
      <w:r>
        <w:rPr>
          <w:rFonts w:ascii="Times New Roman;serif" w:hAnsi="Times New Roman;serif"/>
          <w:b w:val="false"/>
          <w:i/>
          <w:color w:val="000000"/>
          <w:sz w:val="24"/>
        </w:rPr>
        <w:t>Cause</w:t>
      </w:r>
      <w:r>
        <w:rPr>
          <w:color w:val="000000"/>
        </w:rPr>
        <w:t xml:space="preserve">” </w:t>
      </w:r>
      <w:r>
        <w:rPr>
          <w:rFonts w:ascii="Times New Roman;serif" w:hAnsi="Times New Roman;serif"/>
          <w:b w:val="false"/>
          <w:color w:val="000000"/>
          <w:sz w:val="24"/>
        </w:rPr>
        <w:t xml:space="preserve">has the meaning set forth in the applicable Executive Employment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val="false"/>
          <w:i/>
          <w:color w:val="000000"/>
          <w:sz w:val="24"/>
        </w:rPr>
        <w:t>COBRA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color w:val="000000"/>
        </w:rPr>
        <w:t>“</w:t>
      </w:r>
      <w:r>
        <w:rPr>
          <w:rFonts w:ascii="Times New Roman;serif" w:hAnsi="Times New Roman;serif"/>
          <w:b w:val="false"/>
          <w:i/>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color w:val="000000"/>
        </w:rPr>
        <w:t>“</w:t>
      </w:r>
      <w:r>
        <w:rPr>
          <w:rFonts w:ascii="Times New Roman;serif" w:hAnsi="Times New Roman;serif"/>
          <w:b w:val="false"/>
          <w:i/>
          <w:color w:val="000000"/>
          <w:sz w:val="24"/>
        </w:rPr>
        <w:t>Committee</w:t>
      </w:r>
      <w:r>
        <w:rPr>
          <w:color w:val="000000"/>
        </w:rPr>
        <w:t xml:space="preserve">” </w:t>
      </w:r>
      <w:r>
        <w:rPr>
          <w:rFonts w:ascii="Times New Roman;serif" w:hAnsi="Times New Roman;serif"/>
          <w:b w:val="false"/>
          <w:color w:val="000000"/>
          <w:sz w:val="24"/>
        </w:rPr>
        <w:t>means the Compensation Committee of the Board or such other committee duly authorized by the Board to administer the Plan. If no committee is duly authorized by the Board to administer the Plan, the term “Committee” shall be deemed to refer to the Board for all purposes under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val="false"/>
          <w:i/>
          <w:color w:val="000000"/>
          <w:sz w:val="24"/>
        </w:rPr>
        <w:t>Company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val="false"/>
          <w:i/>
          <w:color w:val="000000"/>
          <w:sz w:val="24"/>
        </w:rPr>
        <w:t>Company Group</w:t>
      </w:r>
      <w:r>
        <w:rPr>
          <w:color w:val="000000"/>
        </w:rPr>
        <w:t xml:space="preserve">” </w:t>
      </w:r>
      <w:r>
        <w:rPr>
          <w:rFonts w:ascii="Times New Roman;serif" w:hAnsi="Times New Roman;serif"/>
          <w:b w:val="false"/>
          <w:color w:val="000000"/>
          <w:sz w:val="24"/>
        </w:rPr>
        <w:t>means the Company and each of its direct and indirect past, present and future Subsidiaries and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val="false"/>
          <w:i/>
          <w:color w:val="000000"/>
          <w:sz w:val="24"/>
        </w:rPr>
        <w:t>Date of Retirement</w:t>
      </w:r>
      <w:r>
        <w:rPr>
          <w:color w:val="000000"/>
        </w:rPr>
        <w:t xml:space="preserve">” </w:t>
      </w:r>
      <w:r>
        <w:rPr>
          <w:rFonts w:ascii="Times New Roman;serif" w:hAnsi="Times New Roman;serif"/>
          <w:b w:val="false"/>
          <w:color w:val="000000"/>
          <w:sz w:val="24"/>
        </w:rPr>
        <w:t>means the effective date of an Eligible Executive’s Retirement from the Company and its Affiliates, as applicable, such that the Eligible Executive is no longer employed by any member of the Company Group.</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val="false"/>
          <w:i/>
          <w:color w:val="000000"/>
          <w:sz w:val="24"/>
        </w:rPr>
        <w:t>Effective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color w:val="000000"/>
        </w:rPr>
        <w:t>“</w:t>
      </w:r>
      <w:r>
        <w:rPr>
          <w:rFonts w:ascii="Times New Roman;serif" w:hAnsi="Times New Roman;serif"/>
          <w:b w:val="false"/>
          <w:i/>
          <w:color w:val="000000"/>
          <w:sz w:val="24"/>
        </w:rPr>
        <w:t>Eligible Executive</w:t>
      </w:r>
      <w:r>
        <w:rPr>
          <w:color w:val="000000"/>
        </w:rPr>
        <w:t xml:space="preserve">” </w:t>
      </w:r>
      <w:r>
        <w:rPr>
          <w:rFonts w:ascii="Times New Roman;serif" w:hAnsi="Times New Roman;serif"/>
          <w:b w:val="false"/>
          <w:color w:val="000000"/>
          <w:sz w:val="24"/>
        </w:rPr>
        <w:t xml:space="preserve">means any employee of any member of the Company Group who is designated by the Committee as an “Eligible Executive” who is eligible to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13360"/>
                <wp:effectExtent l="0" t="0" r="0" b="0"/>
                <wp:wrapNone/>
                <wp:docPr id="55" name="Frame5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participate in the Plan. Eligible Executives shall be limited to a select group of management or highly compensated employees within the meaning of Sections 201, 301 and 401 of ERISA.</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color w:val="000000"/>
        </w:rPr>
        <w:t>“</w:t>
      </w:r>
      <w:r>
        <w:rPr>
          <w:rFonts w:ascii="Times New Roman;serif" w:hAnsi="Times New Roman;serif"/>
          <w:b w:val="false"/>
          <w:i/>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color w:val="000000"/>
        </w:rPr>
        <w:t>“</w:t>
      </w:r>
      <w:r>
        <w:rPr>
          <w:rFonts w:ascii="Times New Roman;serif" w:hAnsi="Times New Roman;serif"/>
          <w:b w:val="false"/>
          <w:i/>
          <w:color w:val="000000"/>
          <w:sz w:val="24"/>
        </w:rPr>
        <w:t>Executive Employment Agreement</w:t>
      </w:r>
      <w:r>
        <w:rPr>
          <w:color w:val="000000"/>
        </w:rPr>
        <w:t xml:space="preserve">” </w:t>
      </w:r>
      <w:r>
        <w:rPr>
          <w:rFonts w:ascii="Times New Roman;serif" w:hAnsi="Times New Roman;serif"/>
          <w:b w:val="false"/>
          <w:color w:val="000000"/>
          <w:sz w:val="24"/>
        </w:rPr>
        <w:t>means, with respect to an Eligible Executive, any employment agreement entered into between such Eligible Executive and a member of the Company Group, in effect as of such Eligible Executive’s Date of Retirement; provided, that if no such agreement is in effect as of such date, “Executive Employment Agreement” shall instead refer to the most recent Executive Employment Agreement (if any) entered into by and between such Eligible Executive and a member of the Company Group.</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color w:val="000000"/>
        </w:rPr>
        <w:t>“</w:t>
      </w:r>
      <w:r>
        <w:rPr>
          <w:rFonts w:ascii="Times New Roman;serif" w:hAnsi="Times New Roman;serif"/>
          <w:b w:val="false"/>
          <w:i/>
          <w:color w:val="000000"/>
          <w:sz w:val="24"/>
        </w:rPr>
        <w:t xml:space="preserve">Notice Period”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color w:val="000000"/>
        </w:rPr>
        <w:t>“</w:t>
      </w:r>
      <w:r>
        <w:rPr>
          <w:rFonts w:ascii="Times New Roman;serif" w:hAnsi="Times New Roman;serif"/>
          <w:b w:val="false"/>
          <w:i/>
          <w:color w:val="000000"/>
          <w:sz w:val="24"/>
        </w:rPr>
        <w:t>Plan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color w:val="000000"/>
        </w:rPr>
        <w:t>“</w:t>
      </w:r>
      <w:r>
        <w:rPr>
          <w:rFonts w:ascii="Times New Roman;serif" w:hAnsi="Times New Roman;serif"/>
          <w:b w:val="false"/>
          <w:i/>
          <w:color w:val="000000"/>
          <w:sz w:val="24"/>
        </w:rPr>
        <w:t>Post-Employment Consulting Period</w:t>
      </w:r>
      <w:r>
        <w:rPr>
          <w:color w:val="000000"/>
        </w:rPr>
        <w:t xml:space="preserve">” </w:t>
      </w:r>
      <w:r>
        <w:rPr>
          <w:rFonts w:ascii="Times New Roman;serif" w:hAnsi="Times New Roman;serif"/>
          <w:b w:val="false"/>
          <w:color w:val="000000"/>
          <w:sz w:val="24"/>
        </w:rPr>
        <w:t xml:space="preserve">means the period following the Date of Retirement for which the Eligible Executive has agreed to provide consulting services to the Company pursuant to a consulting agreement that has been approved by the Committee.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color w:val="000000"/>
        </w:rPr>
        <w:t>“</w:t>
      </w:r>
      <w:r>
        <w:rPr>
          <w:rFonts w:ascii="Times New Roman;serif" w:hAnsi="Times New Roman;serif"/>
          <w:b w:val="false"/>
          <w:i/>
          <w:color w:val="000000"/>
          <w:sz w:val="24"/>
        </w:rPr>
        <w:t>Release Requirement</w:t>
      </w:r>
      <w:r>
        <w:rPr>
          <w:color w:val="000000"/>
        </w:rPr>
        <w:t xml:space="preserve">” </w:t>
      </w:r>
      <w:r>
        <w:rPr>
          <w:rFonts w:ascii="Times New Roman;serif" w:hAnsi="Times New Roman;serif"/>
          <w:b w:val="false"/>
          <w:color w:val="000000"/>
          <w:sz w:val="24"/>
        </w:rPr>
        <w:t>means the requirement that an Eligible Executive execute and deliver to the Company a customary general release of claims, in a form acceptable to the Company, on or prior to the date that is twenty-one (21) days following the date upon which the Company delivers the release to the Eligible Executive (which shall occur no later than ten (10) business days following the Date of Retirement). Notwithstanding the foregoing or any other provision in the Plan to the contrary, the Release Requirement shall not be considered satisfied if the release described in the preceding sentence is revoked by the Eligible Executive within any time provided by the Company for such revocation.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color w:val="000000"/>
        </w:rPr>
        <w:t xml:space="preserve"> “</w:t>
      </w:r>
      <w:r>
        <w:rPr>
          <w:rFonts w:ascii="Times New Roman;serif" w:hAnsi="Times New Roman;serif"/>
          <w:b w:val="false"/>
          <w:i/>
          <w:color w:val="000000"/>
          <w:sz w:val="24"/>
        </w:rPr>
        <w:t>Restricted Period</w:t>
      </w:r>
      <w:r>
        <w:rPr>
          <w:color w:val="000000"/>
        </w:rPr>
        <w:t xml:space="preserve">” </w:t>
      </w:r>
      <w:r>
        <w:rPr>
          <w:rFonts w:ascii="Times New Roman;serif" w:hAnsi="Times New Roman;serif"/>
          <w:b w:val="false"/>
          <w:color w:val="000000"/>
          <w:sz w:val="24"/>
        </w:rPr>
        <w:t>means the period ending on the latest to occur of: (i) the last day of the Post-Employment Consulting Period, (ii) the date that is twelve (12) months following the Eligible Executive’s Date of Retirement, and (iii) the last day of the Vesting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color w:val="000000"/>
        </w:rPr>
        <w:t>“</w:t>
      </w:r>
      <w:r>
        <w:rPr>
          <w:rFonts w:ascii="Times New Roman;serif" w:hAnsi="Times New Roman;serif"/>
          <w:b w:val="false"/>
          <w:i/>
          <w:color w:val="000000"/>
          <w:sz w:val="24"/>
        </w:rPr>
        <w:t>Restrictive Covenants</w:t>
      </w:r>
      <w:r>
        <w:rPr>
          <w:color w:val="000000"/>
        </w:rPr>
        <w:t xml:space="preserve">” </w:t>
      </w:r>
      <w:r>
        <w:rPr>
          <w:rFonts w:ascii="Times New Roman;serif" w:hAnsi="Times New Roman;serif"/>
          <w:b w:val="false"/>
          <w:color w:val="000000"/>
          <w:sz w:val="24"/>
        </w:rPr>
        <w:t xml:space="preserve">means, with respect to an Eligible Executive, the non-disparagement covenant set forth in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hereof and any other restrictive covenants contained in the applicable Executive Employment Agreement and any other written agreement by and between such Eligible Executive and a member of the Company Group, collectively; provided, that, notwithstanding anything to the contrary set forth in any such agreement, the relevant duration of any non-perpetual Restrictive Covenant shall be the Restricted Period.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color w:val="000000"/>
        </w:rPr>
        <w:t>“</w:t>
      </w:r>
      <w:r>
        <w:rPr>
          <w:rFonts w:ascii="Times New Roman;serif" w:hAnsi="Times New Roman;serif"/>
          <w:b w:val="false"/>
          <w:i/>
          <w:color w:val="000000"/>
          <w:sz w:val="24"/>
        </w:rPr>
        <w:t>Retirement</w:t>
      </w:r>
      <w:r>
        <w:rPr>
          <w:color w:val="000000"/>
        </w:rPr>
        <w:t xml:space="preserve">” </w:t>
      </w:r>
      <w:r>
        <w:rPr>
          <w:rFonts w:ascii="Times New Roman;serif" w:hAnsi="Times New Roman;serif"/>
          <w:b w:val="false"/>
          <w:color w:val="000000"/>
          <w:sz w:val="24"/>
        </w:rPr>
        <w:t xml:space="preserve">means a voluntary resignation by an Eligible Executive at the end of the Notice Period where the sum of the Eligible Executive’s age, continuous service with the Company and the Post-Employment Consulting Period, equals or exceeds sixty (60), provided that if an Eligible Executive is entitled to severance benefits from the Company as a result of such Eligible Executive’s termination of employment, such Eligible Executive’s resignation shall not be considered a Retirement.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color w:val="000000"/>
        </w:rPr>
        <w:t>“</w:t>
      </w:r>
      <w:r>
        <w:rPr>
          <w:rFonts w:ascii="Times New Roman;serif" w:hAnsi="Times New Roman;serif"/>
          <w:b w:val="false"/>
          <w:i/>
          <w:color w:val="000000"/>
          <w:sz w:val="24"/>
        </w:rPr>
        <w:t>Retirement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color w:val="000000"/>
        </w:rPr>
        <w:t>“</w:t>
      </w:r>
      <w:r>
        <w:rPr>
          <w:rFonts w:ascii="Times New Roman;serif" w:hAnsi="Times New Roman;serif"/>
          <w:b w:val="false"/>
          <w:i/>
          <w:color w:val="000000"/>
          <w:sz w:val="24"/>
        </w:rPr>
        <w:t>Section 409A</w:t>
      </w:r>
      <w:r>
        <w:rPr>
          <w:color w:val="000000"/>
        </w:rPr>
        <w:t xml:space="preserve">” </w:t>
      </w:r>
      <w:r>
        <w:rPr>
          <w:rFonts w:ascii="Times New Roman;serif" w:hAnsi="Times New Roman;serif"/>
          <w:b w:val="false"/>
          <w:color w:val="000000"/>
          <w:sz w:val="24"/>
        </w:rPr>
        <w:t>means Section 409A of the Code and the Department of Treasury regulations and other interpretive guidance issued thereunder, including any such regulations or guidance that may be amended or issued after the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color w:val="000000"/>
        </w:rPr>
        <w:t>“</w:t>
      </w:r>
      <w:r>
        <w:rPr>
          <w:rFonts w:ascii="Times New Roman;serif" w:hAnsi="Times New Roman;serif"/>
          <w:b w:val="false"/>
          <w:i/>
          <w:color w:val="000000"/>
          <w:sz w:val="24"/>
        </w:rPr>
        <w:t>Section 409A Payment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10(h)</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means any subsidiary corporation of the Company within the meaning of Section 424(f)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color w:val="000000"/>
        </w:rPr>
        <w:t>“</w:t>
      </w:r>
      <w:r>
        <w:rPr>
          <w:rFonts w:ascii="Times New Roman;serif" w:hAnsi="Times New Roman;serif"/>
          <w:b w:val="false"/>
          <w:i/>
          <w:color w:val="000000"/>
          <w:sz w:val="24"/>
        </w:rPr>
        <w:t>Vesting Period</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Section 6(a)(i)(B)</w:t>
      </w:r>
      <w:r>
        <w:rPr>
          <w:color w:val="000000"/>
        </w:rPr>
        <w:t xml:space="preserve"> </w:t>
      </w:r>
      <w:r>
        <w:rPr>
          <w:rFonts w:ascii="Times New Roman;serif" w:hAnsi="Times New Roman;serif"/>
          <w:b w:val="false"/>
          <w:color w:val="000000"/>
          <w:sz w:val="24"/>
        </w:rPr>
        <w:t xml:space="preserve">hereof, the period following the Date of Retirement during which the Eligible Executive’s equity incentive awards remain outstanding and eligible to vest in accordance with </w:t>
      </w:r>
      <w:r>
        <w:rPr>
          <w:rFonts w:ascii="Times New Roman;serif" w:hAnsi="Times New Roman;serif"/>
          <w:b w:val="false"/>
          <w:color w:val="000000"/>
          <w:sz w:val="24"/>
          <w:u w:val="single"/>
        </w:rPr>
        <w:t>Section 6(a)(i)(A)</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the Plan, in the event that an Eligible Executive and a member of the Company Group are party to an Executive Employment Agreement that contains a different definition of any of the defined terms in this Section 2, the definition set forth in such other agreement shall be applicable to such Eligible Executive for purposes of the Plan and not the definition included in this Section 2.</w: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u w:val="single"/>
        </w:rPr>
        <w:t>Administration of the Plan</w:t>
      </w:r>
      <w:r>
        <w:rPr>
          <w:rFonts w:ascii="Times New Roman;serif" w:hAnsi="Times New Roman;serif"/>
          <w:b w:val="false"/>
          <w:color w:val="000000"/>
          <w:sz w:val="24"/>
        </w:rPr>
        <w:t>. The Committee shall be responsible for the management and control of the operation and the administration of the Plan, including interpretation of the Plan, decisions pertaining to eligibility to participate in the Plan, computation of retirement benefits, granting or denial of retirement benefit claims and review of claims denials. The Committee has absolute discretion in the exercise of its powers and responsibilities. For this purpose, the Committee’s powers shall include the following authority, in addition to all other powers provided by the Plan: (a) to make and enforce such rules and regulations as it deems necessary or proper for the efficient administration of the Plan; (b) to interpret the Plan, with the Committee’s interpretation thereof to be final and conclusive on all persons claiming benefits under the Plan; (c) to decide all questions concerning the Plan and the eligibility of any person to participate in the Plan; (d) to make a determination as to the right of any person to a benefit under the Plan; (e) to appoint such agents, counsel, accountants, consultants, claims administrator and other persons as may be required to assist in administering the Plan; (f) to allocate and delegate its responsibilities under the Plan and to designate other persons to carry out any of its responsibilities under the Plan, any such allocation, delegation or designation to be in writing; (g) to sue or cause suit to be brought in the name of the Plan; and (h) to obtain from the Company, its Affiliates and from Eligible Executives such information as is necessary for the proper administration of the Plan.</w:t>
      </w:r>
    </w:p>
    <w:p>
      <w:pPr>
        <w:pStyle w:val="TextBody"/>
        <w:bidi w:val="0"/>
        <w:spacing w:lineRule="auto" w:line="240"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u w:val="single"/>
        </w:rPr>
        <w:t>Eligibility</w:t>
      </w:r>
      <w:r>
        <w:rPr>
          <w:rFonts w:ascii="Times New Roman;serif" w:hAnsi="Times New Roman;serif"/>
          <w:b w:val="false"/>
          <w:color w:val="000000"/>
          <w:sz w:val="24"/>
        </w:rPr>
        <w:t xml:space="preserve">. Only individuals who are designated as Eligible Executives may participate in the Plan. The Committee has full and absolute discretion to determine and select which employees of the Company and its Affiliates are Eligible Executives. Once an employee has been designated as an Eligible Executive, such individual shall automatically continue to be an Eligible Executive until the Eligible Executive ceases to be an employee or is removed as an Eligible Executive by the Committee in accordance with </w:t>
      </w:r>
      <w:r>
        <w:rPr>
          <w:rFonts w:ascii="Times New Roman;serif" w:hAnsi="Times New Roman;serif"/>
          <w:b w:val="false"/>
          <w:color w:val="000000"/>
          <w:sz w:val="24"/>
          <w:u w:val="single"/>
        </w:rPr>
        <w:t>Section 10(c)</w:t>
      </w:r>
      <w:r>
        <w:rPr>
          <w:rFonts w:ascii="Times New Roman;serif" w:hAnsi="Times New Roman;serif"/>
          <w:b w:val="false"/>
          <w:color w:val="000000"/>
          <w:sz w:val="24"/>
        </w:rPr>
        <w:t xml:space="preserve">. Other than with respect to any applicable Executive Employment Agreement, the Plan shall supersede all prior agreements, practices, policies, procedures and plans relating to retirement benefits from all members of the Company Group with respect to the Eligible Executives. </w:t>
      </w:r>
    </w:p>
    <w:p>
      <w:pPr>
        <w:pStyle w:val="TextBody"/>
        <w:bidi w:val="0"/>
        <w:spacing w:lineRule="auto" w:line="240"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u w:val="single"/>
        </w:rPr>
        <w:t>Notice Period</w:t>
      </w:r>
      <w:r>
        <w:rPr>
          <w:rFonts w:ascii="Times New Roman;serif" w:hAnsi="Times New Roman;serif"/>
          <w:b w:val="false"/>
          <w:color w:val="000000"/>
          <w:sz w:val="24"/>
        </w:rPr>
        <w:t>. To provide the Company with sufficient time to plan for internal vacancies created from a retirement, Eligible Executives shall provide the Committee with a written notice of intent to retire (the “</w:t>
      </w:r>
      <w:r>
        <w:rPr>
          <w:rFonts w:ascii="Times New Roman;serif" w:hAnsi="Times New Roman;serif"/>
          <w:b w:val="false"/>
          <w:i/>
          <w:color w:val="000000"/>
          <w:sz w:val="24"/>
        </w:rPr>
        <w:t>Retirement Notice</w:t>
      </w:r>
      <w:r>
        <w:rPr>
          <w:color w:val="000000"/>
        </w:rPr>
        <w:t>”</w:t>
      </w:r>
      <w:r>
        <w:rPr>
          <w:rFonts w:ascii="Times New Roman;serif" w:hAnsi="Times New Roman;serif"/>
          <w:b w:val="false"/>
          <w:color w:val="000000"/>
          <w:sz w:val="24"/>
        </w:rPr>
        <w:t xml:space="preserve">) three (3) months before the Eligible Executive’s intended Date of Retirement (or such shorter period as determined by the Committee in its sole discretion, the </w:t>
      </w:r>
      <w:r>
        <w:rPr>
          <w:color w:val="000000"/>
        </w:rPr>
        <w:t>“</w:t>
      </w:r>
      <w:r>
        <w:rPr>
          <w:rFonts w:ascii="Times New Roman;serif" w:hAnsi="Times New Roman;serif"/>
          <w:b w:val="false"/>
          <w:i/>
          <w:color w:val="000000"/>
          <w:sz w:val="24"/>
        </w:rPr>
        <w:t>Notice Period”</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u w:val="single"/>
        </w:rPr>
        <w:t>Plan Benefits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Retirement</w:t>
      </w:r>
      <w:r>
        <w:rPr>
          <w:rFonts w:ascii="Times New Roman;serif" w:hAnsi="Times New Roman;serif"/>
          <w:b w:val="false"/>
          <w:color w:val="000000"/>
          <w:sz w:val="24"/>
        </w:rPr>
        <w:t xml:space="preserve">. In the event an Eligible Executive’s employment with any member of the Company Group ends due to the Eligible Executive’s Retirement, such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Executive shall be entitled to receive the following benefits, provided that such Eligible Executive (A) remains an employee in good standing through the Notice Period, (B) satisfies the Release Requirement, (C) acknowledges that the transition of duties and responsibilities set forth in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shall not constitute “good reason” as defined in the Eligible Executive’s Executive Employment Agreement and (D) abides by the terms of the Restrictive Covenants in all material respects: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u w:val="single"/>
        </w:rPr>
        <w:t>Equity Incentive Awards</w:t>
      </w:r>
      <w:r>
        <w:rPr>
          <w:rFonts w:ascii="Times New Roman;serif" w:hAnsi="Times New Roman;serif"/>
          <w:b w:val="false"/>
          <w:color w:val="000000"/>
          <w:sz w:val="24"/>
        </w:rPr>
        <w:t xml:space="preserve">. </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rPr>
        <w:t>(A)    All outstanding equity incentive awards held by the Eligible Executive on the Date of Retirement shall remain outstanding and shall continue to vest in accordance with the terms of the award agreement applicable to such equity incentive award as if the Eligible Executive was still employed by the Company Group.</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(B)    Notwithstanding anything to the contrary set forth in the Plan, the applicable Executive Employment Agreement or the applicable award agreement, the Eligible Executive may elect to deliver written notice to the Company expressly disavowing the continued vesting benefits set forth in </w:t>
      </w:r>
      <w:r>
        <w:rPr>
          <w:rFonts w:ascii="Times New Roman;serif" w:hAnsi="Times New Roman;serif"/>
          <w:b w:val="false"/>
          <w:color w:val="000000"/>
          <w:sz w:val="24"/>
          <w:u w:val="single"/>
        </w:rPr>
        <w:t>Section 6(a)(i)(A)</w:t>
      </w:r>
      <w:r>
        <w:rPr>
          <w:color w:val="000000"/>
        </w:rPr>
        <w:t xml:space="preserve"> </w:t>
      </w:r>
      <w:r>
        <w:rPr>
          <w:rFonts w:ascii="Times New Roman;serif" w:hAnsi="Times New Roman;serif"/>
          <w:b w:val="false"/>
          <w:color w:val="000000"/>
          <w:sz w:val="24"/>
        </w:rPr>
        <w:t>hereof, and upon the Company’s receipt of such notice the Vesting Period shall be deemed to have automatically expired as of the date of delivery of such notice (and, for the avoidance of doubt, effective as of such delivery date, all of the Eligible Executive’s outstanding equity incentive awards that remain unvested as of such date shall be immediately and automatically forfeited for no consideration therefor).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u w:val="single"/>
        </w:rPr>
        <w:t>Retirement Cash Payment</w:t>
      </w:r>
      <w:r>
        <w:rPr>
          <w:rFonts w:ascii="Times New Roman;serif" w:hAnsi="Times New Roman;serif"/>
          <w:b w:val="false"/>
          <w:color w:val="000000"/>
          <w:sz w:val="24"/>
        </w:rPr>
        <w:t>. The Company shall pay the Eligible Executive a total amount equal to a pro-rata portion of the cash bonus the Eligible Executive earned during the fiscal year proceeding the year in which the Date of Retirement occurs (pro-rated based on the number of days the Eligible Executive was employed by the Company Group in the year the Date of Retirement occurs).</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Continuation of Executive Health</w:t>
      </w:r>
      <w:r>
        <w:rPr>
          <w:rFonts w:ascii="Times New Roman;serif" w:hAnsi="Times New Roman;serif"/>
          <w:b w:val="false"/>
          <w:color w:val="000000"/>
          <w:sz w:val="24"/>
        </w:rPr>
        <w:t>. To the extent that the Eligible Executive is enrolled under the Company’s group health plan at the time of the Eligible Executive’s Retirement, the Eligible Executive shall be entitled to elect to continue health benefits coverage under Sections 601 through 607 of the Employee Retirement Income Security Act of 1974, as amended or similar state laws (“</w:t>
      </w:r>
      <w:r>
        <w:rPr>
          <w:rFonts w:ascii="Times New Roman;serif" w:hAnsi="Times New Roman;serif"/>
          <w:b w:val="false"/>
          <w:i/>
          <w:color w:val="000000"/>
          <w:sz w:val="24"/>
        </w:rPr>
        <w:t>COBRA</w:t>
      </w:r>
      <w:r>
        <w:rPr>
          <w:color w:val="000000"/>
        </w:rPr>
        <w:t>”</w:t>
      </w:r>
      <w:r>
        <w:rPr>
          <w:rFonts w:ascii="Times New Roman;serif" w:hAnsi="Times New Roman;serif"/>
          <w:b w:val="false"/>
          <w:color w:val="000000"/>
          <w:sz w:val="24"/>
        </w:rPr>
        <w:t xml:space="preserve">). During the first eighteen (18) months following the Eligible Executive’s Retirement, assuming that the Eligible Executive has timely enrolled under COBRA, the Company shall pay the full COBRA monthly premiums for the Eligible Executive (and, if applicable, the Eligible Executive’s spouse’s and dependent’s) and the Company shall further reimburse the Eligible Executive for any medical expenses incurred by the Eligible Executive or, if applicable, the Eligible Executive’s dependents, that are not covered by COBRA but would have been subject to reimbursement under the Company’s senior executive health program. If the Eligible Executive has remained covered under the Company’s group health coverage through the end of the initial eighteen (18) month COBRA period, then for the remainder of the Restricted Period (if any), the Company will maintain coverage for Consultant under the Company’s senior executive health program. Notwithstanding anything in this </w:t>
      </w:r>
      <w:r>
        <w:rPr>
          <w:rFonts w:ascii="Times New Roman;serif" w:hAnsi="Times New Roman;serif"/>
          <w:b w:val="false"/>
          <w:color w:val="000000"/>
          <w:sz w:val="24"/>
          <w:u w:val="single"/>
        </w:rPr>
        <w:t>Section 6(a)(iii)</w:t>
      </w:r>
      <w:r>
        <w:rPr>
          <w:color w:val="000000"/>
        </w:rPr>
        <w:t xml:space="preserve"> </w:t>
      </w:r>
      <w:r>
        <w:rPr>
          <w:rFonts w:ascii="Times New Roman;serif" w:hAnsi="Times New Roman;serif"/>
          <w:b w:val="false"/>
          <w:color w:val="000000"/>
          <w:sz w:val="24"/>
        </w:rPr>
        <w:t xml:space="preserve">to the contrary, the health benefits and/or reimbursement in lieu thereof provided under this </w:t>
      </w:r>
      <w:r>
        <w:rPr>
          <w:rFonts w:ascii="Times New Roman;serif" w:hAnsi="Times New Roman;serif"/>
          <w:b w:val="false"/>
          <w:color w:val="000000"/>
          <w:sz w:val="24"/>
          <w:u w:val="single"/>
        </w:rPr>
        <w:t>Section 6(a)(iii)</w:t>
      </w:r>
      <w:r>
        <w:rPr>
          <w:color w:val="000000"/>
        </w:rPr>
        <w:t xml:space="preserve"> </w:t>
      </w:r>
      <w:r>
        <w:rPr>
          <w:rFonts w:ascii="Times New Roman;serif" w:hAnsi="Times New Roman;serif"/>
          <w:b w:val="false"/>
          <w:color w:val="000000"/>
          <w:sz w:val="24"/>
        </w:rPr>
        <w:t>shall cease upon the earlier of (A) the expiration of the Restricted Period, (B) the failure by the Eligible Executive to timely elect COBRA with respect to the initial eighteen (18) month COBRA period, (C) the Eligible Executive enrolling under Medicare after the date of the Eligible Executive’s Retirement or (D) if the Eligible Executive becomes employed by another employer and becomes eligible to enroll under that employer’s group health coverage.</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Transition Period</w:t>
      </w:r>
      <w:r>
        <w:rPr>
          <w:rFonts w:ascii="Times New Roman;serif" w:hAnsi="Times New Roman;serif"/>
          <w:b w:val="false"/>
          <w:color w:val="000000"/>
          <w:sz w:val="24"/>
        </w:rPr>
        <w:t xml:space="preserve">. As a condition to the receipt of the retirement benefits set forth in </w:t>
      </w:r>
      <w:r>
        <w:rPr>
          <w:rFonts w:ascii="Times New Roman;serif" w:hAnsi="Times New Roman;serif"/>
          <w:b w:val="false"/>
          <w:color w:val="000000"/>
          <w:sz w:val="24"/>
          <w:u w:val="single"/>
        </w:rPr>
        <w:t>Section 6(a)(i),</w:t>
      </w:r>
      <w:r>
        <w:rPr>
          <w:color w:val="000000"/>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during the Notice Period, an Eligible Executive will be required to devote the Eligible Executive’s full business time and best efforts to the smooth transition of the Eligible Executive’s knowledge, business contacts and relationships, and duties and responsibilities to designated Company employees. Without limiting the foregoing, during the Notice Period, the Company may transition the Eligible Executive’s duties and responsibilities, including the Eligible Executive’s title, to the Eligible Executive’s successor, which transition of duties and responsibilities shall not constitute “good reason” as defined in the Eligible Executive’s Executive Employment Agreement. The Eligible Executive’s receipt of the retirement benefits set forth in </w:t>
      </w:r>
      <w:r>
        <w:rPr>
          <w:rFonts w:ascii="Times New Roman;serif" w:hAnsi="Times New Roman;serif"/>
          <w:b w:val="false"/>
          <w:color w:val="000000"/>
          <w:sz w:val="24"/>
          <w:u w:val="single"/>
        </w:rPr>
        <w:t>Section 6(a)(i),</w:t>
      </w:r>
      <w:r>
        <w:rPr>
          <w:color w:val="000000"/>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shall be conditioned upon the Eligible Executive’s acknowledgement that the transition of duties and responsibilities set forth in this </w:t>
      </w:r>
      <w:r>
        <w:rPr>
          <w:rFonts w:ascii="Times New Roman;serif" w:hAnsi="Times New Roman;serif"/>
          <w:b w:val="false"/>
          <w:color w:val="000000"/>
          <w:sz w:val="24"/>
          <w:u w:val="single"/>
        </w:rPr>
        <w:t>Section 6(b)</w:t>
      </w:r>
      <w:r>
        <w:rPr>
          <w:color w:val="000000"/>
        </w:rPr>
        <w:t xml:space="preserve"> </w:t>
      </w:r>
      <w:r>
        <w:rPr>
          <w:rFonts w:ascii="Times New Roman;serif" w:hAnsi="Times New Roman;serif"/>
          <w:b w:val="false"/>
          <w:color w:val="000000"/>
          <w:sz w:val="24"/>
        </w:rPr>
        <w:t>shall not constitute “good reason” as defined in the Eligible Executive’s Executive Employment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Post-Employment Consulting Agreement</w:t>
      </w:r>
      <w:r>
        <w:rPr>
          <w:rFonts w:ascii="Times New Roman;serif" w:hAnsi="Times New Roman;serif"/>
          <w:b w:val="false"/>
          <w:color w:val="000000"/>
          <w:sz w:val="24"/>
        </w:rPr>
        <w:t xml:space="preserve">. The Company shall enter into a Post-Employment Consulting Agreement with the Eligible Executive without additional compensation, except the retirement benefits set forth in </w:t>
      </w:r>
      <w:r>
        <w:rPr>
          <w:rFonts w:ascii="Times New Roman;serif" w:hAnsi="Times New Roman;serif"/>
          <w:b w:val="false"/>
          <w:color w:val="000000"/>
          <w:sz w:val="24"/>
          <w:u w:val="single"/>
        </w:rPr>
        <w:t>Section 6(a)(i)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to assist in facilitating the successful transition of responsibilities, for a period of no more than eighteen (18) months, unless the Company no longer requires such services and terminates the Post-Employment Consulting Agreement prior to such date. The Post-Employment Consulting Agreement will provide that the Eligible Executive shall be reasonably available to the Chief Executive Officer on a non-exclusive basis not to exceed fifteen (15) hours per calendar month from a location of the Eligible Executive’s choosing. Notwithstanding the foregoing or anything to the contrary set forth herein, in the event that the Company terminates such Eligible Executive’s Post-Employment Consulting Agreement for any reason or no reason prior to the expiration of such Eligible Executive’s Post-Employment Consulting Period, the full Post-Employment Consulting Period set forth in such Post-Employment Consulting Agreement shall be used for purposes of calculating “Retirement” in respect of such Eligible Executive. In the event the Eligible Executive voluntarily chooses to cease providing services to the Company under the Post-Employment Consulting Agreement, the Company shall be relieved of its obligations to continue the retirement benefits set forth in </w:t>
      </w:r>
      <w:r>
        <w:rPr>
          <w:rFonts w:ascii="Times New Roman;serif" w:hAnsi="Times New Roman;serif"/>
          <w:b w:val="false"/>
          <w:color w:val="000000"/>
          <w:sz w:val="24"/>
          <w:u w:val="single"/>
        </w:rPr>
        <w:t>Section 6(a)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this provision conflicts with the Eligible Executive’s Executive Employment Agreement, the language of the Executive Employment Agreement shall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 Duplication</w:t>
      </w:r>
      <w:r>
        <w:rPr>
          <w:rFonts w:ascii="Times New Roman;serif" w:hAnsi="Times New Roman;serif"/>
          <w:b w:val="false"/>
          <w:color w:val="000000"/>
          <w:sz w:val="24"/>
        </w:rPr>
        <w:t xml:space="preserve">. Except as otherwise expressly provided pursuant to the Plan, the Plan shall be construed and administered in a manner which avoids duplication of compensation and benefits which may be provided under any other plan, program, policy or other arrangement or individual contract or under any statute, rule or regulation, including, without limitation, any applicable Executive Employment Agreement. In the event an Eligible Executive is covered by any other plan, program, policy, individually negotiated agreement or other arrangement in effect as of such Eligible Executive’s Date of Retirement, including, without limitation, an Executive Employment Agreement, that may duplicate the payments and benefits provided for in </w:t>
      </w:r>
      <w:r>
        <w:rPr>
          <w:rFonts w:ascii="Times New Roman;serif" w:hAnsi="Times New Roman;serif"/>
          <w:b w:val="false"/>
          <w:color w:val="000000"/>
          <w:sz w:val="24"/>
          <w:u w:val="single"/>
        </w:rPr>
        <w:t>Section 6(a)</w:t>
      </w:r>
      <w:r>
        <w:rPr>
          <w:rFonts w:ascii="Times New Roman;serif" w:hAnsi="Times New Roman;serif"/>
          <w:b w:val="false"/>
          <w:color w:val="000000"/>
          <w:sz w:val="24"/>
        </w:rPr>
        <w:t>, the Committee shall reduce or eliminate the duplicative benefits provided for under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Repayment</w:t>
      </w:r>
      <w:r>
        <w:rPr>
          <w:rFonts w:ascii="Times New Roman;serif" w:hAnsi="Times New Roman;serif"/>
          <w:b w:val="false"/>
          <w:color w:val="000000"/>
          <w:sz w:val="24"/>
        </w:rPr>
        <w:t xml:space="preserve">. Notwithstanding any provision of the Plan to the contrary, in the event that the Company determines that an Eligible Executive is eligible to receive the retirement benefits under </w:t>
      </w:r>
      <w:r>
        <w:rPr>
          <w:rFonts w:ascii="Times New Roman;serif" w:hAnsi="Times New Roman;serif"/>
          <w:b w:val="false"/>
          <w:color w:val="000000"/>
          <w:sz w:val="24"/>
          <w:u w:val="single"/>
        </w:rPr>
        <w:t>Section 6(a)(i),</w:t>
      </w:r>
      <w:r>
        <w:rPr>
          <w:color w:val="000000"/>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and after such determination, the Company subsequently determines that one of the following events has occurred (each, an “</w:t>
      </w:r>
      <w:r>
        <w:rPr>
          <w:rFonts w:ascii="Times New Roman;serif" w:hAnsi="Times New Roman;serif"/>
          <w:b w:val="false"/>
          <w:i/>
          <w:color w:val="000000"/>
          <w:sz w:val="24"/>
        </w:rPr>
        <w:t>Unpermitted Violation</w:t>
      </w:r>
      <w:r>
        <w:rPr>
          <w:color w:val="000000"/>
        </w:rPr>
        <w:t>”</w:t>
      </w:r>
      <w:r>
        <w:rPr>
          <w:rFonts w:ascii="Times New Roman;serif" w:hAnsi="Times New Roman;serif"/>
          <w:b w:val="false"/>
          <w:color w:val="000000"/>
          <w:sz w:val="24"/>
        </w:rPr>
        <w:t xml:space="preserve">): (i) such Eligible Executive has breached any of the Restrictive Covenants in any material respect (unless such breach was explicitly approved in writing in advance by the Compliance Committee of the Board) or (ii) a Cause condition existed prior to the Date of Retirement that the Company was not aware of but which would have given the Company the right to terminate such Eligible Executive’s employment for Cause if it had been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aware, (it being understood that if the Company was aware of the Cause condition and chose not to act, this subclause (iii) shall not apply), then, in each case, the Company shall have the right to cease the payment of the retirement benefits under </w:t>
      </w:r>
      <w:r>
        <w:rPr>
          <w:rFonts w:ascii="Times New Roman;serif" w:hAnsi="Times New Roman;serif"/>
          <w:b w:val="false"/>
          <w:color w:val="000000"/>
          <w:sz w:val="24"/>
          <w:u w:val="single"/>
        </w:rPr>
        <w:t>Section 6(a)</w:t>
      </w:r>
      <w:r>
        <w:rPr>
          <w:color w:val="000000"/>
        </w:rPr>
        <w:t xml:space="preserve"> </w:t>
      </w:r>
      <w:r>
        <w:rPr>
          <w:rFonts w:ascii="Times New Roman;serif" w:hAnsi="Times New Roman;serif"/>
          <w:b w:val="false"/>
          <w:color w:val="000000"/>
          <w:sz w:val="24"/>
        </w:rPr>
        <w:t xml:space="preserve">as of the date of such determination and such Eligible Executive shall be required to promptly repay to the Company the full amount of any retirement benefits under </w:t>
      </w:r>
      <w:r>
        <w:rPr>
          <w:rFonts w:ascii="Times New Roman;serif" w:hAnsi="Times New Roman;serif"/>
          <w:b w:val="false"/>
          <w:color w:val="000000"/>
          <w:sz w:val="24"/>
          <w:u w:val="single"/>
        </w:rPr>
        <w:t>Section 6(a)(ii)</w:t>
      </w:r>
      <w:r>
        <w:rPr>
          <w:color w:val="000000"/>
        </w:rPr>
        <w:t xml:space="preserve"> </w:t>
      </w:r>
      <w:r>
        <w:rPr>
          <w:rFonts w:ascii="Times New Roman;serif" w:hAnsi="Times New Roman;serif"/>
          <w:b w:val="false"/>
          <w:color w:val="000000"/>
          <w:sz w:val="24"/>
        </w:rPr>
        <w:t xml:space="preserve">hereof already received by such Eligible Executive within thirty (30) days of notice of such breach or determination of Cause, as applicable. In the event that the applicable Unpermitted Violation is a breach of any confidentiality or non-disparagement provision of the Restrictive Covenants, any and all amounts that were already paid out to such Eligible Executive due to the exercise or settlement of any equity awards that were permitted to vest or remain outstanding pursuant to </w:t>
      </w:r>
      <w:r>
        <w:rPr>
          <w:rFonts w:ascii="Times New Roman;serif" w:hAnsi="Times New Roman;serif"/>
          <w:b w:val="false"/>
          <w:color w:val="000000"/>
          <w:sz w:val="24"/>
          <w:u w:val="single"/>
        </w:rPr>
        <w:t>Section 6(a)(i)(A)</w:t>
      </w:r>
      <w:r>
        <w:rPr>
          <w:color w:val="000000"/>
        </w:rPr>
        <w:t xml:space="preserve"> </w:t>
      </w:r>
      <w:r>
        <w:rPr>
          <w:rFonts w:ascii="Times New Roman;serif" w:hAnsi="Times New Roman;serif"/>
          <w:b w:val="false"/>
          <w:color w:val="000000"/>
          <w:sz w:val="24"/>
        </w:rPr>
        <w:t xml:space="preserve">hereof shall be promptly repaid to the Company by such Eligible Executive within thirty (30) days of notice of such breach or determination of Cause, as applicable, and the Company will cancel without consideration any such equity awards that remain outstanding. In the event of any other Unpermitted Violation, such Eligible Executive will be required to promptly repay any amounts that were already paid out to such Eligible Executive due to the exercise or settlement of any equity awards that were permitted to vest or remain outstanding pursuant to </w:t>
      </w:r>
      <w:r>
        <w:rPr>
          <w:rFonts w:ascii="Times New Roman;serif" w:hAnsi="Times New Roman;serif"/>
          <w:b w:val="false"/>
          <w:color w:val="000000"/>
          <w:sz w:val="24"/>
          <w:u w:val="single"/>
        </w:rPr>
        <w:t>Section 6(a)(i)(A)</w:t>
      </w:r>
      <w:r>
        <w:rPr>
          <w:color w:val="000000"/>
        </w:rPr>
        <w:t xml:space="preserve"> </w:t>
      </w:r>
      <w:r>
        <w:rPr>
          <w:rFonts w:ascii="Times New Roman;serif" w:hAnsi="Times New Roman;serif"/>
          <w:b w:val="false"/>
          <w:color w:val="000000"/>
          <w:sz w:val="24"/>
        </w:rPr>
        <w:t>hereof in respect of the period beginning on the date of the first occurrence of such Unpermitted Violation within thirty (30) days of notice of such breach or determination of Cause, as applicable, and the Company will cancel without consideration any such equity awards that remain outstanding as of the date of the first occurrence of such Unpermitted Violation.</w:t>
      </w:r>
    </w:p>
    <w:p>
      <w:pPr>
        <w:pStyle w:val="TextBody"/>
        <w:bidi w:val="0"/>
        <w:spacing w:lineRule="auto" w:line="240"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u w:val="single"/>
        </w:rPr>
        <w:t>Non-Disparagement</w:t>
      </w:r>
      <w:r>
        <w:rPr>
          <w:rFonts w:ascii="Times New Roman;serif" w:hAnsi="Times New Roman;serif"/>
          <w:b w:val="false"/>
          <w:color w:val="000000"/>
          <w:sz w:val="24"/>
        </w:rPr>
        <w:t>. Each Eligible Executive agrees that, during and at all times following the Eligible Executive’s employment with any member of the Company Group, the Eligible Executive will not, and will cause the Eligible Executive’s Affiliates to not, make, publish, or communicate any disparaging or defamatory comments regarding any member of the Company Group or their current or former directors, officers, members, managers, partners, executives or direct or indirect owners (including equityholders).</w:t>
      </w:r>
    </w:p>
    <w:p>
      <w:pPr>
        <w:pStyle w:val="TextBody"/>
        <w:bidi w:val="0"/>
        <w:spacing w:lineRule="auto" w:line="240"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u w:val="single"/>
        </w:rPr>
        <w:t>Claims Procedure and Review</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Filing a Claim</w:t>
      </w:r>
      <w:r>
        <w:rPr>
          <w:rFonts w:ascii="Times New Roman;serif" w:hAnsi="Times New Roman;serif"/>
          <w:b w:val="false"/>
          <w:color w:val="000000"/>
          <w:sz w:val="24"/>
        </w:rPr>
        <w:t xml:space="preserve">. Any Eligible Executive that the Committee determines is entitled to receive the retirement benefits set forth in </w:t>
      </w:r>
      <w:r>
        <w:rPr>
          <w:rFonts w:ascii="Times New Roman;serif" w:hAnsi="Times New Roman;serif"/>
          <w:b w:val="false"/>
          <w:color w:val="000000"/>
          <w:sz w:val="24"/>
          <w:u w:val="single"/>
        </w:rPr>
        <w:t>Section 6(a)(i),</w:t>
      </w:r>
      <w:r>
        <w:rPr>
          <w:color w:val="000000"/>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is not required to file a claim for benefits. Any Eligible Executive (i) who is not paid retirement benefits hereunder and who believes that such Eligible Executive is entitled to retirement benefits hereunder, (ii) who has been paid retirement benefits hereunder and believes that such Eligible Executive is entitled to greater benefits hereunder may file a claim for retirement benefits under the Plan in writing with the Committee, or (iii) who has been paid retirement benefits hereunder with respect to which the Company has sought repayment of such retirement benefits by such Eligible Executive pursuant to </w:t>
      </w:r>
      <w:r>
        <w:rPr>
          <w:rFonts w:ascii="Times New Roman;serif" w:hAnsi="Times New Roman;serif"/>
          <w:b w:val="false"/>
          <w:color w:val="000000"/>
          <w:sz w:val="24"/>
          <w:u w:val="single"/>
        </w:rPr>
        <w:t>Section 6(e)</w:t>
      </w:r>
      <w:r>
        <w:rPr>
          <w:color w:val="000000"/>
        </w:rPr>
        <w:t xml:space="preserve"> </w:t>
      </w:r>
      <w:r>
        <w:rPr>
          <w:rFonts w:ascii="Times New Roman;serif" w:hAnsi="Times New Roman;serif"/>
          <w:b w:val="false"/>
          <w:color w:val="000000"/>
          <w:sz w:val="24"/>
        </w:rPr>
        <w:t xml:space="preserve">and believes that the Company is not entitled to such repayment under </w:t>
      </w:r>
      <w:r>
        <w:rPr>
          <w:rFonts w:ascii="Times New Roman;serif" w:hAnsi="Times New Roman;serif"/>
          <w:b w:val="false"/>
          <w:color w:val="000000"/>
          <w:sz w:val="24"/>
          <w:u w:val="single"/>
        </w:rPr>
        <w:t>Section 6(e)</w:t>
      </w:r>
      <w:r>
        <w:rPr>
          <w:color w:val="000000"/>
        </w:rPr>
        <w:t xml:space="preserve"> </w:t>
      </w:r>
      <w:r>
        <w:rPr>
          <w:rFonts w:ascii="Times New Roman;serif" w:hAnsi="Times New Roman;serif"/>
          <w:b w:val="false"/>
          <w:color w:val="000000"/>
          <w:sz w:val="24"/>
        </w:rPr>
        <w:t>(each, a “</w:t>
      </w:r>
      <w:r>
        <w:rPr>
          <w:rFonts w:ascii="Times New Roman;serif" w:hAnsi="Times New Roman;serif"/>
          <w:b w:val="false"/>
          <w:i/>
          <w:color w:val="000000"/>
          <w:sz w:val="24"/>
        </w:rPr>
        <w:t>Claim</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Initial Determination of a Claim</w:t>
      </w:r>
      <w:r>
        <w:rPr>
          <w:rFonts w:ascii="Times New Roman;serif" w:hAnsi="Times New Roman;serif"/>
          <w:b w:val="false"/>
          <w:color w:val="000000"/>
          <w:sz w:val="24"/>
        </w:rPr>
        <w:t>. If a Claim is wholly or partially denied, the Committee shall, within a reasonable period of time but no later than ninety (90) days after receipt of the Claim (or one-hundred and eighty (180) days after receipt of the Claim if special circumstances require an extension of time for processing the Claim), notify the claimant of the denial. Such notice shall (i) be in writing, (ii) be written in a manner calculated to be understood by the claimant, (iii) contain the specific reason or reasons for denial of the Claim, (iv) refer specifically to the pertinent Plan provisions upon which the denial is based, (v) describe any additional material or information necessary for the claimant to perfect the Claim (and explain why such material or information is necessary), and (vi) describe the Plan’s Claim review procedures and time limits applicable to such procedures, including a statement of the claimant’s right to bring a civil action under Section 502(a) of ERISA following an adverse benefit determination on review.</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Appeal of a Denied Claim</w:t>
      </w:r>
      <w:r>
        <w:rPr>
          <w:rFonts w:ascii="Times New Roman;serif" w:hAnsi="Times New Roman;serif"/>
          <w:b w:val="false"/>
          <w:color w:val="000000"/>
          <w:sz w:val="24"/>
        </w:rPr>
        <w:t xml:space="preserve">. Within sixty (60) days of the receipt by the claimant of this notice, the claimant may file a written appeal with the Committee. In connection with the appeal, the claimant may review Plan documents and may submit written issues and comments. The Committee shall deliver to the claimant a written decision on the appeal promptly, but not later than sixty (60) days after the receipt of the claimant’s appeal (or one-hundred and twenty (120) days after receipt of the claimant’s appeal if there are special circumstances which require an extension of time for processing). Such decision shall (i) be in writing, (ii) be written in a manner calculated to be understood by the claimant, (iii) include specific reasons for the decision, (iv) refer specifically to the Plan provisions upon which the decision is based, (v) state that the claimant is entitled to receive, on request and free of charge, reasonable access to and copies of all documents, records, and other information relevant to the claimant’s Claim, and (vi) a statement of the claimant’s right to bring an action under Section 502(a) of ERISA (other than with respect to Arbitrable Claims (as defined below) subject to arbitration under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hereof). If special circumstances require an extension of up to one-hundred and eighty (180) days for an initial Claim or one-hundred and twenty (120) days for an appeal, whichever applies, the Committee shall send written notice of the extension. This notice shall indicate the special circumstances requiring the extension and state when the Committee expects to render the decision.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Compliance with ERISA</w:t>
      </w:r>
      <w:r>
        <w:rPr>
          <w:rFonts w:ascii="Times New Roman;serif" w:hAnsi="Times New Roman;serif"/>
          <w:b w:val="false"/>
          <w:color w:val="000000"/>
          <w:sz w:val="24"/>
        </w:rPr>
        <w:t xml:space="preserve">. The benefits claim procedure provided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is intended to comply with the provisions of 29 C.F.R. §2560.503-1. All provisions of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shall be interpreted, construed, and limited in accordance with such intent.</w:t>
      </w:r>
    </w:p>
    <w:p>
      <w:pPr>
        <w:pStyle w:val="TextBody"/>
        <w:bidi w:val="0"/>
        <w:spacing w:lineRule="auto" w:line="240"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Arbitration</w:t>
      </w:r>
      <w:r>
        <w:rPr>
          <w:rFonts w:ascii="Times New Roman;serif" w:hAnsi="Times New Roman;serif"/>
          <w:b w:val="false"/>
          <w:color w:val="000000"/>
          <w:sz w:val="24"/>
        </w:rPr>
        <w:t xml:space="preserve">. Solely with respect to any Claims filed by an Eligible Executive related to or arising from the (i) denial of an Eligible Executive’s retirement benefits due to the Company determining that (A) such Eligible Executive has breached any of the Restricted Covenants as described in </w:t>
      </w:r>
      <w:r>
        <w:rPr>
          <w:rFonts w:ascii="Times New Roman;serif" w:hAnsi="Times New Roman;serif"/>
          <w:b w:val="false"/>
          <w:color w:val="000000"/>
          <w:sz w:val="24"/>
          <w:u w:val="single"/>
        </w:rPr>
        <w:t>Section 6(e)(i)</w:t>
      </w:r>
      <w:r>
        <w:rPr>
          <w:color w:val="000000"/>
        </w:rPr>
        <w:t xml:space="preserve"> </w:t>
      </w:r>
      <w:r>
        <w:rPr>
          <w:rFonts w:ascii="Times New Roman;serif" w:hAnsi="Times New Roman;serif"/>
          <w:b w:val="false"/>
          <w:color w:val="000000"/>
          <w:sz w:val="24"/>
        </w:rPr>
        <w:t xml:space="preserve">or (B) a Cause condition existed as described in </w:t>
      </w:r>
      <w:r>
        <w:rPr>
          <w:rFonts w:ascii="Times New Roman;serif" w:hAnsi="Times New Roman;serif"/>
          <w:b w:val="false"/>
          <w:color w:val="000000"/>
          <w:sz w:val="24"/>
          <w:u w:val="single"/>
        </w:rPr>
        <w:t>Section 6(e)(iii)</w:t>
      </w:r>
      <w:r>
        <w:rPr>
          <w:rFonts w:ascii="Times New Roman;serif" w:hAnsi="Times New Roman;serif"/>
          <w:b w:val="false"/>
          <w:color w:val="000000"/>
          <w:sz w:val="24"/>
        </w:rPr>
        <w:t xml:space="preserve">, or (ii) cessation and/or repayment of such Eligible Executive’s retirement benefits hereunder as set forth in </w:t>
      </w:r>
      <w:r>
        <w:rPr>
          <w:rFonts w:ascii="Times New Roman;serif" w:hAnsi="Times New Roman;serif"/>
          <w:b w:val="false"/>
          <w:color w:val="000000"/>
          <w:sz w:val="24"/>
          <w:u w:val="single"/>
        </w:rPr>
        <w:t>Section 6(e)</w:t>
      </w:r>
      <w:r>
        <w:rPr>
          <w:color w:val="000000"/>
        </w:rPr>
        <w:t xml:space="preserve"> </w:t>
      </w:r>
      <w:r>
        <w:rPr>
          <w:rFonts w:ascii="Times New Roman;serif" w:hAnsi="Times New Roman;serif"/>
          <w:b w:val="false"/>
          <w:color w:val="000000"/>
          <w:sz w:val="24"/>
        </w:rPr>
        <w:t>(each, an “</w:t>
      </w:r>
      <w:r>
        <w:rPr>
          <w:rFonts w:ascii="Times New Roman;serif" w:hAnsi="Times New Roman;serif"/>
          <w:b w:val="false"/>
          <w:i/>
          <w:color w:val="000000"/>
          <w:sz w:val="24"/>
        </w:rPr>
        <w:t>Arbitrable Claim</w:t>
      </w:r>
      <w:r>
        <w:rPr>
          <w:color w:val="000000"/>
        </w:rPr>
        <w:t>”</w:t>
      </w:r>
      <w:r>
        <w:rPr>
          <w:rFonts w:ascii="Times New Roman;serif" w:hAnsi="Times New Roman;serif"/>
          <w:b w:val="false"/>
          <w:color w:val="000000"/>
          <w:sz w:val="24"/>
        </w:rPr>
        <w:t xml:space="preserve">), following such Eligible Executive’s exhaustion of the ERISA claims and appeal procedure set forth in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hereof with respect to the applicable Arbitrable Claim, to the extent that such Arbitrable Claim is not fully resolved in accordance with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hereof then such Arbitrable Claim shall be submitted to binding arbitration in accordance with the employment arbitration rules then in effect of the American Arbitration Association (“</w:t>
      </w:r>
      <w:r>
        <w:rPr>
          <w:rFonts w:ascii="Times New Roman;serif" w:hAnsi="Times New Roman;serif"/>
          <w:b w:val="false"/>
          <w:i/>
          <w:color w:val="000000"/>
          <w:sz w:val="24"/>
        </w:rPr>
        <w:t>AAA</w:t>
      </w:r>
      <w:r>
        <w:rPr>
          <w:color w:val="000000"/>
        </w:rPr>
        <w:t>”</w:t>
      </w:r>
      <w:r>
        <w:rPr>
          <w:rFonts w:ascii="Times New Roman;serif" w:hAnsi="Times New Roman;serif"/>
          <w:b w:val="false"/>
          <w:color w:val="000000"/>
          <w:sz w:val="24"/>
        </w:rPr>
        <w:t xml:space="preserve">), to the extent not inconsistent with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as set forth below, and the Federal Arbitration Act, 9 U.S.C. § 1,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 xml:space="preserve">and the Uniform Arbitration Act as adopted in Nevada Revised Statutes 38.015, </w:t>
      </w:r>
      <w:r>
        <w:rPr>
          <w:rFonts w:ascii="Times New Roman;serif" w:hAnsi="Times New Roman;serif"/>
          <w:b w:val="false"/>
          <w:i/>
          <w:color w:val="000000"/>
          <w:sz w:val="24"/>
        </w:rPr>
        <w:t xml:space="preserve">et seq. </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applies to any Arbitrable Claim such Eligible Executive might have against any officer, director, employee, or agent of the Company Group, and all successors and assigns of any of them. These arbitration provisions shall survive the termination of such Eligible Executive’s employment or service with the Company Group and the expiration of this Plan. Notwithstanding anything to the contrary set forth in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if at the time an Arbitrable Claim described in subclause (i) above would otherwise be brought by an Eligible Executive or the Company, another arbitration or proceeding is pending pursuant to the Eligible Executive’s Executive Employment Agreement or Post-Employment Consulting Agreement with respect to whether the conduct in subclause (i)(A) or (B) has occurred, then the Arbitrable Claim described in subclause (i) shall be determined in such pending proceeding.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Coverage of Arbitration Agreement</w:t>
      </w:r>
      <w:r>
        <w:rPr>
          <w:rFonts w:ascii="Times New Roman;serif" w:hAnsi="Times New Roman;serif"/>
          <w:b w:val="false"/>
          <w:color w:val="000000"/>
          <w:sz w:val="24"/>
        </w:rPr>
        <w:t xml:space="preserve">. The promises by the Company and such Eligible Executive to arbitrate differences, rather than litigate them before courts or other bodies, provide consideration for each other, in addition to other consideration provided under this Plan. The Company and such Eligible Executive contemplate by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arbitration of all Arbitrable Claims against each of them to the fullest extent permitted by law except as specifically excluded by this Plan. The Company and such Eligible Executive agree to pursue any and all Arbitrable Claims individually and waive any rights they may have to pursue said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Arbitrable Claims as part of any class action. In that regard, the Company and such Eligible Executive agree that the arbitrator shall have no authority or jurisdiction to hear class or collective Arbitrable Claims.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excludes any claims that are prohibited as a matter of law from being covered by this </w:t>
      </w:r>
      <w:r>
        <w:rPr>
          <w:rFonts w:ascii="Times New Roman;serif" w:hAnsi="Times New Roman;serif"/>
          <w:b w:val="false"/>
          <w:color w:val="000000"/>
          <w:sz w:val="24"/>
          <w:u w:val="single"/>
        </w:rPr>
        <w:t>Section 9</w:t>
      </w:r>
      <w:r>
        <w:rPr>
          <w:rFonts w:ascii="Times New Roman;serif" w:hAnsi="Times New Roman;serif"/>
          <w:b w:val="false"/>
          <w:color w:val="000000"/>
          <w:sz w:val="24"/>
        </w:rPr>
        <w:t>.</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Waiver of Rights to Pursue Claims in Court and to Jury Trial</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does not in any manner waive any rights or remedies available under applicable statutes or common law, but does, solely with respect to Arbitrable Claims, waive the Company’s and such Eligible Executive’s rights to pursue those rights and remedies in a judicial forum and waive any right to trial by jury of any Arbitrable Claims covered by </w:t>
      </w:r>
      <w:r>
        <w:rPr>
          <w:rFonts w:ascii="Times New Roman;serif" w:hAnsi="Times New Roman;serif"/>
          <w:b w:val="false"/>
          <w:color w:val="000000"/>
          <w:sz w:val="24"/>
          <w:u w:val="single"/>
        </w:rPr>
        <w:t>Section 9(a)</w:t>
      </w:r>
      <w:r>
        <w:rPr>
          <w:rFonts w:ascii="Times New Roman;serif" w:hAnsi="Times New Roman;serif"/>
          <w:b w:val="false"/>
          <w:color w:val="000000"/>
          <w:sz w:val="24"/>
        </w:rPr>
        <w:t>. The Company and such Eligible Executive voluntarily agree to arbitrate any covered Arbitrable Claims against each other. In the event of any administrative or judicial action by any agency or third party to adjudicate, on behalf of such Eligible Executive, an Arbitrable Claim, such Eligible Executive hereby waives the right to participate in any monetary or other recovery obtained by such agency or third party in any such action, and such Eligible Executive’s sole remedy with respect to any such Arbitrable Claims will be any award decreed by an arbitrator pursuant to the provisions of this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Initiation of Arbitration</w:t>
      </w:r>
      <w:r>
        <w:rPr>
          <w:rFonts w:ascii="Times New Roman;serif" w:hAnsi="Times New Roman;serif"/>
          <w:b w:val="false"/>
          <w:color w:val="000000"/>
          <w:sz w:val="24"/>
        </w:rPr>
        <w:t xml:space="preserve">. To commence arbitration of a Arbitrable Claim subject to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xml:space="preserve">, the aggrieved party must, within the time frame provided in </w:t>
      </w:r>
      <w:r>
        <w:rPr>
          <w:rFonts w:ascii="Times New Roman;serif" w:hAnsi="Times New Roman;serif"/>
          <w:b w:val="false"/>
          <w:color w:val="000000"/>
          <w:sz w:val="24"/>
          <w:u w:val="single"/>
        </w:rPr>
        <w:t>Section 9(d)</w:t>
      </w:r>
      <w:r>
        <w:rPr>
          <w:color w:val="000000"/>
        </w:rPr>
        <w:t xml:space="preserve"> </w:t>
      </w:r>
      <w:r>
        <w:rPr>
          <w:rFonts w:ascii="Times New Roman;serif" w:hAnsi="Times New Roman;serif"/>
          <w:b w:val="false"/>
          <w:color w:val="000000"/>
          <w:sz w:val="24"/>
        </w:rPr>
        <w:t xml:space="preserve">below, make written demand for arbitration and provide written notice of that demand to the other party. If an Arbitrable Claim is brought by such Eligible Executive against the Company, such notice shall be given to the Company’s Legal Department. Such written notice must identify and describe the nature of the Arbitrable Claim, the supporting facts, and the relief or remedy sought. In the event that either party files an action in any court to pursue any of the Arbitrable Claims covered by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the complaint, petition or other initial pleading commencing such court action shall be considered the demand for arbitration. In such event, the other party may move that court to compel arbitration.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Time Limit to Initiate Arbitration</w:t>
      </w:r>
      <w:r>
        <w:rPr>
          <w:rFonts w:ascii="Times New Roman;serif" w:hAnsi="Times New Roman;serif"/>
          <w:b w:val="false"/>
          <w:color w:val="000000"/>
          <w:sz w:val="24"/>
        </w:rPr>
        <w:t xml:space="preserve">. To ensure timely resolution of disputes, the Company and such Eligible Executive must initiate arbitration within the statute of limitations (deadline for filing) provided by applicable law pertaining to the Arbitrable Claim, or one (1) year following such Eligible Executive’s receipt of the Committee’s written decision on the appeal of such Arbitrable Claim in accordance with </w:t>
      </w:r>
      <w:r>
        <w:rPr>
          <w:rFonts w:ascii="Times New Roman;serif" w:hAnsi="Times New Roman;serif"/>
          <w:b w:val="false"/>
          <w:color w:val="000000"/>
          <w:sz w:val="24"/>
          <w:u w:val="single"/>
        </w:rPr>
        <w:t>Section 8(c)</w:t>
      </w:r>
      <w:r>
        <w:rPr>
          <w:color w:val="000000"/>
        </w:rPr>
        <w:t xml:space="preserve"> </w:t>
      </w:r>
      <w:r>
        <w:rPr>
          <w:rFonts w:ascii="Times New Roman;serif" w:hAnsi="Times New Roman;serif"/>
          <w:b w:val="false"/>
          <w:color w:val="000000"/>
          <w:sz w:val="24"/>
        </w:rPr>
        <w:t>hereof,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Arbitrable Claim. The parties understand that the Company and such Eligible Executive are waiving any longer statutes of limitations that would otherwise apply, and any aggrieved party is encouraged to give written notice of any Arbitrable Claim as soon as possible after the event(s) in dispute so that arbitration of any differences may take place promptly.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Arbitrator Selection</w:t>
      </w:r>
      <w:r>
        <w:rPr>
          <w:rFonts w:ascii="Times New Roman;serif" w:hAnsi="Times New Roman;serif"/>
          <w:b w:val="false"/>
          <w:color w:val="000000"/>
          <w:sz w:val="24"/>
        </w:rPr>
        <w:t xml:space="preserve">. The parties contemplate that, except as specifically set forth in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shd w:fill="FFFFFF" w:val="clear"/>
        </w:rPr>
        <w:t>Arbitration Rights and Procedures</w:t>
      </w:r>
      <w:r>
        <w:rPr>
          <w:rFonts w:ascii="Times New Roman;serif" w:hAnsi="Times New Roman;serif"/>
          <w:b w:val="false"/>
          <w:color w:val="000000"/>
          <w:sz w:val="24"/>
          <w:shd w:fill="FFFFFF" w:val="clear"/>
        </w:rPr>
        <w:t xml:space="preserve">. Such Eligible Executive may be represented by an attorney of his or her choice at his or her own expense. Any arbitration hearing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or proceeding will take place in private, not open to the public, in Clark County, Nevada. The arbitrator shall apply the substantive law (and the law of remedies, if applicable) of Nevada (without regard to its choice of law provisions) and/or federal law as applicable to the </w:t>
      </w:r>
      <w:r>
        <w:rPr>
          <w:rFonts w:ascii="Times New Roman;serif" w:hAnsi="Times New Roman;serif"/>
          <w:b w:val="false"/>
          <w:color w:val="000000"/>
          <w:sz w:val="24"/>
        </w:rPr>
        <w:t>Arbitrable Claim</w:t>
      </w:r>
      <w:r>
        <w:rPr>
          <w:rFonts w:ascii="Times New Roman;serif" w:hAnsi="Times New Roman;serif"/>
          <w:b w:val="false"/>
          <w:color w:val="000000"/>
          <w:sz w:val="24"/>
          <w:shd w:fill="FFFFFF" w:val="clear"/>
        </w:rPr>
        <w:t>(s) for relief asserted. The arbitrator is without power or jurisdiction to apply any different substantive law or law of remedies or to modify any term or condition of this Plan.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w:t>
      </w:r>
      <w:r>
        <w:rPr>
          <w:color w:val="000000"/>
        </w:rPr>
        <w:t xml:space="preserve"> </w:t>
      </w:r>
      <w:r>
        <w:rPr>
          <w:rFonts w:ascii="Times New Roman;serif" w:hAnsi="Times New Roman;serif"/>
          <w:b w:val="false"/>
          <w:color w:val="000000"/>
          <w:sz w:val="24"/>
        </w:rPr>
        <w:t>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thirty (30) days prior to the hearing. The arbitrator will have subpoena power so that either the Company or such Eligible Executive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Arbitrator’s Award</w:t>
      </w:r>
      <w:r>
        <w:rPr>
          <w:rFonts w:ascii="Times New Roman;serif" w:hAnsi="Times New Roman;serif"/>
          <w:b w:val="false"/>
          <w:color w:val="000000"/>
          <w:sz w:val="24"/>
        </w:rPr>
        <w:t>. The arbitrator will issue a written decision containing a statement as to the specific claims and issues raised by the parties, the specific findings of fact, and the specific conclusions of law. The award will be rendered promptly, typically within thirty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Unless the law requires otherwise for a particular claim or claims, the party demanding arbitration bears the responsibility for payment of the fee to file with AAA and the fees and expenses of the arbitrator shall be allocated by the AAA under its rules and procedures. The Company and such Eligible Executive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Severability and Waiver of Trial by Jury</w:t>
      </w:r>
      <w:r>
        <w:rPr>
          <w:rFonts w:ascii="Times New Roman;serif" w:hAnsi="Times New Roman;serif"/>
          <w:b w:val="false"/>
          <w:color w:val="000000"/>
          <w:sz w:val="24"/>
        </w:rPr>
        <w:t>. The Company and such Eligible Executive further agree that, if a court of competent jurisdiction finds any term or condition of this arbitration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arbitration dispute resolution process to render it enforceable as to all Arbitrable Claims asserted in any particular dispute and instead voids the application of this arbitration dispute resolution process as to one or more Arbitrable Claims and/or refuses to enforce the parties’ waiver of class action/collective release, the Company and such Eligible Executive agree to mutually waive their respective rights to a trial by jury in a court of competent jurisdiction in which an action is filed to resolve any such Arbitrable Claims.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u w:val="single"/>
        </w:rPr>
        <w:t>General Provisions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Taxes</w:t>
      </w:r>
      <w:r>
        <w:rPr>
          <w:rFonts w:ascii="Times New Roman;serif" w:hAnsi="Times New Roman;serif"/>
          <w:b w:val="false"/>
          <w:color w:val="000000"/>
          <w:sz w:val="24"/>
        </w:rPr>
        <w:t>. The Company is authorized to withhold from all payments made hereunder amounts of withholding and other taxes due or potentially payable in connection therewith, and to take such other action as the Company may deem advisable to enable the Company and the Eligible Executive to satisfy obligations for the payment of withholding taxes and other tax obligations relating to any payments made under the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Offset</w:t>
      </w:r>
      <w:r>
        <w:rPr>
          <w:rFonts w:ascii="Times New Roman;serif" w:hAnsi="Times New Roman;serif"/>
          <w:b w:val="false"/>
          <w:color w:val="000000"/>
          <w:sz w:val="24"/>
        </w:rPr>
        <w:t>. The Company may set off against, and each Eligible Executive authorizes the Company to deduct from, any payments due to the Eligible Executive, or to his or her estate, heirs, legal representatives, or successors, any amounts which may be due and owing to the Company or an Affiliate of the Company by the Eligible Executive, whether arising under the Plan or otherwise; provided, however, that no such offset may be made with respect to amounts payable that are subject to the requirements of Section 409A unless the offset would not result in a violation of the requirements of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Amendment and Termination</w:t>
      </w:r>
      <w:r>
        <w:rPr>
          <w:rFonts w:ascii="Times New Roman;serif" w:hAnsi="Times New Roman;serif"/>
          <w:b w:val="false"/>
          <w:color w:val="000000"/>
          <w:sz w:val="24"/>
        </w:rPr>
        <w:t>. The Board and the Committee shall have the power to amend or terminate the Plan from time to time in its discretion and for any reason (or no reason) (including the removal of an individual as an Eligible Executive); provided that no such amendment or termination shall be effective with respect to a Retirement that occurred prior to the amendment or termination of the Plan; and provided, further, that, to the extent any such amendment has a detrimental impact to any Eligible Executive, such amendment will become effective with respect to such Eligible Executive six (6) months following approval by the Board or Committee, provided that such six (6) month delay shall not apply in the event of an amendment for the removal of an individual as an Eligible Executive.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Successors</w:t>
      </w:r>
      <w:r>
        <w:rPr>
          <w:rFonts w:ascii="Times New Roman;serif" w:hAnsi="Times New Roman;serif"/>
          <w:b w:val="false"/>
          <w:color w:val="000000"/>
          <w:sz w:val="24"/>
        </w:rPr>
        <w:t>. The Plan will be binding upon any successor to the Company, its assets, its businesses or its interest (whether as a result of the occurrence of a change in control or otherwise), in the same manner and to the same extent that the Company would be obligated under the Plan if no succession had taken place. All payments and benefits that become due to an Eligible Executive under the Plan will inure to the benefit of his or her heirs, assigns, designees or legal representatives.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Transfer and Assignment</w:t>
      </w:r>
      <w:r>
        <w:rPr>
          <w:rFonts w:ascii="Times New Roman;serif" w:hAnsi="Times New Roman;serif"/>
          <w:b w:val="false"/>
          <w:color w:val="000000"/>
          <w:sz w:val="24"/>
        </w:rPr>
        <w:t>. Neither an Eligible Executive nor any other person shall have any right to sell, assign, transfer, pledge, anticipate or otherwise encumber, transfer, hypothecate or convey any amounts payable under the Plan prior to the date that such amounts are paid.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Unfunded Obligation</w:t>
      </w:r>
      <w:r>
        <w:rPr>
          <w:rFonts w:ascii="Times New Roman;serif" w:hAnsi="Times New Roman;serif"/>
          <w:b w:val="false"/>
          <w:color w:val="000000"/>
          <w:sz w:val="24"/>
        </w:rPr>
        <w:t>. All benefits due an Eligible Executive under the Plan are unfunded and unsecured and are payable out of the general assets of the Company. The Company is not required to segregate any monies or other assets from its general funds with respect to these obligations. Eligible Executives shall not have any preference or security interest in any assets of the Company other than as a general unsecured creditor.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(or portion thereof) is held to be illegal or invalid for any reason, the illegality or invalidity of such provision (or portion thereof) will not affect the remaining provisions (or portions thereof) of the Plan, but such provision (or portion thereof) will be fully severable and the Plan will be construed and enforced as if the illegal or invalid provision (or portion thereof) had never been included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The Plan is intended to comply with Section 409A or an exemption thereunder and shall be construed and administered in accordance with Section 409A. Notwithstanding any other provision of the Plan, payments provided under the Plan may only be made upon an event and in a manner that complies with Section 409A or an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exemption. Any payments under the Plan that may be excluded from Section 409A either as separation pay due to an involuntary separation from service or as a short-term deferral shall be excluded from Section 409A to the maximum extent possible. Any payments to be made under the Plan upon the termination of an Eligible Executive’s employment shall only be made if such termination of employment constitutes a “separation from service” under Section 409A. In no event may an Eligible Executive, directly or indirectly, designate the calendar year of any payment under the Plan. Each installment payment under the Plan is intended to be a separate payment for purposes of Section 409A. Notwithstanding any provision in the Plan to the contrary, if any payment or benefit provided for herein would be subject to additional taxes and interest under Section 409A if an Eligible Executive’s receipt of such payment or benefit is not delayed until the earlier of (i) the date of such Eligible Executive’s death or (ii) the date that is six months after such Eligible Executive’s Date of Retirement (such date, the “</w:t>
      </w:r>
      <w:r>
        <w:rPr>
          <w:rFonts w:ascii="Times New Roman;serif" w:hAnsi="Times New Roman;serif"/>
          <w:b w:val="false"/>
          <w:i/>
          <w:color w:val="000000"/>
          <w:sz w:val="24"/>
        </w:rPr>
        <w:t>Section 409A Payment Date</w:t>
      </w:r>
      <w:r>
        <w:rPr>
          <w:color w:val="000000"/>
        </w:rPr>
        <w:t>”</w:t>
      </w:r>
      <w:r>
        <w:rPr>
          <w:rFonts w:ascii="Times New Roman;serif" w:hAnsi="Times New Roman;serif"/>
          <w:b w:val="false"/>
          <w:color w:val="000000"/>
          <w:sz w:val="24"/>
        </w:rPr>
        <w:t>), then such payment or benefit shall not be provided to such Eligible Executive (or such Eligible Executive’s estate, if applicable) until the Section 409A Payment Date. Notwithstanding the foregoing, the Company makes no representations that the payments and benefits provided under the Plan are exempt from, or compliant with, Section 409A and in no event shall the Company or any of its Affiliates be liable for all or any portion of any taxes, penalties, interest or other expenses that may be incurred by any Eligible Executive on account of non-compliance with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Governing Law</w:t>
      </w:r>
      <w:r>
        <w:rPr>
          <w:rFonts w:ascii="Times New Roman;serif" w:hAnsi="Times New Roman;serif"/>
          <w:b w:val="false"/>
          <w:color w:val="000000"/>
          <w:sz w:val="24"/>
        </w:rPr>
        <w:t xml:space="preserve">. All questions arising with respect to the provisions of the Plan and payments due hereunder will be determined by application of the laws of the State of Nevada, without giving effect to any conflict of law provisions thereof, except to the extent preempted by federal law (including ERISA), the administration of the Plan and any claims made under the Plan.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Status</w:t>
      </w:r>
      <w:r>
        <w:rPr>
          <w:rFonts w:ascii="Times New Roman;serif" w:hAnsi="Times New Roman;serif"/>
          <w:b w:val="false"/>
          <w:color w:val="000000"/>
          <w:sz w:val="24"/>
        </w:rPr>
        <w:t>. The Plan is intended to qualify for the exemptions under Title I of ERISA provided for plans that are unfunded and maintained primarily for the purpose of providing benefits for a select group of management or highly compensated employees.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Third-Party Beneficiaries</w:t>
      </w:r>
      <w:r>
        <w:rPr>
          <w:rFonts w:ascii="Times New Roman;serif" w:hAnsi="Times New Roman;serif"/>
          <w:b w:val="false"/>
          <w:color w:val="000000"/>
          <w:sz w:val="24"/>
        </w:rPr>
        <w:t xml:space="preserve">. Each Affiliate of the Company shall be a third-party beneficiary of the Eligible Executive’s covenants and obligations under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and shall be entitled to enforce such obligations as if a party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No Right to Continued Employment</w:t>
      </w:r>
      <w:r>
        <w:rPr>
          <w:rFonts w:ascii="Times New Roman;serif" w:hAnsi="Times New Roman;serif"/>
          <w:b w:val="false"/>
          <w:color w:val="000000"/>
          <w:sz w:val="24"/>
        </w:rPr>
        <w:t>. The adoption and maintenance of the Plan shall not be deemed to be a contract of employment between the Company or any of its Affiliates and any person, or to have any impact whatsoever on the at-will employment relationship between the Company or any of its Affiliates and the Eligible Executives. Nothing in the Plan shall be deemed to give any person the right to be retained in the employ of the Company or any of its Affiliates for any period of time or to restrict the right of the Company or any of its Affiliates to terminate the employment of any person at any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Overpayment</w:t>
      </w:r>
      <w:r>
        <w:rPr>
          <w:rFonts w:ascii="Times New Roman;serif" w:hAnsi="Times New Roman;serif"/>
          <w:b w:val="false"/>
          <w:color w:val="000000"/>
          <w:sz w:val="24"/>
        </w:rPr>
        <w:t>. If, due to mistake or any other reason, a person receives retirement payments or benefits under the Plan in excess of what the Plan provides, such person shall repay the overpayment to the Company in a lump sum within thirty (30) days of notice of the amount of overpayment. If such person fails to so repay the overpayment, then without limiting any other remedies available to the Company, the Company may deduct the amount of the overpayment from any other amounts which become payable to such person under the Plan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Clawback</w:t>
      </w:r>
      <w:r>
        <w:rPr>
          <w:rFonts w:ascii="Times New Roman;serif" w:hAnsi="Times New Roman;serif"/>
          <w:b w:val="false"/>
          <w:color w:val="000000"/>
          <w:sz w:val="24"/>
        </w:rPr>
        <w:t xml:space="preserve">. Notwithstanding anything in the Plan or any other agreement between the Company and/or its related entities and an Eligible Executive to the contrary, any amounts payable under the Plan to such Eligible Executive are subject to (i) any right that the Company may have under such Eligible Executive’s Executive Employment Agreement, and (ii)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any right or obligation that the Company may have regarding the clawback of “incentive-based compensation” under Section 10D of the Securities Exchange Act of 1934, as amended, and any applicable rules and regulations promulgated thereunder from time to time by the U.S. Securities and Exchange Commission, the listing standards of any national securities exchange or association on which the Company’s securities are listed, or any other applicable law</w:t>
      </w:r>
      <w:r>
        <w:rPr>
          <w:rFonts w:ascii="Times New Roman;serif" w:hAnsi="Times New Roman;serif"/>
          <w:b w:val="false"/>
          <w:color w:val="000000"/>
          <w:sz w:val="24"/>
        </w:rPr>
        <w:t>. The Company will make any determination for clawback or recovery in its sole discretion and in accordance with applicable laws, regulations, and securities exchange listing standards.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Craig S. Billings, certify that: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5555"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724"/>
        <w:gridCol w:w="724"/>
        <w:gridCol w:w="102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Craig S. Billings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S. Billings</w:t>
              <w:br/>
              <w:t xml:space="preserve">Chief Executive Officer </w:t>
              <w:br/>
              <w:t>(Principal Executive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Julie Cameron-Doe, certify that: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Wynn Resorts, Limited;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ind w:left="0" w:right="0" w:hanging="720"/>
        <w:jc w:val="center"/>
        <w:rPr/>
      </w:pPr>
      <w:r>
        <w:rPr/>
      </w:r>
    </w:p>
    <w:tbl>
      <w:tblPr>
        <w:tblW w:w="6844"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100"/>
        <w:gridCol w:w="1100"/>
        <w:gridCol w:w="156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Julie Cameron-Doe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Cameron-Doe</w:t>
              <w:br/>
              <w:t xml:space="preserve">Chief Financial Officer </w:t>
              <w:br/>
              <w:t>(Principal Financial and Accounting Officer)</w:t>
            </w:r>
          </w:p>
        </w:tc>
      </w:tr>
    </w:tbl>
    <w:p>
      <w:pPr>
        <w:pStyle w:val="TextBody"/>
        <w:bidi w:val="0"/>
        <w:spacing w:before="180" w:after="283"/>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Chief Executive Officer and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Wynn Resorts, Limited (the “Company”) for the quarter ended September 30, 2025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8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80" w:after="283"/>
        <w:ind w:left="0" w:right="0" w:hanging="720"/>
        <w:jc w:val="left"/>
        <w:rPr/>
      </w:pPr>
      <w:r>
        <w:rPr/>
      </w:r>
    </w:p>
    <w:p>
      <w:pPr>
        <w:pStyle w:val="TextBody"/>
        <w:bidi w:val="0"/>
        <w:spacing w:before="180" w:after="283"/>
        <w:ind w:left="0" w:right="0" w:hanging="720"/>
        <w:jc w:val="left"/>
        <w:rPr/>
      </w:pPr>
      <w:r>
        <w:rPr/>
      </w:r>
    </w:p>
    <w:tbl>
      <w:tblPr>
        <w:tblW w:w="3163" w:type="dxa"/>
        <w:jc w:val="left"/>
        <w:tblInd w:w="0" w:type="dxa"/>
        <w:tblLayout w:type="fixed"/>
        <w:tblCellMar>
          <w:top w:w="28" w:type="dxa"/>
          <w:left w:w="28" w:type="dxa"/>
          <w:bottom w:w="28" w:type="dxa"/>
          <w:right w:w="28" w:type="dxa"/>
        </w:tblCellMar>
      </w:tblPr>
      <w:tblGrid>
        <w:gridCol w:w="249"/>
        <w:gridCol w:w="219"/>
        <w:gridCol w:w="221"/>
        <w:gridCol w:w="722"/>
        <w:gridCol w:w="722"/>
        <w:gridCol w:w="1030"/>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Craig S. Billings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S. Billings</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249"/>
        <w:gridCol w:w="219"/>
        <w:gridCol w:w="221"/>
        <w:gridCol w:w="1100"/>
        <w:gridCol w:w="1100"/>
        <w:gridCol w:w="1565"/>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Julie Cameron-Doe </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bl>
    <w:p>
      <w:pPr>
        <w:pStyle w:val="TextBody"/>
        <w:bidi w:val="0"/>
        <w:spacing w:lineRule="auto" w:line="288" w:before="298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74922/000117492215000044/ex-31.htm" TargetMode="External"/><Relationship Id="rId3" Type="http://schemas.openxmlformats.org/officeDocument/2006/relationships/hyperlink" Target="https://www.sec.gov/Archives/edgar/data/1174922/000117492220000024/ex32-bylaws.htm" TargetMode="External"/><Relationship Id="rId4" Type="http://schemas.openxmlformats.org/officeDocument/2006/relationships/hyperlink" Target="https://www.sec.gov/Archives/edgar/data/1174922/000117492225000122/ex41-wmlindenture.htm" TargetMode="External"/><Relationship Id="rId5" Type="http://schemas.openxmlformats.org/officeDocument/2006/relationships/hyperlink" Target="https://www.sec.gov/Archives/edgar/data/1174922/000117492225000122/ex41-wmlindenture.htm" TargetMode="External"/><Relationship Id="rId6" Type="http://schemas.openxmlformats.org/officeDocument/2006/relationships/hyperlink" Target="https://www.sec.gov/Archives/edgar/data/1174922/000117492225000122/ex41-wmlindenture.htm" TargetMode="External"/><Relationship Id="rId7" Type="http://schemas.openxmlformats.org/officeDocument/2006/relationships/hyperlink" Target="https://www.sec.gov/Archives/edgar/data/1174922/000117492225000122/ex41-wmlindenture.htm" TargetMode="External"/><Relationship Id="rId8" Type="http://schemas.openxmlformats.org/officeDocument/2006/relationships/hyperlink" Target="https://www.sec.gov/Archives/edgar/data/1174922/000117492225000122/ex41-wmlindenture.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30493</Words>
  <Characters>168301</Characters>
  <CharactersWithSpaces>196656</CharactersWithSpaces>
  <Paragraphs>4630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