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369"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369"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-2106295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9"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ind w:right="4160"/>
        <w:spacing w:after="0" w:line="187" w:lineRule="auto"/>
        <w:rPr>
          <w:sz w:val="20"/>
          <w:szCs w:val="20"/>
          <w:color w:val="auto"/>
        </w:rPr>
      </w:pPr>
      <w:r>
        <w:rPr>
          <w:rFonts w:ascii="Arial" w:cs="Arial" w:eastAsia="Arial" w:hAnsi="Arial"/>
          <w:sz w:val="9"/>
          <w:szCs w:val="9"/>
          <w:color w:val="FFFFFF"/>
        </w:rPr>
        <w:t>Important Notice Regarding the Availability of Proxy Materials for the Shareholder Meeting to Be Held on &lt;mtgdate&gt;. May 17, 2011 Meeting Information</w:t>
      </w:r>
    </w:p>
    <w:p>
      <w:pPr>
        <w:spacing w:after="0"/>
        <w:rPr>
          <w:sz w:val="20"/>
          <w:szCs w:val="20"/>
          <w:color w:val="auto"/>
        </w:rPr>
      </w:pPr>
      <w:r>
        <w:rPr>
          <w:rFonts w:ascii="Arial" w:cs="Arial" w:eastAsia="Arial" w:hAnsi="Arial"/>
          <w:sz w:val="3"/>
          <w:szCs w:val="3"/>
          <w:color w:val="FFFFFF"/>
        </w:rPr>
        <w:t>WYNN RESORTS, LIMITED Meeting Type: Annual &lt;mtgtype&gt; Meeting</w:t>
      </w:r>
    </w:p>
    <w:p>
      <w:pPr>
        <w:spacing w:after="0" w:line="194" w:lineRule="auto"/>
        <w:rPr>
          <w:sz w:val="20"/>
          <w:szCs w:val="20"/>
          <w:color w:val="auto"/>
        </w:rPr>
      </w:pPr>
      <w:r>
        <w:rPr>
          <w:rFonts w:ascii="Arial" w:cs="Arial" w:eastAsia="Arial" w:hAnsi="Arial"/>
          <w:sz w:val="5"/>
          <w:szCs w:val="5"/>
          <w:color w:val="FFFFFF"/>
        </w:rPr>
        <w:t>For holders as of: March &lt;recdate&gt; 25, 2011 B</w:t>
      </w:r>
    </w:p>
    <w:p>
      <w:pPr>
        <w:spacing w:after="0" w:line="188" w:lineRule="auto"/>
        <w:rPr>
          <w:sz w:val="20"/>
          <w:szCs w:val="20"/>
          <w:color w:val="auto"/>
        </w:rPr>
      </w:pPr>
      <w:r>
        <w:rPr>
          <w:rFonts w:ascii="Arial" w:cs="Arial" w:eastAsia="Arial" w:hAnsi="Arial"/>
          <w:sz w:val="7"/>
          <w:szCs w:val="7"/>
          <w:color w:val="FFFFFF"/>
        </w:rPr>
        <w:t>Date:</w:t>
      </w:r>
      <w:r>
        <w:rPr>
          <w:rFonts w:ascii="Arial" w:cs="Arial" w:eastAsia="Arial" w:hAnsi="Arial"/>
          <w:sz w:val="9"/>
          <w:szCs w:val="9"/>
          <w:color w:val="FFFFFF"/>
          <w:vertAlign w:val="subscript"/>
        </w:rPr>
        <w:t>Cidade</w:t>
      </w:r>
      <w:r>
        <w:rPr>
          <w:rFonts w:ascii="Arial" w:cs="Arial" w:eastAsia="Arial" w:hAnsi="Arial"/>
          <w:sz w:val="7"/>
          <w:szCs w:val="7"/>
          <w:color w:val="FFFFFF"/>
        </w:rPr>
        <w:t>My17, 2011 Time: 3:30 &lt;mtgtime&gt; PM LST A Location: Wynn Macau R</w:t>
      </w:r>
    </w:p>
    <w:p>
      <w:pPr>
        <w:spacing w:after="0"/>
        <w:tabs>
          <w:tab w:leader="none" w:pos="660" w:val="left"/>
        </w:tabs>
        <w:rPr>
          <w:sz w:val="20"/>
          <w:szCs w:val="20"/>
          <w:color w:val="auto"/>
        </w:rPr>
      </w:pPr>
      <w:r>
        <w:rPr>
          <w:rFonts w:ascii="Arial" w:cs="Arial" w:eastAsia="Arial" w:hAnsi="Arial"/>
          <w:sz w:val="3"/>
          <w:szCs w:val="3"/>
          <w:color w:val="FFFFFF"/>
        </w:rPr>
        <w:t>BROKERRua</w:t>
      </w:r>
      <w:r>
        <w:rPr>
          <w:sz w:val="20"/>
          <w:szCs w:val="20"/>
          <w:color w:val="auto"/>
        </w:rPr>
        <w:tab/>
      </w:r>
      <w:r>
        <w:rPr>
          <w:rFonts w:ascii="Arial" w:cs="Arial" w:eastAsia="Arial" w:hAnsi="Arial"/>
          <w:sz w:val="3"/>
          <w:szCs w:val="3"/>
          <w:color w:val="FFFFFF"/>
        </w:rPr>
        <w:t>de Sintra C</w:t>
      </w:r>
    </w:p>
    <w:p>
      <w:pPr>
        <w:spacing w:after="0" w:line="181" w:lineRule="auto"/>
        <w:rPr>
          <w:sz w:val="20"/>
          <w:szCs w:val="20"/>
          <w:color w:val="auto"/>
        </w:rPr>
      </w:pPr>
      <w:r>
        <w:rPr>
          <w:rFonts w:ascii="Arial" w:cs="Arial" w:eastAsia="Arial" w:hAnsi="Arial"/>
          <w:sz w:val="10"/>
          <w:szCs w:val="10"/>
          <w:color w:val="FFFFFF"/>
        </w:rPr>
        <w:t>NAPE, Macau SAR</w:t>
      </w:r>
    </w:p>
    <w:p>
      <w:pPr>
        <w:spacing w:after="0" w:line="188" w:lineRule="auto"/>
        <w:rPr>
          <w:sz w:val="20"/>
          <w:szCs w:val="20"/>
          <w:color w:val="auto"/>
        </w:rPr>
      </w:pPr>
      <w:r>
        <w:rPr>
          <w:rFonts w:ascii="Arial" w:cs="Arial" w:eastAsia="Arial" w:hAnsi="Arial"/>
          <w:sz w:val="9"/>
          <w:szCs w:val="9"/>
          <w:color w:val="FFFFFF"/>
        </w:rPr>
        <w:t>ELOGO O HERE D</w:t>
      </w:r>
    </w:p>
    <w:p>
      <w:pPr>
        <w:spacing w:after="0"/>
        <w:rPr>
          <w:sz w:val="20"/>
          <w:szCs w:val="20"/>
          <w:color w:val="auto"/>
        </w:rPr>
      </w:pPr>
      <w:r>
        <w:rPr>
          <w:rFonts w:ascii="Arial" w:cs="Arial" w:eastAsia="Arial" w:hAnsi="Arial"/>
          <w:sz w:val="3"/>
          <w:szCs w:val="3"/>
          <w:color w:val="FFFFFF"/>
        </w:rPr>
        <w:t>ReturnYouareAddressreceivingLinethis2communicationReturnAddressbecauseLine3 you hold Return Address Line 1 shares in the above named company.</w:t>
      </w:r>
    </w:p>
    <w:p>
      <w:pPr>
        <w:spacing w:after="0" w:line="6" w:lineRule="exact"/>
        <w:rPr>
          <w:sz w:val="20"/>
          <w:szCs w:val="20"/>
          <w:color w:val="auto"/>
        </w:rPr>
      </w:pPr>
    </w:p>
    <w:p>
      <w:pPr>
        <w:jc w:val="both"/>
        <w:spacing w:after="0" w:line="181" w:lineRule="auto"/>
        <w:rPr>
          <w:sz w:val="20"/>
          <w:szCs w:val="20"/>
          <w:color w:val="auto"/>
        </w:rPr>
      </w:pPr>
      <w:r>
        <w:rPr>
          <w:rFonts w:ascii="Arial" w:cs="Arial" w:eastAsia="Arial" w:hAnsi="Arial"/>
          <w:sz w:val="7"/>
          <w:szCs w:val="7"/>
          <w:color w:val="FFFFFF"/>
        </w:rPr>
        <w:t>51 MERCEDES WAY This is not a ballot. You cannot use this notice to vote EDGEWOOD NY 11717 these shares. This communication presents only an Investor Address Line 1 overview of the more complete proxy materials that are Investor Address Line 2 1 available to you on the Internet. You may view the proxy Investor Address Line 3 materials online at www.proxyvote.com or easily request a Investor Address Line 4 15 12 OF paper copy (see reverse side).</w:t>
      </w:r>
    </w:p>
    <w:p>
      <w:pPr>
        <w:spacing w:after="0"/>
        <w:rPr>
          <w:sz w:val="20"/>
          <w:szCs w:val="20"/>
          <w:color w:val="auto"/>
        </w:rPr>
      </w:pPr>
      <w:r>
        <w:rPr>
          <w:rFonts w:ascii="Arial" w:cs="Arial" w:eastAsia="Arial" w:hAnsi="Arial"/>
          <w:sz w:val="3"/>
          <w:szCs w:val="3"/>
          <w:color w:val="FFFFFF"/>
        </w:rPr>
        <w:t>Investor Address Line 5</w:t>
      </w:r>
    </w:p>
    <w:p>
      <w:pPr>
        <w:spacing w:after="0" w:line="6" w:lineRule="exact"/>
        <w:rPr>
          <w:sz w:val="20"/>
          <w:szCs w:val="20"/>
          <w:color w:val="auto"/>
        </w:rPr>
      </w:pPr>
    </w:p>
    <w:p>
      <w:pPr>
        <w:ind w:left="100" w:right="1720" w:hanging="100"/>
        <w:spacing w:after="0" w:line="187" w:lineRule="auto"/>
        <w:rPr>
          <w:sz w:val="20"/>
          <w:szCs w:val="20"/>
          <w:color w:val="auto"/>
        </w:rPr>
      </w:pPr>
      <w:r>
        <w:rPr>
          <w:rFonts w:ascii="Arial" w:cs="Arial" w:eastAsia="Arial" w:hAnsi="Arial"/>
          <w:sz w:val="9"/>
          <w:szCs w:val="9"/>
          <w:color w:val="FFFFFF"/>
          <w:vertAlign w:val="superscript"/>
        </w:rPr>
        <w:t>R1</w:t>
      </w:r>
      <w:r>
        <w:rPr>
          <w:rFonts w:ascii="Arial" w:cs="Arial" w:eastAsia="Arial" w:hAnsi="Arial"/>
          <w:sz w:val="7"/>
          <w:szCs w:val="7"/>
          <w:color w:val="FFFFFF"/>
        </w:rPr>
        <w:t>.0.0.11699 John Sample 2 We encourage you to access and review all of the important 1234 ANYWHERE STREET information contained in the proxy materials before voting. ANY CITY, ON A1A 1A1</w:t>
      </w:r>
    </w:p>
    <w:p>
      <w:pPr>
        <w:spacing w:after="0"/>
        <w:rPr>
          <w:sz w:val="20"/>
          <w:szCs w:val="20"/>
          <w:color w:val="auto"/>
        </w:rPr>
      </w:pPr>
      <w:r>
        <w:rPr>
          <w:rFonts w:ascii="Arial" w:cs="Arial" w:eastAsia="Arial" w:hAnsi="Arial"/>
          <w:sz w:val="3"/>
          <w:szCs w:val="3"/>
          <w:color w:val="FFFFFF"/>
        </w:rPr>
        <w:t>_ See the reverse side of this notice to obtain proxy materials and voting instructions.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0000100862 Broadridge Internal Use Only Job # Envelope # Sequence # # of # Sequence #</w:t>
      </w:r>
    </w:p>
    <w:p>
      <w:pPr>
        <w:sectPr>
          <w:pgSz w:w="11900" w:h="16838" w:orient="portrait"/>
          <w:cols w:equalWidth="0" w:num="1">
            <w:col w:w="11400"/>
          </w:cols>
          <w:pgMar w:left="240" w:top="1440"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Before You Vote</w:t>
            </w:r>
          </w:p>
        </w:tc>
        <w:tc>
          <w:tcPr>
            <w:tcW w:w="108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8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0" w:type="dxa"/>
            <w:vAlign w:val="bottom"/>
          </w:tcPr>
          <w:p>
            <w:pPr>
              <w:spacing w:after="0"/>
              <w:rPr>
                <w:sz w:val="1"/>
                <w:szCs w:val="1"/>
                <w:color w:val="auto"/>
              </w:rPr>
            </w:pPr>
          </w:p>
        </w:tc>
      </w:tr>
      <w:tr>
        <w:trPr>
          <w:trHeight w:val="41"/>
        </w:trPr>
        <w:tc>
          <w:tcPr>
            <w:tcW w:w="10680" w:type="dxa"/>
            <w:vAlign w:val="bottom"/>
            <w:gridSpan w:val="4"/>
          </w:tcPr>
          <w:p>
            <w:pPr>
              <w:spacing w:after="0"/>
              <w:rPr>
                <w:sz w:val="20"/>
                <w:szCs w:val="20"/>
                <w:color w:val="auto"/>
              </w:rPr>
            </w:pPr>
            <w:r>
              <w:rPr>
                <w:rFonts w:ascii="Arial" w:cs="Arial" w:eastAsia="Arial" w:hAnsi="Arial"/>
                <w:sz w:val="3"/>
                <w:szCs w:val="3"/>
                <w:color w:val="FFFFFF"/>
              </w:rPr>
              <w:t>1. Annual Report 2. Notice &amp; Proxy Statement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000" w:type="dxa"/>
            <w:vAlign w:val="bottom"/>
          </w:tcPr>
          <w:p>
            <w:pPr>
              <w:ind w:left="80"/>
              <w:spacing w:after="0"/>
              <w:rPr>
                <w:sz w:val="20"/>
                <w:szCs w:val="20"/>
                <w:color w:val="auto"/>
              </w:rPr>
            </w:pPr>
            <w:r>
              <w:rPr>
                <w:rFonts w:ascii="Arial" w:cs="Arial" w:eastAsia="Arial" w:hAnsi="Arial"/>
                <w:sz w:val="3"/>
                <w:szCs w:val="3"/>
                <w:color w:val="FFFFFF"/>
              </w:rPr>
              <w:t>to View Online:</w:t>
            </w:r>
          </w:p>
        </w:tc>
        <w:tc>
          <w:tcPr>
            <w:tcW w:w="1080" w:type="dxa"/>
            <w:vAlign w:val="bottom"/>
          </w:tcPr>
          <w:p>
            <w:pPr>
              <w:spacing w:after="0"/>
              <w:rPr>
                <w:sz w:val="3"/>
                <w:szCs w:val="3"/>
                <w:color w:val="auto"/>
              </w:rPr>
            </w:pP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80" w:type="dxa"/>
            <w:vAlign w:val="bottom"/>
            <w:gridSpan w:val="4"/>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(located on the following page) and visit: www.proxyvote.com.</w:t>
            </w:r>
          </w:p>
        </w:tc>
        <w:tc>
          <w:tcPr>
            <w:tcW w:w="0" w:type="dxa"/>
            <w:vAlign w:val="bottom"/>
          </w:tcPr>
          <w:p>
            <w:pPr>
              <w:spacing w:after="0"/>
              <w:rPr>
                <w:sz w:val="1"/>
                <w:szCs w:val="1"/>
                <w:color w:val="auto"/>
              </w:rPr>
            </w:pPr>
          </w:p>
        </w:tc>
      </w:tr>
      <w:tr>
        <w:trPr>
          <w:trHeight w:val="41"/>
        </w:trPr>
        <w:tc>
          <w:tcPr>
            <w:tcW w:w="1068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0" w:type="dxa"/>
            <w:vAlign w:val="bottom"/>
          </w:tcPr>
          <w:p>
            <w:pPr>
              <w:spacing w:after="0"/>
              <w:rPr>
                <w:sz w:val="1"/>
                <w:szCs w:val="1"/>
                <w:color w:val="auto"/>
              </w:rPr>
            </w:pPr>
          </w:p>
        </w:tc>
      </w:tr>
      <w:tr>
        <w:trPr>
          <w:trHeight w:val="41"/>
        </w:trPr>
        <w:tc>
          <w:tcPr>
            <w:tcW w:w="10680" w:type="dxa"/>
            <w:vAlign w:val="bottom"/>
            <w:gridSpan w:val="4"/>
          </w:tcPr>
          <w:p>
            <w:pPr>
              <w:spacing w:after="0"/>
              <w:rPr>
                <w:sz w:val="20"/>
                <w:szCs w:val="20"/>
                <w:color w:val="auto"/>
              </w:rPr>
            </w:pPr>
            <w:r>
              <w:rPr>
                <w:rFonts w:ascii="Arial" w:cs="Arial" w:eastAsia="Arial" w:hAnsi="Arial"/>
                <w:sz w:val="3"/>
                <w:szCs w:val="3"/>
                <w:color w:val="FFFFFF"/>
              </w:rPr>
              <w:t>If you want to receive a paper or  -mail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080" w:type="dxa"/>
            <w:vAlign w:val="bottom"/>
            <w:gridSpan w:val="2"/>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1000" w:type="dxa"/>
            <w:vAlign w:val="bottom"/>
          </w:tcPr>
          <w:p>
            <w:pPr>
              <w:spacing w:after="0"/>
              <w:rPr>
                <w:sz w:val="3"/>
                <w:szCs w:val="3"/>
                <w:color w:val="auto"/>
              </w:rPr>
            </w:pPr>
          </w:p>
        </w:tc>
        <w:tc>
          <w:tcPr>
            <w:tcW w:w="1080" w:type="dxa"/>
            <w:vAlign w:val="bottom"/>
          </w:tcPr>
          <w:p>
            <w:pPr>
              <w:jc w:val="right"/>
              <w:ind w:right="183"/>
              <w:spacing w:after="0"/>
              <w:rPr>
                <w:sz w:val="20"/>
                <w:szCs w:val="20"/>
                <w:color w:val="auto"/>
              </w:rPr>
            </w:pPr>
            <w:r>
              <w:rPr>
                <w:rFonts w:ascii="Arial" w:cs="Arial" w:eastAsia="Arial" w:hAnsi="Arial"/>
                <w:sz w:val="3"/>
                <w:szCs w:val="3"/>
                <w:color w:val="FFFFFF"/>
              </w:rPr>
              <w:t>1-800-579-1639</w:t>
            </w:r>
          </w:p>
        </w:tc>
        <w:tc>
          <w:tcPr>
            <w:tcW w:w="8380" w:type="dxa"/>
            <w:vAlign w:val="bottom"/>
            <w:vMerge w:val="restart"/>
          </w:tcPr>
          <w:p>
            <w:pPr>
              <w:ind w:left="40"/>
              <w:spacing w:after="0"/>
              <w:rPr>
                <w:sz w:val="20"/>
                <w:szCs w:val="20"/>
                <w:color w:val="auto"/>
              </w:rPr>
            </w:pPr>
            <w:r>
              <w:rPr>
                <w:rFonts w:ascii="Arial" w:cs="Arial" w:eastAsia="Arial" w:hAnsi="Arial"/>
                <w:sz w:val="3"/>
                <w:szCs w:val="3"/>
                <w:color w:val="FFFFFF"/>
              </w:rPr>
              <w:t>.com</w:t>
            </w:r>
          </w:p>
        </w:tc>
        <w:tc>
          <w:tcPr>
            <w:tcW w:w="0" w:type="dxa"/>
            <w:vAlign w:val="bottom"/>
          </w:tcPr>
          <w:p>
            <w:pPr>
              <w:spacing w:after="0"/>
              <w:rPr>
                <w:sz w:val="1"/>
                <w:szCs w:val="1"/>
                <w:color w:val="auto"/>
              </w:rPr>
            </w:pPr>
          </w:p>
        </w:tc>
      </w:tr>
      <w:tr>
        <w:trPr>
          <w:trHeight w:val="0"/>
        </w:trPr>
        <w:tc>
          <w:tcPr>
            <w:tcW w:w="1220" w:type="dxa"/>
            <w:vAlign w:val="bottom"/>
            <w:gridSpan w:val="2"/>
          </w:tcPr>
          <w:p>
            <w:pPr>
              <w:spacing w:after="0" w:line="80" w:lineRule="exact"/>
              <w:rPr>
                <w:sz w:val="20"/>
                <w:szCs w:val="20"/>
                <w:color w:val="auto"/>
              </w:rPr>
            </w:pPr>
            <w:r>
              <w:rPr>
                <w:rFonts w:ascii="Arial" w:cs="Arial" w:eastAsia="Arial" w:hAnsi="Arial"/>
                <w:sz w:val="9"/>
                <w:szCs w:val="9"/>
                <w:color w:val="FFFFFF"/>
              </w:rPr>
              <w:t>3) BY TELEPHONE:-MAIL*:</w:t>
            </w:r>
          </w:p>
        </w:tc>
        <w:tc>
          <w:tcPr>
            <w:tcW w:w="1080" w:type="dxa"/>
            <w:vAlign w:val="bottom"/>
          </w:tcPr>
          <w:p>
            <w:pPr>
              <w:spacing w:after="0" w:line="20" w:lineRule="exact"/>
              <w:rPr>
                <w:sz w:val="1"/>
                <w:szCs w:val="1"/>
                <w:color w:val="auto"/>
              </w:rPr>
            </w:pPr>
          </w:p>
        </w:tc>
        <w:tc>
          <w:tcPr>
            <w:tcW w:w="8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0"/>
        <w:spacing w:after="0" w:line="183" w:lineRule="auto"/>
        <w:rPr>
          <w:sz w:val="20"/>
          <w:szCs w:val="20"/>
          <w:color w:val="auto"/>
        </w:rPr>
      </w:pPr>
      <w:r>
        <w:rPr>
          <w:rFonts w:ascii="Arial" w:cs="Arial" w:eastAsia="Arial" w:hAnsi="Arial"/>
          <w:sz w:val="7"/>
          <w:szCs w:val="7"/>
          <w:color w:val="FFFFFF"/>
        </w:rPr>
        <w:t>* If requesting materialssendmaterial@proxyvoteby-mail,pleasesend a blank e-mail with the information that is printed in the box marked by the arrow XXXX XXXX XXXX (located on the following page) in the subject line. Requests, instructions and other inquiries sent to this e-mail address will NOT be forwarded to your investment advisor. Please make the request as instructed above on or before May 03, 2011 to facilitate timely delivery.</w:t>
      </w:r>
    </w:p>
    <w:p>
      <w:pPr>
        <w:spacing w:after="0"/>
        <w:rPr>
          <w:sz w:val="20"/>
          <w:szCs w:val="20"/>
          <w:color w:val="auto"/>
        </w:rPr>
      </w:pPr>
      <w:r>
        <w:rPr>
          <w:rFonts w:ascii="Arial" w:cs="Arial" w:eastAsia="Arial" w:hAnsi="Arial"/>
          <w:sz w:val="3"/>
          <w:szCs w:val="3"/>
          <w:color w:val="FFFFFF"/>
        </w:rPr>
        <w:t>Please Choose One of the Following Voting Methods</w:t>
      </w:r>
    </w:p>
    <w:p>
      <w:pPr>
        <w:spacing w:after="0" w:line="194" w:lineRule="auto"/>
        <w:rPr>
          <w:sz w:val="20"/>
          <w:szCs w:val="20"/>
          <w:color w:val="auto"/>
        </w:rPr>
      </w:pPr>
      <w:r>
        <w:rPr>
          <w:rFonts w:ascii="Arial" w:cs="Arial" w:eastAsia="Arial" w:hAnsi="Arial"/>
          <w:sz w:val="3"/>
          <w:szCs w:val="3"/>
          <w:color w:val="FFFFFF"/>
        </w:rPr>
        <w:t xml:space="preserve">Vote In Person: If you choose to vote these shares in person at the meeting, you must request </w:t>
      </w:r>
      <w:r>
        <w:rPr>
          <w:rFonts w:ascii="Arial" w:cs="Arial" w:eastAsia="Arial" w:hAnsi="Arial"/>
          <w:sz w:val="5"/>
          <w:szCs w:val="5"/>
          <w:color w:val="FFFFFF"/>
          <w:vertAlign w:val="superscript"/>
        </w:rPr>
        <w:t>have</w:t>
      </w:r>
      <w:r>
        <w:rPr>
          <w:rFonts w:ascii="Arial" w:cs="Arial" w:eastAsia="Arial" w:hAnsi="Arial"/>
          <w:sz w:val="3"/>
          <w:szCs w:val="3"/>
          <w:color w:val="FFFFFF"/>
        </w:rPr>
        <w:t>“legal proxy.” To do R1.0.0.11699 so, please follow the instructions at www.proxyvote.com or request a paper copy</w:t>
      </w:r>
    </w:p>
    <w:p>
      <w:pPr>
        <w:ind w:right="2980"/>
        <w:spacing w:after="0" w:line="187" w:lineRule="auto"/>
        <w:rPr>
          <w:sz w:val="20"/>
          <w:szCs w:val="20"/>
          <w:color w:val="auto"/>
        </w:rPr>
      </w:pPr>
      <w:r>
        <w:rPr>
          <w:rFonts w:ascii="Arial" w:cs="Arial" w:eastAsia="Arial" w:hAnsi="Arial"/>
          <w:sz w:val="9"/>
          <w:szCs w:val="9"/>
          <w:color w:val="FFFFFF"/>
        </w:rPr>
        <w:t>of the materials, which will contain the appropriate instructions. Many shareholder meetings attendance requirements including, but not limited to, the _ 2</w:t>
      </w:r>
    </w:p>
    <w:p>
      <w:pPr>
        <w:spacing w:after="0"/>
        <w:rPr>
          <w:sz w:val="20"/>
          <w:szCs w:val="20"/>
          <w:color w:val="auto"/>
        </w:rPr>
      </w:pPr>
      <w:r>
        <w:rPr>
          <w:rFonts w:ascii="Arial" w:cs="Arial" w:eastAsia="Arial" w:hAnsi="Arial"/>
          <w:sz w:val="3"/>
          <w:szCs w:val="3"/>
          <w:color w:val="FFFFFF"/>
        </w:rPr>
        <w:t>possession of an attendance ticket issued by the entity holding the meeting. Please check the meeting materials for any special requirements for meeting attendance.</w:t>
      </w:r>
    </w:p>
    <w:p>
      <w:pPr>
        <w:spacing w:after="0" w:line="194" w:lineRule="auto"/>
        <w:rPr>
          <w:sz w:val="20"/>
          <w:szCs w:val="20"/>
          <w:color w:val="auto"/>
        </w:rPr>
      </w:pPr>
      <w:r>
        <w:rPr>
          <w:rFonts w:ascii="Arial" w:cs="Arial" w:eastAsia="Arial" w:hAnsi="Arial"/>
          <w:sz w:val="5"/>
          <w:szCs w:val="5"/>
          <w:color w:val="FFFFFF"/>
        </w:rPr>
        <w:t>0000100862 Vote By Internet: To vote now by Internet, go to www.proxyvote.com. Have the information that is printed in the box marked by the arrow available and follow the instructions. Internal Use XXXX</w:t>
      </w:r>
    </w:p>
    <w:p>
      <w:pPr>
        <w:spacing w:after="0"/>
        <w:rPr>
          <w:sz w:val="20"/>
          <w:szCs w:val="20"/>
          <w:color w:val="auto"/>
        </w:rPr>
      </w:pPr>
      <w:r>
        <w:rPr>
          <w:rFonts w:ascii="Arial" w:cs="Arial" w:eastAsia="Arial" w:hAnsi="Arial"/>
          <w:sz w:val="14"/>
          <w:szCs w:val="14"/>
          <w:color w:val="FFFFFF"/>
        </w:rPr>
        <w:t>XXXX XXXX Only Vote By Mail: You can vote by mail by requesting a paper copy of the materials, which will include a voting instruction form.</w:t>
      </w:r>
    </w:p>
    <w:p>
      <w:pPr>
        <w:sectPr>
          <w:pgSz w:w="11900" w:h="16838" w:orient="portrait"/>
          <w:cols w:equalWidth="0" w:num="1">
            <w:col w:w="11400"/>
          </w:cols>
          <w:pgMar w:left="240" w:top="1440"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Directors recommends that you vote FOR the following:</w:t>
      </w:r>
    </w:p>
    <w:p>
      <w:pPr>
        <w:spacing w:after="0"/>
        <w:rPr>
          <w:sz w:val="20"/>
          <w:szCs w:val="20"/>
          <w:color w:val="auto"/>
        </w:rPr>
      </w:pPr>
      <w:r>
        <w:rPr>
          <w:rFonts w:ascii="Arial" w:cs="Arial" w:eastAsia="Arial" w:hAnsi="Arial"/>
          <w:sz w:val="3"/>
          <w:szCs w:val="3"/>
          <w:color w:val="FFFFFF"/>
        </w:rPr>
        <w:t>Nominees1.Election of Directors</w:t>
      </w:r>
    </w:p>
    <w:p>
      <w:pPr>
        <w:spacing w:after="0" w:line="194" w:lineRule="auto"/>
        <w:rPr>
          <w:sz w:val="20"/>
          <w:szCs w:val="20"/>
          <w:color w:val="auto"/>
        </w:rPr>
      </w:pPr>
      <w:r>
        <w:rPr>
          <w:rFonts w:ascii="Arial" w:cs="Arial" w:eastAsia="Arial" w:hAnsi="Arial"/>
          <w:sz w:val="5"/>
          <w:szCs w:val="5"/>
          <w:color w:val="FFFFFF"/>
        </w:rPr>
        <w:t>01 Russel Goldsmith 02 Robert J. Miller 03 Kazuo Okada 04 Allan Zeman</w:t>
      </w:r>
    </w:p>
    <w:p>
      <w:pPr>
        <w:spacing w:after="0" w:line="211" w:lineRule="auto"/>
        <w:rPr>
          <w:sz w:val="20"/>
          <w:szCs w:val="20"/>
          <w:color w:val="auto"/>
        </w:rPr>
      </w:pPr>
      <w:r>
        <w:rPr>
          <w:rFonts w:ascii="Arial" w:cs="Arial" w:eastAsia="Arial" w:hAnsi="Arial"/>
          <w:sz w:val="4"/>
          <w:szCs w:val="4"/>
          <w:color w:val="FFFFFF"/>
          <w:vertAlign w:val="superscript"/>
        </w:rPr>
        <w:t>The</w:t>
      </w:r>
    </w:p>
    <w:p>
      <w:pPr>
        <w:spacing w:after="0"/>
        <w:tabs>
          <w:tab w:leader="none" w:pos="160" w:val="left"/>
        </w:tabs>
        <w:rPr>
          <w:sz w:val="20"/>
          <w:szCs w:val="20"/>
          <w:color w:val="auto"/>
        </w:rPr>
      </w:pPr>
      <w:r>
        <w:rPr>
          <w:rFonts w:ascii="Arial" w:cs="Arial" w:eastAsia="Arial" w:hAnsi="Arial"/>
          <w:sz w:val="3"/>
          <w:szCs w:val="3"/>
          <w:color w:val="FFFFFF"/>
        </w:rPr>
        <w:t>2</w:t>
      </w:r>
      <w:r>
        <w:rPr>
          <w:sz w:val="20"/>
          <w:szCs w:val="20"/>
          <w:color w:val="auto"/>
        </w:rPr>
        <w:tab/>
      </w:r>
      <w:r>
        <w:rPr>
          <w:rFonts w:ascii="Arial" w:cs="Arial" w:eastAsia="Arial" w:hAnsi="Arial"/>
          <w:sz w:val="3"/>
          <w:szCs w:val="3"/>
          <w:color w:val="FFFFFF"/>
        </w:rPr>
        <w:t>o Boardapproveof theDirectorsadvisoryrecommendsresolution youonexecutivevoteFORcompensation;thefollowing Aproposal(s): B</w:t>
      </w:r>
    </w:p>
    <w:p>
      <w:pPr>
        <w:spacing w:after="0" w:line="194" w:lineRule="auto"/>
        <w:rPr>
          <w:sz w:val="20"/>
          <w:szCs w:val="20"/>
          <w:color w:val="auto"/>
        </w:rPr>
      </w:pPr>
      <w:r>
        <w:rPr>
          <w:rFonts w:ascii="Arial" w:cs="Arial" w:eastAsia="Arial" w:hAnsi="Arial"/>
          <w:sz w:val="5"/>
          <w:szCs w:val="5"/>
          <w:color w:val="FFFFFF"/>
        </w:rPr>
        <w:t>R</w:t>
      </w:r>
    </w:p>
    <w:p>
      <w:pPr>
        <w:ind w:right="4839"/>
        <w:spacing w:after="0"/>
        <w:rPr>
          <w:sz w:val="20"/>
          <w:szCs w:val="20"/>
          <w:color w:val="auto"/>
        </w:rPr>
      </w:pPr>
      <w:r>
        <w:rPr>
          <w:rFonts w:ascii="Arial" w:cs="Arial" w:eastAsia="Arial" w:hAnsi="Arial"/>
          <w:sz w:val="6"/>
          <w:szCs w:val="6"/>
          <w:color w:val="FFFFFF"/>
        </w:rPr>
        <w:t>The Board of Directors does not have a recommendation for voting on the following proposal(s): C 3 Advisory vote on the frequency of future advisory votes on executive compensation; O</w:t>
      </w:r>
    </w:p>
    <w:p>
      <w:pPr>
        <w:spacing w:after="0" w:line="194" w:lineRule="auto"/>
        <w:rPr>
          <w:sz w:val="20"/>
          <w:szCs w:val="20"/>
          <w:color w:val="auto"/>
        </w:rPr>
      </w:pPr>
      <w:r>
        <w:rPr>
          <w:rFonts w:ascii="Arial" w:cs="Arial" w:eastAsia="Arial" w:hAnsi="Arial"/>
          <w:sz w:val="10"/>
          <w:szCs w:val="10"/>
          <w:color w:val="FFFFFF"/>
        </w:rPr>
        <w:t>D</w:t>
      </w:r>
    </w:p>
    <w:p>
      <w:pPr>
        <w:spacing w:after="0" w:line="188" w:lineRule="auto"/>
        <w:rPr>
          <w:sz w:val="20"/>
          <w:szCs w:val="20"/>
          <w:color w:val="auto"/>
        </w:rPr>
      </w:pPr>
      <w:r>
        <w:rPr>
          <w:rFonts w:ascii="Arial" w:cs="Arial" w:eastAsia="Arial" w:hAnsi="Arial"/>
          <w:sz w:val="7"/>
          <w:szCs w:val="7"/>
          <w:color w:val="FFFFFF"/>
        </w:rPr>
        <w:t>4The</w:t>
      </w:r>
      <w:r>
        <w:rPr>
          <w:rFonts w:ascii="Arial" w:cs="Arial" w:eastAsia="Arial" w:hAnsi="Arial"/>
          <w:sz w:val="9"/>
          <w:szCs w:val="9"/>
          <w:color w:val="FFFFFF"/>
          <w:vertAlign w:val="superscript"/>
        </w:rPr>
        <w:t>To</w:t>
      </w:r>
      <w:r>
        <w:rPr>
          <w:rFonts w:ascii="Arial" w:cs="Arial" w:eastAsia="Arial" w:hAnsi="Arial"/>
          <w:sz w:val="7"/>
          <w:szCs w:val="7"/>
          <w:color w:val="FFFFFF"/>
        </w:rPr>
        <w:t xml:space="preserve"> Boardapproveof anDirectorsamendmentrecommendstothe2002youStockvoteFORIncentivethefollowingPlan; proposal(s): E</w:t>
      </w:r>
    </w:p>
    <w:p>
      <w:pPr>
        <w:spacing w:after="0" w:line="211" w:lineRule="auto"/>
        <w:rPr>
          <w:sz w:val="20"/>
          <w:szCs w:val="20"/>
          <w:color w:val="auto"/>
        </w:rPr>
      </w:pPr>
      <w:r>
        <w:rPr>
          <w:rFonts w:ascii="Arial" w:cs="Arial" w:eastAsia="Arial" w:hAnsi="Arial"/>
          <w:sz w:val="8"/>
          <w:szCs w:val="8"/>
          <w:color w:val="FFFFFF"/>
        </w:rPr>
        <w:t>The5 Boardratify theofDirectorsAuditCommittee`srecommendsappointmentyouvoteAGAINSTofErnst&amp;theYoung,followingLLP asproposal(s):theindependent auditors for the Company and all of its subsidiaries for 2011;</w:t>
      </w:r>
    </w:p>
    <w:p>
      <w:pPr>
        <w:spacing w:after="0"/>
        <w:rPr>
          <w:sz w:val="20"/>
          <w:szCs w:val="20"/>
          <w:color w:val="auto"/>
        </w:rPr>
      </w:pPr>
      <w:r>
        <w:rPr>
          <w:rFonts w:ascii="Arial" w:cs="Arial" w:eastAsia="Arial" w:hAnsi="Arial"/>
          <w:sz w:val="3"/>
          <w:szCs w:val="3"/>
          <w:color w:val="FFFFFF"/>
        </w:rPr>
        <w:t>011699.R1 .63To vote on a stockholder proposal regarding a director election majority vote standard, if properly presented 0 . at the Annual Meeting;</w:t>
      </w:r>
    </w:p>
    <w:p>
      <w:pPr>
        <w:spacing w:after="0" w:line="194" w:lineRule="auto"/>
        <w:rPr>
          <w:sz w:val="20"/>
          <w:szCs w:val="20"/>
          <w:color w:val="auto"/>
        </w:rPr>
      </w:pPr>
      <w:r>
        <w:rPr>
          <w:rFonts w:ascii="Arial" w:cs="Arial" w:eastAsia="Arial" w:hAnsi="Arial"/>
          <w:sz w:val="5"/>
          <w:szCs w:val="5"/>
          <w:color w:val="FFFFFF"/>
        </w:rPr>
        <w:t>_ ??0000 0000 0000</w:t>
      </w:r>
    </w:p>
    <w:p>
      <w:pPr>
        <w:spacing w:after="0"/>
        <w:rPr>
          <w:sz w:val="20"/>
          <w:szCs w:val="20"/>
          <w:color w:val="auto"/>
        </w:rPr>
      </w:pPr>
      <w:r>
        <w:rPr>
          <w:rFonts w:ascii="Arial" w:cs="Arial" w:eastAsia="Arial" w:hAnsi="Arial"/>
          <w:sz w:val="3"/>
          <w:szCs w:val="3"/>
          <w:color w:val="FFFFFF"/>
        </w:rPr>
        <w:t>Broadridge Internal Use Only xxxxxxxxxx</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0000100862 xxxxxxxxxx Cusip Job # Envelope # Sequence # # of # Sequence #</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FFFFFF"/>
        </w:rPr>
        <w:t xml:space="preserve">Voting items Continued Reserved for Broadridge Internal Control </w:t>
      </w:r>
      <w:r>
        <w:rPr>
          <w:rFonts w:ascii="Arial" w:cs="Arial" w:eastAsia="Arial" w:hAnsi="Arial"/>
          <w:sz w:val="27"/>
          <w:szCs w:val="27"/>
          <w:color w:val="FFFFFF"/>
          <w:vertAlign w:val="subscript"/>
        </w:rPr>
        <w:t>Information</w:t>
      </w:r>
    </w:p>
    <w:p>
      <w:pPr>
        <w:spacing w:after="0" w:line="191" w:lineRule="auto"/>
        <w:tabs>
          <w:tab w:leader="none" w:pos="3940" w:val="left"/>
        </w:tabs>
        <w:rPr>
          <w:sz w:val="20"/>
          <w:szCs w:val="20"/>
          <w:color w:val="auto"/>
        </w:rPr>
      </w:pPr>
      <w:r>
        <w:rPr>
          <w:rFonts w:ascii="Arial" w:cs="Arial" w:eastAsia="Arial" w:hAnsi="Arial"/>
          <w:sz w:val="7"/>
          <w:szCs w:val="7"/>
          <w:color w:val="FFFFFF"/>
        </w:rPr>
        <w:t>VotingNOTE:InstructionsSuchother business as may properly come before the meeting</w:t>
      </w:r>
      <w:r>
        <w:rPr>
          <w:sz w:val="20"/>
          <w:szCs w:val="20"/>
          <w:color w:val="auto"/>
        </w:rPr>
        <w:tab/>
      </w:r>
      <w:r>
        <w:rPr>
          <w:rFonts w:ascii="Arial" w:cs="Arial" w:eastAsia="Arial" w:hAnsi="Arial"/>
          <w:sz w:val="7"/>
          <w:szCs w:val="7"/>
          <w:color w:val="FFFFFF"/>
        </w:rPr>
        <w:t>any adjournment thereof.</w:t>
      </w:r>
    </w:p>
    <w:p>
      <w:pPr>
        <w:spacing w:after="0"/>
        <w:rPr>
          <w:sz w:val="20"/>
          <w:szCs w:val="20"/>
          <w:color w:val="auto"/>
        </w:rPr>
      </w:pPr>
      <w:r>
        <w:rPr>
          <w:rFonts w:ascii="Arial" w:cs="Arial" w:eastAsia="Arial" w:hAnsi="Arial"/>
          <w:sz w:val="3"/>
          <w:szCs w:val="3"/>
          <w:color w:val="FFFFFF"/>
        </w:rPr>
        <w:t>THIS SPACE RESERVED FOR LANGUAGE PERTAINING TO 11699 BANKS AND BROKERS</w:t>
      </w:r>
    </w:p>
    <w:p>
      <w:pPr>
        <w:spacing w:after="0" w:line="194" w:lineRule="auto"/>
        <w:rPr>
          <w:sz w:val="20"/>
          <w:szCs w:val="20"/>
          <w:color w:val="auto"/>
        </w:rPr>
      </w:pPr>
      <w:r>
        <w:rPr>
          <w:rFonts w:ascii="Arial" w:cs="Arial" w:eastAsia="Arial" w:hAnsi="Arial"/>
          <w:sz w:val="5"/>
          <w:szCs w:val="5"/>
          <w:color w:val="FFFFFF"/>
          <w:vertAlign w:val="superscript"/>
        </w:rPr>
        <w:t>.</w:t>
      </w:r>
    </w:p>
    <w:p>
      <w:pPr>
        <w:ind w:left="80"/>
        <w:spacing w:after="0"/>
        <w:rPr>
          <w:sz w:val="20"/>
          <w:szCs w:val="20"/>
          <w:color w:val="auto"/>
        </w:rPr>
      </w:pPr>
      <w:r>
        <w:rPr>
          <w:rFonts w:ascii="Arial" w:cs="Arial" w:eastAsia="Arial" w:hAnsi="Arial"/>
          <w:sz w:val="3"/>
          <w:szCs w:val="3"/>
          <w:color w:val="FFFFFF"/>
        </w:rPr>
        <w:t>AS REQUIRED BY THE NEW YORK STOCK EXCHANGE</w:t>
      </w:r>
    </w:p>
    <w:p>
      <w:pPr>
        <w:spacing w:after="0" w:line="194" w:lineRule="auto"/>
        <w:rPr>
          <w:sz w:val="20"/>
          <w:szCs w:val="20"/>
          <w:color w:val="auto"/>
        </w:rPr>
      </w:pPr>
      <w:r>
        <w:rPr>
          <w:rFonts w:ascii="Arial" w:cs="Arial" w:eastAsia="Arial" w:hAnsi="Arial"/>
          <w:sz w:val="3"/>
          <w:szCs w:val="3"/>
          <w:color w:val="FFFFFF"/>
        </w:rPr>
        <w:t>0000100862</w:t>
      </w:r>
      <w:r>
        <w:rPr>
          <w:rFonts w:ascii="Arial" w:cs="Arial" w:eastAsia="Arial" w:hAnsi="Arial"/>
          <w:sz w:val="5"/>
          <w:szCs w:val="5"/>
          <w:color w:val="FFFFFF"/>
          <w:vertAlign w:val="superscript"/>
        </w:rPr>
        <w:t>..R14</w:t>
      </w:r>
      <w:r>
        <w:rPr>
          <w:rFonts w:ascii="Arial" w:cs="Arial" w:eastAsia="Arial" w:hAnsi="Arial"/>
          <w:sz w:val="3"/>
          <w:szCs w:val="3"/>
          <w:color w:val="FFFFFF"/>
        </w:rPr>
        <w:t>Broadridge Internal Use Only P99999-010</w:t>
      </w:r>
    </w:p>
    <w:p>
      <w:pPr>
        <w:spacing w:after="0" w:line="188" w:lineRule="auto"/>
        <w:rPr>
          <w:sz w:val="20"/>
          <w:szCs w:val="20"/>
          <w:color w:val="auto"/>
        </w:rPr>
      </w:pPr>
      <w:r>
        <w:rPr>
          <w:rFonts w:ascii="Arial" w:cs="Arial" w:eastAsia="Arial" w:hAnsi="Arial"/>
          <w:sz w:val="9"/>
          <w:szCs w:val="9"/>
          <w:color w:val="FFFFFF"/>
        </w:rPr>
        <w:t>12 Job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361950</wp:posOffset>
                </wp:positionH>
                <wp:positionV relativeFrom="paragraph">
                  <wp:posOffset>-6985</wp:posOffset>
                </wp:positionV>
                <wp:extent cx="431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0.5499pt" to="31.9pt,-0.5499pt" o:allowincell="f" strokecolor="#000000" strokeweight="1pt"/>
            </w:pict>
          </mc:Fallback>
        </mc:AlternateContent>
      </w:r>
    </w:p>
    <w:p>
      <w:pPr>
        <w:spacing w:after="0"/>
        <w:rPr>
          <w:sz w:val="20"/>
          <w:szCs w:val="20"/>
          <w:color w:val="auto"/>
        </w:rPr>
      </w:pPr>
      <w:r>
        <w:rPr>
          <w:rFonts w:ascii="Arial" w:cs="Arial" w:eastAsia="Arial" w:hAnsi="Arial"/>
          <w:sz w:val="11"/>
          <w:szCs w:val="11"/>
          <w:color w:val="FFFFFF"/>
        </w:rPr>
        <w:t>SequenceTHISSPACE15#RESERVED#of#SequenceFOR# SIGNATURESOF## IF APPLICABLE Envelope #</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2019-12-10T22:14:18Z</dcterms:created>
  <dcterms:modified xsi:type="dcterms:W3CDTF">2019-12-10T22:14:18Z</dcterms:modified>
</cp:coreProperties>
</file>